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tablefromobjects-sec1"/>
    <w:p>
      <w:pPr>
        <w:pStyle w:val="Heading1"/>
      </w:pPr>
      <w:r>
        <w:t xml:space="preserve">_Format-TableFromObjects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an array of flat objects as a plain-text, log-friendly 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Renders an array of flat objects as a plain-text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log-friendly 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./src/powershell/Automation/Private/OutputFormatter.ps1</vt:lpwstr>
  </property>
</Properties>
</file>