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et-oneviewapiversion-sec1"/>
    <w:p>
      <w:pPr>
        <w:pStyle w:val="Heading1"/>
      </w:pPr>
      <w:r>
        <w:t xml:space="preserve">_Get-OneViewApiVersion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OneView’s /rest/server-hardware (and most other) endpoints REQUIRE the X-API-Version header. The value tracks the appliance major generation, so we map the normalised major version to a safe minimum API version the appliance will accept (OneView is backward-compatible, so sending the generation minimum is accepted even when the appliance supports a newer API).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Map an HPE OneView appliance version to its REST API version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OneView</w:t>
      </w:r>
      <w:r>
        <w:rPr>
          <w:rStyle w:val="StringTok"/>
        </w:rPr>
        <w:t xml:space="preserve">'s /rest/server-hardware (and most other) endpoints REQUIRE the</w:t>
      </w:r>
      <w:r>
        <w:br/>
      </w:r>
      <w:r>
        <w:rPr>
          <w:rStyle w:val="StringTok"/>
        </w:rPr>
        <w:t xml:space="preserve">        X-API-Version header. The value tracks the appliance major generation, so we</w:t>
      </w:r>
      <w:r>
        <w:br/>
      </w:r>
      <w:r>
        <w:rPr>
          <w:rStyle w:val="StringTok"/>
        </w:rPr>
        <w:t xml:space="preserve">        map the normalised major version to a safe minimum API version the appliance</w:t>
      </w:r>
      <w:r>
        <w:br/>
      </w:r>
      <w:r>
        <w:rPr>
          <w:rStyle w:val="StringTok"/>
        </w:rPr>
        <w:t xml:space="preserve">        will accept (OneView is backward-compatible, so sending the generation minimum</w:t>
      </w:r>
      <w:r>
        <w:br/>
      </w:r>
      <w:r>
        <w:rPr>
          <w:rStyle w:val="StringTok"/>
        </w:rPr>
        <w:t xml:space="preserve">        is accepted even when the appliance supports a newer API).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2026-10-14T16:17:59Z</dcterms:created>
  <dcterms:modified xsi:type="dcterms:W3CDTF">2026-10-14T16:17:59Z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./src/powershell/Automation/Public/Get-OneViewConnectionStatus.ps1</vt:lpwstr>
  </property>
</Properties>
</file>