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Direct iLO PSCredential fallback for unmanaged servers only. Managed OneView servers use OneView iLO SSO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associated with the active 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-OneViewServerName</w:t>
            </w:r>
          </w:p>
        </w:tc>
        <w:tc>
          <w:tcPr/>
          <w:p>
            <w:pPr>
              <w:pStyle w:val="Compact"/>
            </w:pPr>
            <w:r>
              <w:t xml:space="preserve">Resolved OneView server-hardware name used to obtain the iLO SSO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Direct iLO PSCredential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unmanaged servers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Managed</w:t>
      </w:r>
      <w:r>
        <w:br/>
      </w:r>
      <w:r>
        <w:rPr>
          <w:rStyle w:val="NormalTok"/>
        </w:rPr>
        <w:t xml:space="preserve">        OneView servers use OneView iLO SSO instead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associated with the active 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OneViewServerName</w:t>
      </w:r>
      <w:r>
        <w:br/>
      </w:r>
      <w:r>
        <w:rPr>
          <w:rStyle w:val="NormalTok"/>
        </w:rPr>
        <w:t xml:space="preserve">        Resolved OneView server-hardware name used to obtain the iLO SSO token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./src/powershell/Automation/Public/Invoke-IloRedfish.ps1</vt:lpwstr>
  </property>
</Properties>
</file>