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Set-TopAnchorCore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TOC is otherwise generated in raw document order, so a change log whose sections were appended out of sequence produces a TOC such as</w:t>
      </w:r>
      <w:r>
        <w:t xml:space="preserve"> </w:t>
      </w:r>
      <w:r>
        <w:t xml:space="preserve">“37, 33, 34, 35, 36, 32 …”</w:t>
      </w:r>
      <w:r>
        <w:t xml:space="preserve">. A change log is read newest-first, so its numbered sections must run from the highest number down to 1. Each maximal run of consecutive, same-level, numbered entries is reordered into the numeric direction the document already intends, inferred from the run’s first vs last number: first &gt; last -&gt; descending (change log: newest / highest first) first &lt; last -&gt; ascending (procedural doc: 1..N) An already-correctly-ordered run is left untouched, so this is idempotent. Un-numbered entries, and entries at other heading levels, keep their document order.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-Entries</w:t>
            </w:r>
          </w:p>
        </w:tc>
        <w:tc>
          <w:tcPr/>
          <w:p>
            <w:pPr>
              <w:pStyle w:val="Compact"/>
            </w:pPr>
            <w:r>
              <w:t xml:space="preserve">TOC entries as objects with Level / Title / Anchor properties.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Normalises the order of numbered TOC entries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"37) Title"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The TOC is otherwise generated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raw document 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a change log whose</w:t>
      </w:r>
      <w:r>
        <w:br/>
      </w:r>
      <w:r>
        <w:rPr>
          <w:rStyle w:val="NormalTok"/>
        </w:rPr>
        <w:t xml:space="preserve">        sections were appended out of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produces a TOC such as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"37, 33, 34, 35, 36, 32 ..."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A change log is read newest-first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its</w:t>
      </w:r>
      <w:r>
        <w:br/>
      </w:r>
      <w:r>
        <w:rPr>
          <w:rStyle w:val="NormalTok"/>
        </w:rPr>
        <w:t xml:space="preserve">        numbered sections must run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highest number down to </w:t>
      </w:r>
      <w:r>
        <w:rPr>
          <w:rStyle w:val="DecValTok"/>
        </w:rPr>
        <w:t xml:space="preserve">1.</w:t>
      </w:r>
      <w:r>
        <w:br/>
      </w:r>
      <w:r>
        <w:br/>
      </w:r>
      <w:r>
        <w:rPr>
          <w:rStyle w:val="NormalTok"/>
        </w:rPr>
        <w:t xml:space="preserve">        Each maximal run of consecutive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same-level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numbered entries is reordered</w:t>
      </w:r>
      <w:r>
        <w:br/>
      </w:r>
      <w:r>
        <w:rPr>
          <w:rStyle w:val="NormalTok"/>
        </w:rPr>
        <w:t xml:space="preserve">        into the numeric direction the document already intends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inferred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run</w:t>
      </w:r>
      <w:r>
        <w:rPr>
          <w:rStyle w:val="StringTok"/>
        </w:rPr>
        <w:t xml:space="preserve">'s first vs last number:</w:t>
      </w:r>
      <w:r>
        <w:br/>
      </w:r>
      <w:r>
        <w:br/>
      </w:r>
      <w:r>
        <w:rPr>
          <w:rStyle w:val="StringTok"/>
        </w:rPr>
        <w:t xml:space="preserve">            first &gt; last  -&gt; descending (change log: newest / highest first)</w:t>
      </w:r>
      <w:r>
        <w:br/>
      </w:r>
      <w:r>
        <w:rPr>
          <w:rStyle w:val="StringTok"/>
        </w:rPr>
        <w:t xml:space="preserve">            first &lt; last  -&gt; ascending  (procedural doc: 1..N)</w:t>
      </w:r>
      <w:r>
        <w:br/>
      </w:r>
      <w:r>
        <w:br/>
      </w:r>
      <w:r>
        <w:rPr>
          <w:rStyle w:val="StringTok"/>
        </w:rPr>
        <w:t xml:space="preserve">        An already-correctly-ordered run is left untouched, so this is idempotent.</w:t>
      </w:r>
      <w:r>
        <w:br/>
      </w:r>
      <w:r>
        <w:rPr>
          <w:rStyle w:val="StringTok"/>
        </w:rPr>
        <w:t xml:space="preserve">        Un-numbered entries, and entries at other heading levels, keep their</w:t>
      </w:r>
      <w:r>
        <w:br/>
      </w:r>
      <w:r>
        <w:rPr>
          <w:rStyle w:val="StringTok"/>
        </w:rPr>
        <w:t xml:space="preserve">        document order.</w:t>
      </w:r>
      <w:r>
        <w:br/>
      </w:r>
      <w:r>
        <w:br/>
      </w:r>
      <w:r>
        <w:rPr>
          <w:rStyle w:val="StringTok"/>
        </w:rPr>
        <w:t xml:space="preserve">    .PARAMETER Entries</w:t>
      </w:r>
      <w:r>
        <w:br/>
      </w:r>
      <w:r>
        <w:rPr>
          <w:rStyle w:val="StringTok"/>
        </w:rPr>
        <w:t xml:space="preserve">        TOC entries as objects with Level / Title / Anchor properties.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2026-10-16T02:41:49Z</dcterms:created>
  <dcterms:modified xsi:type="dcterms:W3CDTF">2026-10-16T02:41:49Z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./scripts/Docs.Common.ps1</vt:lpwstr>
  </property>
</Properties>
</file>