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4">
        <w:r>
          <w:rPr>
            <w:rStyle w:val="Hyperlink"/>
          </w:rPr>
          <w:t xml:space="preserve">Disable OneView maintenance mode</w:t>
        </w:r>
      </w:hyperlink>
    </w:p>
    <w:p>
      <w:pPr>
        <w:pStyle w:val="Compact"/>
        <w:numPr>
          <w:ilvl w:val="0"/>
          <w:numId w:val="1001"/>
        </w:numPr>
      </w:pPr>
      <w:hyperlink w:anchor="sec108">
        <w:r>
          <w:rPr>
            <w:rStyle w:val="Hyperlink"/>
          </w:rPr>
          <w:t xml:space="preserve">PowerShell Execution and Utility</w:t>
        </w:r>
      </w:hyperlink>
    </w:p>
    <w:p>
      <w:pPr>
        <w:pStyle w:val="Compact"/>
        <w:numPr>
          <w:ilvl w:val="1"/>
          <w:numId w:val="1007"/>
        </w:numPr>
      </w:pPr>
      <w:hyperlink w:anchor="sec109">
        <w:r>
          <w:rPr>
            <w:rStyle w:val="Hyperlink"/>
          </w:rPr>
          <w:t xml:space="preserve">Run a local PowerShell script</w:t>
        </w:r>
      </w:hyperlink>
    </w:p>
    <w:p>
      <w:pPr>
        <w:pStyle w:val="Compact"/>
        <w:numPr>
          <w:ilvl w:val="1"/>
          <w:numId w:val="1007"/>
        </w:numPr>
      </w:pPr>
      <w:hyperlink w:anchor="sec110">
        <w:r>
          <w:rPr>
            <w:rStyle w:val="Hyperlink"/>
          </w:rPr>
          <w:t xml:space="preserve">Run a remote PowerShell script via WinRM</w:t>
        </w:r>
      </w:hyperlink>
    </w:p>
    <w:p>
      <w:pPr>
        <w:pStyle w:val="Compact"/>
        <w:numPr>
          <w:ilvl w:val="1"/>
          <w:numId w:val="1007"/>
        </w:numPr>
      </w:pPr>
      <w:hyperlink w:anchor="sec111">
        <w:r>
          <w:rPr>
            <w:rStyle w:val="Hyperlink"/>
          </w:rPr>
          <w:t xml:space="preserve">Generate a deterministic UUID</w:t>
        </w:r>
      </w:hyperlink>
    </w:p>
    <w:p>
      <w:pPr>
        <w:pStyle w:val="Compact"/>
        <w:numPr>
          <w:ilvl w:val="1"/>
          <w:numId w:val="1007"/>
        </w:numPr>
      </w:pPr>
      <w:hyperlink w:anchor="sec112">
        <w:r>
          <w:rPr>
            <w:rStyle w:val="Hyperlink"/>
          </w:rPr>
          <w:t xml:space="preserve">OpsRamp API client</w:t>
        </w:r>
      </w:hyperlink>
    </w:p>
    <w:p>
      <w:pPr>
        <w:pStyle w:val="Compact"/>
        <w:numPr>
          <w:ilvl w:val="0"/>
          <w:numId w:val="1001"/>
        </w:numPr>
      </w:pPr>
      <w:hyperlink w:anchor="sec113">
        <w:r>
          <w:rPr>
            <w:rStyle w:val="Hyperlink"/>
          </w:rPr>
          <w:t xml:space="preserve">Routing and Control Surfaces</w:t>
        </w:r>
      </w:hyperlink>
    </w:p>
    <w:p>
      <w:pPr>
        <w:pStyle w:val="Compact"/>
        <w:numPr>
          <w:ilvl w:val="1"/>
          <w:numId w:val="1008"/>
        </w:numPr>
      </w:pPr>
      <w:hyperlink w:anchor="sec114">
        <w:r>
          <w:rPr>
            <w:rStyle w:val="Hyperlink"/>
          </w:rPr>
          <w:t xml:space="preserve">Orchestrator (unified entry point)</w:t>
        </w:r>
      </w:hyperlink>
    </w:p>
    <w:p>
      <w:pPr>
        <w:pStyle w:val="Compact"/>
        <w:numPr>
          <w:ilvl w:val="1"/>
          <w:numId w:val="1008"/>
        </w:numPr>
      </w:pPr>
      <w:hyperlink w:anchor="sec115">
        <w:r>
          <w:rPr>
            <w:rStyle w:val="Hyperlink"/>
          </w:rPr>
          <w:t xml:space="preserve">View the route map</w:t>
        </w:r>
      </w:hyperlink>
    </w:p>
    <w:p>
      <w:pPr>
        <w:pStyle w:val="Compact"/>
        <w:numPr>
          <w:ilvl w:val="1"/>
          <w:numId w:val="1008"/>
        </w:numPr>
      </w:pPr>
      <w:hyperlink w:anchor="sec116">
        <w:r>
          <w:rPr>
            <w:rStyle w:val="Hyperlink"/>
          </w:rPr>
          <w:t xml:space="preserve">Control surface factories and runners</w:t>
        </w:r>
      </w:hyperlink>
    </w:p>
    <w:p>
      <w:pPr>
        <w:pStyle w:val="Compact"/>
        <w:numPr>
          <w:ilvl w:val="1"/>
          <w:numId w:val="1008"/>
        </w:numPr>
      </w:pPr>
      <w:hyperlink w:anchor="sec117">
        <w:r>
          <w:rPr>
            <w:rStyle w:val="Hyperlink"/>
          </w:rPr>
          <w:t xml:space="preserve">GitLab maintenance trigger</w:t>
        </w:r>
      </w:hyperlink>
    </w:p>
    <w:p>
      <w:pPr>
        <w:pStyle w:val="Compact"/>
        <w:numPr>
          <w:ilvl w:val="0"/>
          <w:numId w:val="1001"/>
        </w:numPr>
      </w:pPr>
      <w:hyperlink w:anchor="sec118">
        <w:r>
          <w:rPr>
            <w:rStyle w:val="Hyperlink"/>
          </w:rPr>
          <w:t xml:space="preserve">Functional Test Harnesses</w:t>
        </w:r>
      </w:hyperlink>
    </w:p>
    <w:p>
      <w:pPr>
        <w:pStyle w:val="Compact"/>
        <w:numPr>
          <w:ilvl w:val="1"/>
          <w:numId w:val="1009"/>
        </w:numPr>
      </w:pPr>
      <w:hyperlink w:anchor="sec119">
        <w:r>
          <w:rPr>
            <w:rStyle w:val="Hyperlink"/>
          </w:rPr>
          <w:t xml:space="preserve">testConnectAndList</w:t>
        </w:r>
      </w:hyperlink>
    </w:p>
    <w:p>
      <w:pPr>
        <w:pStyle w:val="Compact"/>
        <w:numPr>
          <w:ilvl w:val="1"/>
          <w:numId w:val="1009"/>
        </w:numPr>
      </w:pPr>
      <w:hyperlink w:anchor="sec120">
        <w:r>
          <w:rPr>
            <w:rStyle w:val="Hyperlink"/>
          </w:rPr>
          <w:t xml:space="preserve">testBuildDeploy</w:t>
        </w:r>
      </w:hyperlink>
    </w:p>
    <w:p>
      <w:pPr>
        <w:pStyle w:val="Compact"/>
        <w:numPr>
          <w:ilvl w:val="0"/>
          <w:numId w:val="1001"/>
        </w:numPr>
      </w:pPr>
      <w:hyperlink w:anchor="sec121">
        <w:r>
          <w:rPr>
            <w:rStyle w:val="Hyperlink"/>
          </w:rPr>
          <w:t xml:space="preserve">Troubleshooting</w:t>
        </w:r>
      </w:hyperlink>
    </w:p>
    <w:p>
      <w:pPr>
        <w:pStyle w:val="Compact"/>
        <w:numPr>
          <w:ilvl w:val="1"/>
          <w:numId w:val="1010"/>
        </w:numPr>
      </w:pPr>
      <w:hyperlink w:anchor="sec122">
        <w:r>
          <w:rPr>
            <w:rStyle w:val="Hyperlink"/>
          </w:rPr>
          <w:t xml:space="preserve">Command not found</w:t>
        </w:r>
      </w:hyperlink>
    </w:p>
    <w:p>
      <w:pPr>
        <w:pStyle w:val="Compact"/>
        <w:numPr>
          <w:ilvl w:val="1"/>
          <w:numId w:val="1010"/>
        </w:numPr>
      </w:pPr>
      <w:hyperlink w:anchor="sec123">
        <w:r>
          <w:rPr>
            <w:rStyle w:val="Hyperlink"/>
          </w:rPr>
          <w:t xml:space="preserve">Run setup again</w:t>
        </w:r>
      </w:hyperlink>
    </w:p>
    <w:p>
      <w:pPr>
        <w:pStyle w:val="Compact"/>
        <w:numPr>
          <w:ilvl w:val="1"/>
          <w:numId w:val="1010"/>
        </w:numPr>
      </w:pPr>
      <w:hyperlink w:anchor="sec124">
        <w:r>
          <w:rPr>
            <w:rStyle w:val="Hyperlink"/>
          </w:rPr>
          <w:t xml:space="preserve">Check module is loaded</w:t>
        </w:r>
      </w:hyperlink>
    </w:p>
    <w:p>
      <w:pPr>
        <w:pStyle w:val="Compact"/>
        <w:numPr>
          <w:ilvl w:val="1"/>
          <w:numId w:val="1010"/>
        </w:numPr>
      </w:pPr>
      <w:hyperlink w:anchor="sec125">
        <w:r>
          <w:rPr>
            <w:rStyle w:val="Hyperlink"/>
          </w:rPr>
          <w:t xml:space="preserve">Force reimport</w:t>
        </w:r>
      </w:hyperlink>
    </w:p>
    <w:p>
      <w:pPr>
        <w:pStyle w:val="Compact"/>
        <w:numPr>
          <w:ilvl w:val="1"/>
          <w:numId w:val="1010"/>
        </w:numPr>
      </w:pPr>
      <w:hyperlink w:anchor="sec126">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6"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-Quiet</w:t>
            </w:r>
          </w:p>
        </w:tc>
        <w:tc>
          <w:tcPr/>
          <w:p>
            <w:pPr>
              <w:pStyle w:val="Compact"/>
            </w:pPr>
            <w:r>
              <w:t xml:space="preserve">No</w:t>
            </w:r>
          </w:p>
        </w:tc>
        <w:tc>
          <w:tcPr/>
          <w:p>
            <w:pPr>
              <w:pStyle w:val="Compact"/>
            </w:pPr>
            <w:r>
              <w:t xml:space="preserve">Suppress human-readable output; only the structured result is emitted.</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removes it</w:t>
      </w:r>
      <w:r>
        <w:t xml:space="preserve"> </w:t>
      </w:r>
      <w:r>
        <w:rPr>
          <w:b/>
          <w:bCs/>
        </w:rPr>
        <w:t xml:space="preserve">after</w:t>
      </w:r>
      <w:r>
        <w:t xml:space="preserve"> </w:t>
      </w:r>
      <w:r>
        <w:t xml:space="preserve">the build completes. This stops unnecessary alerting and avoids on-call callouts during deployment. If the server is</w:t>
      </w:r>
      <w:r>
        <w:t xml:space="preserve"> </w:t>
      </w:r>
      <w:r>
        <w:rPr>
          <w:b/>
          <w:bCs/>
        </w:rPr>
        <w:t xml:space="preserve">already</w:t>
      </w:r>
      <w:r>
        <w:t xml:space="preserve"> </w:t>
      </w:r>
      <w:r>
        <w:t xml:space="preserve">in maintenance mode (as reported by OneView), the enable step is skipped and the post-build disable still runs so the original state is restored.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{#sec54}</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{#sec55}</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8"/>
    <w:bookmarkStart w:id="32"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9"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9"/>
    <w:bookmarkStart w:id="30"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0"/>
    <w:bookmarkStart w:id="31"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1"/>
    <w:bookmarkEnd w:id="32"/>
    <w:bookmarkStart w:id="33"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3"/>
    <w:bookmarkStart w:id="34"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4"/>
    <w:bookmarkStart w:id="35"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5"/>
    <w:bookmarkEnd w:id="36"/>
    <w:bookmarkStart w:id="57" w:name="sec71"/>
    <w:p>
      <w:pPr>
        <w:pStyle w:val="Heading2"/>
      </w:pPr>
      <w:r>
        <w:t xml:space="preserve">ISO Deployment &amp; Monitoring</w:t>
      </w:r>
    </w:p>
    <w:p>
      <w:pPr>
        <w:pStyle w:val="FirstParagraph"/>
      </w:pPr>
      <w:r>
        <w:t xml:space="preserve">Commands for deploying ISOs to servers and monitoring installation progress.</w:t>
      </w:r>
    </w:p>
    <w:bookmarkStart w:id="39"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7"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7"/>
    <w:bookmarkStart w:id="38"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8"/>
    <w:bookmarkEnd w:id="39"/>
    <w:bookmarkStart w:id="44"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0"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0"/>
    <w:bookmarkStart w:id="41"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3"/>
    <w:bookmarkEnd w:id="44"/>
    <w:bookmarkStart w:id="47"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5"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5"/>
    <w:bookmarkStart w:id="46"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6"/>
    <w:bookmarkEnd w:id="47"/>
    <w:bookmarkStart w:id="50"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8"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8"/>
    <w:bookmarkStart w:id="49"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9"/>
    <w:bookmarkEnd w:id="50"/>
    <w:bookmarkStart w:id="53"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1"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1"/>
    <w:bookmarkStart w:id="52"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2"/>
    <w:bookmarkEnd w:id="53"/>
    <w:bookmarkStart w:id="56"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4"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4"/>
    <w:bookmarkStart w:id="55"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5"/>
    <w:bookmarkEnd w:id="56"/>
    <w:bookmarkEnd w:id="57"/>
    <w:bookmarkStart w:id="63" w:name="sec97"/>
    <w:p>
      <w:pPr>
        <w:pStyle w:val="Heading2"/>
      </w:pPr>
      <w:r>
        <w:t xml:space="preserve">Maintenance Mode</w:t>
      </w:r>
    </w:p>
    <w:p>
      <w:pPr>
        <w:pStyle w:val="FirstParagraph"/>
      </w:pPr>
      <w:r>
        <w:t xml:space="preserve">See</w:t>
      </w:r>
      <w:r>
        <w:t xml:space="preserve"> </w:t>
      </w:r>
      <w:hyperlink r:id="rId58">
        <w:r>
          <w:rPr>
            <w:rStyle w:val="VerbatimChar"/>
          </w:rPr>
          <w:t xml:space="preserve">CLIENT-QUICK-START.md</w:t>
        </w:r>
      </w:hyperlink>
      <w:r>
        <w:t xml:space="preserve"> </w:t>
      </w:r>
      <w:r>
        <w:t xml:space="preserve">for the full guide.</w:t>
      </w:r>
    </w:p>
    <w:bookmarkStart w:id="59"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9"/>
    <w:bookmarkStart w:id="61"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 or reused from an active</w:t>
      </w:r>
      <w:r>
        <w:t xml:space="preserve"> </w:t>
      </w:r>
      <w:r>
        <w:rPr>
          <w:rStyle w:val="VerbatimChar"/>
        </w:rPr>
        <w:t xml:space="preserve">Connect-OneView</w:t>
      </w:r>
      <w:r>
        <w:t xml:space="preserve"> </w:t>
      </w:r>
      <w:r>
        <w:t xml:space="preserve">session (no prompt when already connected).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{#sec103}</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Enable-OneViewMaintenanceMode</w:t>
        </w:r>
      </w:hyperlink>
    </w:p>
    <w:p>
      <w:r>
        <w:pict>
          <v:rect style="width:0;height:1.5pt" o:hralign="center" o:hrstd="t" o:hr="t"/>
        </w:pict>
      </w:r>
    </w:p>
    <w:bookmarkEnd w:id="61"/>
    <w:bookmarkStart w:id="62" w:name="sec104"/>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{#sec106}</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{#sec107}</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Disable-OneViewMaintenanceMode</w:t>
        </w:r>
      </w:hyperlink>
    </w:p>
    <w:p>
      <w:r>
        <w:pict>
          <v:rect style="width:0;height:1.5pt" o:hralign="center" o:hrstd="t" o:hr="t"/>
        </w:pict>
      </w:r>
    </w:p>
    <w:bookmarkEnd w:id="62"/>
    <w:bookmarkEnd w:id="63"/>
    <w:bookmarkStart w:id="68" w:name="sec108"/>
    <w:p>
      <w:pPr>
        <w:pStyle w:val="Heading2"/>
      </w:pPr>
      <w:r>
        <w:t xml:space="preserve">PowerShell Execution and Utility</w:t>
      </w:r>
    </w:p>
    <w:p>
      <w:pPr>
        <w:pStyle w:val="FirstParagraph"/>
      </w:pPr>
      <w:r>
        <w:t xml:space="preserve">Low-level helpers used by other commands.</w:t>
      </w:r>
    </w:p>
    <w:bookmarkStart w:id="64" w:name="sec109"/>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4"/>
    <w:bookmarkStart w:id="65" w:name="sec110"/>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5"/>
    <w:bookmarkStart w:id="66" w:name="sec111"/>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6"/>
    <w:bookmarkStart w:id="67" w:name="sec112"/>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7"/>
    <w:bookmarkEnd w:id="68"/>
    <w:bookmarkStart w:id="73" w:name="sec113"/>
    <w:p>
      <w:pPr>
        <w:pStyle w:val="Heading2"/>
      </w:pPr>
      <w:r>
        <w:t xml:space="preserve">Routing and Control Surfaces</w:t>
      </w:r>
    </w:p>
    <w:p>
      <w:pPr>
        <w:pStyle w:val="FirstParagraph"/>
      </w:pPr>
      <w:r>
        <w:t xml:space="preserve">Dispatch requests to the appropriate handler.</w:t>
      </w:r>
    </w:p>
    <w:bookmarkStart w:id="69" w:name="sec114"/>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9"/>
    <w:bookmarkStart w:id="70" w:name="sec115"/>
    <w:p>
      <w:pPr>
        <w:pStyle w:val="Heading3"/>
      </w:pPr>
      <w:r>
        <w:t xml:space="preserve">View the route map</w:t>
      </w:r>
    </w:p>
    <w:p>
      <w:pPr>
        <w:pStyle w:val="SourceCode"/>
      </w:pPr>
      <w:r>
        <w:rPr>
          <w:rStyle w:val="NormalTok"/>
        </w:rPr>
        <w:t xml:space="preserve">Get-RouteMap</w:t>
      </w:r>
    </w:p>
    <w:bookmarkEnd w:id="70"/>
    <w:bookmarkStart w:id="71" w:name="sec116"/>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1"/>
    <w:bookmarkStart w:id="72" w:name="sec117"/>
    <w:p>
      <w:pPr>
        <w:pStyle w:val="Heading3"/>
      </w:pPr>
      <w:r>
        <w:t xml:space="preserve">GitLab maintenance trigger</w:t>
      </w:r>
    </w:p>
    <w:p>
      <w:pPr>
        <w:pStyle w:val="SourceCode"/>
      </w:pPr>
    </w:p>
    <w:p>
      <w:r>
        <w:pict>
          <v:rect style="width:0;height:1.5pt" o:hralign="center" o:hrstd="t" o:hr="t"/>
        </w:pict>
      </w:r>
    </w:p>
    <w:bookmarkEnd w:id="72"/>
    <w:bookmarkEnd w:id="73"/>
    <w:bookmarkStart w:id="78" w:name="sec118"/>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4">
        <w:r>
          <w:rPr>
            <w:rStyle w:val="VerbatimChar"/>
          </w:rPr>
          <w:t xml:space="preserve">docs/dynamic-code-docs/testConnectAndList.md</w:t>
        </w:r>
      </w:hyperlink>
      <w:r>
        <w:t xml:space="preserve"> </w:t>
      </w:r>
      <w:r>
        <w:t xml:space="preserve">and</w:t>
      </w:r>
      <w:r>
        <w:t xml:space="preserve"> </w:t>
      </w:r>
      <w:hyperlink r:id="rId75">
        <w:r>
          <w:rPr>
            <w:rStyle w:val="VerbatimChar"/>
          </w:rPr>
          <w:t xml:space="preserve">docs/dynamic-code-docs/testBuildDeploy.md</w:t>
        </w:r>
      </w:hyperlink>
      <w:r>
        <w:t xml:space="preserve">.</w:t>
      </w:r>
    </w:p>
    <w:bookmarkStart w:id="76" w:name="sec119"/>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6"/>
    <w:bookmarkStart w:id="77" w:name="sec120"/>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7"/>
    <w:bookmarkEnd w:id="78"/>
    <w:bookmarkStart w:id="85" w:name="sec121"/>
    <w:p>
      <w:pPr>
        <w:pStyle w:val="Heading2"/>
      </w:pPr>
      <w:r>
        <w:t xml:space="preserve">Troubleshooting</w:t>
      </w:r>
    </w:p>
    <w:bookmarkStart w:id="79" w:name="sec122"/>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9"/>
    <w:bookmarkStart w:id="80" w:name="sec123"/>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0"/>
    <w:bookmarkStart w:id="81" w:name="sec124"/>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1"/>
    <w:bookmarkStart w:id="82" w:name="sec125"/>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2"/>
    <w:bookmarkStart w:id="84" w:name="sec126"/>
    <w:p>
      <w:pPr>
        <w:pStyle w:val="Heading3"/>
      </w:pPr>
      <w:r>
        <w:t xml:space="preserve">Source links</w:t>
      </w:r>
    </w:p>
    <w:p>
      <w:pPr>
        <w:pStyle w:val="FirstParagraph"/>
      </w:pPr>
      <w:hyperlink r:id="rId83">
        <w:r>
          <w:rPr>
            <w:rStyle w:val="Hyperlink"/>
          </w:rPr>
          <w:t xml:space="preserve">Generated API reference</w:t>
        </w:r>
      </w:hyperlink>
      <w:r>
        <w:t xml:space="preserve"> </w:t>
      </w:r>
      <w:r>
        <w:t xml:space="preserve">with per-command detail pages.</w:t>
      </w:r>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2026-09-24T15:17:23Z</dcterms:created>
  <dcterms:modified xsi:type="dcterms:W3CDTF">2026-09-24T15:17:23Z</dcterms:modified>
</cp:coreProperties>
</file>

<file path=docProps/custom.xml><?xml version="1.0" encoding="utf-8"?>
<Properties xmlns="http://schemas.openxmlformats.org/officeDocument/2006/custom-properties" xmlns:vt="http://schemas.openxmlformats.org/officeDocument/2006/docPropsVTypes"/>
</file>