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89959" w14:textId="5C60738F" w:rsidR="003C3E54" w:rsidRDefault="005672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17A00" wp14:editId="063A2C8C">
                <wp:simplePos x="0" y="0"/>
                <wp:positionH relativeFrom="column">
                  <wp:posOffset>2628900</wp:posOffset>
                </wp:positionH>
                <wp:positionV relativeFrom="paragraph">
                  <wp:posOffset>-343535</wp:posOffset>
                </wp:positionV>
                <wp:extent cx="3771900" cy="1171575"/>
                <wp:effectExtent l="0" t="0" r="0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1D846" w14:textId="2A07F9CF" w:rsidR="00B824F5" w:rsidRPr="00A1218E" w:rsidRDefault="00264E41" w:rsidP="00A1218E">
                            <w:pPr>
                              <w:spacing w:line="192" w:lineRule="auto"/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 w:rsidRPr="0060309E">
                              <w:rPr>
                                <w:sz w:val="40"/>
                                <w:szCs w:val="40"/>
                              </w:rPr>
                              <w:t xml:space="preserve">Into Clinical Practice: </w:t>
                            </w:r>
                            <w:r w:rsidR="00A1218E">
                              <w:rPr>
                                <w:sz w:val="40"/>
                                <w:szCs w:val="40"/>
                              </w:rPr>
                              <w:br/>
                              <w:t>G</w:t>
                            </w:r>
                            <w:r w:rsidR="00116603" w:rsidRPr="0060309E">
                              <w:rPr>
                                <w:sz w:val="40"/>
                                <w:szCs w:val="40"/>
                              </w:rPr>
                              <w:t>ram-negative</w:t>
                            </w:r>
                            <w:r w:rsidRPr="0060309E">
                              <w:rPr>
                                <w:sz w:val="40"/>
                                <w:szCs w:val="40"/>
                              </w:rPr>
                              <w:t xml:space="preserve"> Infections</w:t>
                            </w:r>
                            <w:r w:rsidR="00B824F5" w:rsidRPr="0060309E">
                              <w:rPr>
                                <w:sz w:val="40"/>
                                <w:szCs w:val="4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17A0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7pt;margin-top:-27.05pt;width:297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" filled="f" stroked="f">
                <v:textbox>
                  <w:txbxContent>
                    <w:p w14:paraId="5171D846" w14:textId="2A07F9CF" w:rsidR="00B824F5" w:rsidRPr="00A1218E" w:rsidRDefault="00264E41" w:rsidP="00A1218E">
                      <w:pPr>
                        <w:spacing w:line="192" w:lineRule="auto"/>
                        <w:jc w:val="right"/>
                        <w:rPr>
                          <w:sz w:val="40"/>
                          <w:szCs w:val="40"/>
                        </w:rPr>
                      </w:pPr>
                      <w:r w:rsidRPr="0060309E">
                        <w:rPr>
                          <w:sz w:val="40"/>
                          <w:szCs w:val="40"/>
                        </w:rPr>
                        <w:t xml:space="preserve">Into Clinical Practice: </w:t>
                      </w:r>
                      <w:r w:rsidR="00A1218E">
                        <w:rPr>
                          <w:sz w:val="40"/>
                          <w:szCs w:val="40"/>
                        </w:rPr>
                        <w:br/>
                        <w:t>G</w:t>
                      </w:r>
                      <w:r w:rsidR="00116603" w:rsidRPr="0060309E">
                        <w:rPr>
                          <w:sz w:val="40"/>
                          <w:szCs w:val="40"/>
                        </w:rPr>
                        <w:t>ram-negative</w:t>
                      </w:r>
                      <w:r w:rsidRPr="0060309E">
                        <w:rPr>
                          <w:sz w:val="40"/>
                          <w:szCs w:val="40"/>
                        </w:rPr>
                        <w:t xml:space="preserve"> Infections</w:t>
                      </w:r>
                      <w:r w:rsidR="00B824F5" w:rsidRPr="0060309E">
                        <w:rPr>
                          <w:sz w:val="40"/>
                          <w:szCs w:val="4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5727"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 wp14:anchorId="7D2B6A80" wp14:editId="3FA8C520">
            <wp:simplePos x="0" y="0"/>
            <wp:positionH relativeFrom="column">
              <wp:posOffset>-685800</wp:posOffset>
            </wp:positionH>
            <wp:positionV relativeFrom="paragraph">
              <wp:posOffset>-800100</wp:posOffset>
            </wp:positionV>
            <wp:extent cx="2154555" cy="1524000"/>
            <wp:effectExtent l="0" t="0" r="4445" b="0"/>
            <wp:wrapNone/>
            <wp:docPr id="4" name="Picture 4" descr="Macintosh HD:Users:rachel:Documents:WD.:• Work in Progress:BSAC:Brand Guidelines:Logo:BSAC_New2018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chel:Documents:WD.:• Work in Progress:BSAC:Brand Guidelines:Logo:BSAC_New2018_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FCE63" w14:textId="77777777" w:rsidR="00991487" w:rsidRDefault="00991487"/>
    <w:p w14:paraId="662AA0B7" w14:textId="77777777" w:rsidR="003364A8" w:rsidRDefault="003364A8" w:rsidP="003364A8">
      <w:pPr>
        <w:jc w:val="center"/>
      </w:pPr>
    </w:p>
    <w:p w14:paraId="0974FE67" w14:textId="7E42DD24" w:rsidR="00991487" w:rsidRDefault="003364A8" w:rsidP="003364A8">
      <w:pPr>
        <w:jc w:val="center"/>
      </w:pPr>
      <w:r w:rsidRPr="0060309E">
        <w:rPr>
          <w:b/>
          <w:bCs/>
          <w:sz w:val="28"/>
          <w:szCs w:val="28"/>
        </w:rPr>
        <w:t>Wednesday 14 October 2020</w:t>
      </w:r>
      <w:r w:rsidRPr="0060309E">
        <w:rPr>
          <w:b/>
          <w:bCs/>
          <w:sz w:val="28"/>
          <w:szCs w:val="28"/>
        </w:rPr>
        <w:br/>
        <w:t>Royal College of Physicians</w:t>
      </w:r>
      <w:r w:rsidR="00F678C9" w:rsidRPr="0060309E">
        <w:rPr>
          <w:b/>
          <w:bCs/>
          <w:sz w:val="28"/>
          <w:szCs w:val="28"/>
        </w:rPr>
        <w:t>, London</w:t>
      </w:r>
      <w:r>
        <w:br/>
      </w:r>
      <w:r w:rsidR="0023228B">
        <w:br/>
      </w:r>
      <w:r w:rsidR="00991487" w:rsidRPr="0060309E">
        <w:rPr>
          <w:sz w:val="24"/>
          <w:szCs w:val="24"/>
          <w:u w:val="single"/>
        </w:rPr>
        <w:t>Author Details</w:t>
      </w:r>
    </w:p>
    <w:tbl>
      <w:tblPr>
        <w:tblStyle w:val="TableGrid"/>
        <w:tblpPr w:leftFromText="180" w:rightFromText="180" w:vertAnchor="text" w:horzAnchor="margin" w:tblpY="68"/>
        <w:tblW w:w="0" w:type="auto"/>
        <w:tblLook w:val="04A0" w:firstRow="1" w:lastRow="0" w:firstColumn="1" w:lastColumn="0" w:noHBand="0" w:noVBand="1"/>
      </w:tblPr>
      <w:tblGrid>
        <w:gridCol w:w="3691"/>
        <w:gridCol w:w="5325"/>
      </w:tblGrid>
      <w:tr w:rsidR="00991487" w14:paraId="239C038F" w14:textId="77777777" w:rsidTr="00991487">
        <w:trPr>
          <w:trHeight w:val="699"/>
        </w:trPr>
        <w:tc>
          <w:tcPr>
            <w:tcW w:w="3794" w:type="dxa"/>
          </w:tcPr>
          <w:p w14:paraId="68507601" w14:textId="77777777" w:rsidR="00991487" w:rsidRDefault="00447D1D" w:rsidP="00991487">
            <w:r>
              <w:t>Lead Author Name</w:t>
            </w:r>
          </w:p>
        </w:tc>
        <w:tc>
          <w:tcPr>
            <w:tcW w:w="5448" w:type="dxa"/>
          </w:tcPr>
          <w:p w14:paraId="71CBF43A" w14:textId="2383FAC7" w:rsidR="00991487" w:rsidRDefault="00F72EA9" w:rsidP="00CB4BAA">
            <w:r>
              <w:t>Kevin Frost</w:t>
            </w:r>
          </w:p>
          <w:p w14:paraId="38655C8B" w14:textId="77777777" w:rsidR="00991487" w:rsidRDefault="00991487" w:rsidP="00CB4BAA"/>
        </w:tc>
      </w:tr>
      <w:tr w:rsidR="00991487" w14:paraId="4F0FB1A3" w14:textId="77777777" w:rsidTr="00991487">
        <w:trPr>
          <w:trHeight w:val="423"/>
        </w:trPr>
        <w:tc>
          <w:tcPr>
            <w:tcW w:w="3794" w:type="dxa"/>
          </w:tcPr>
          <w:p w14:paraId="33414E3B" w14:textId="77777777" w:rsidR="00991487" w:rsidRDefault="00991487" w:rsidP="002569DF">
            <w:r>
              <w:t xml:space="preserve">Lead Author Contact </w:t>
            </w:r>
            <w:r w:rsidR="002569DF">
              <w:t>Email</w:t>
            </w:r>
          </w:p>
        </w:tc>
        <w:tc>
          <w:tcPr>
            <w:tcW w:w="5448" w:type="dxa"/>
          </w:tcPr>
          <w:p w14:paraId="6B62F9A2" w14:textId="22362313" w:rsidR="00991487" w:rsidRDefault="00FC133C" w:rsidP="00CB4BAA">
            <w:hyperlink r:id="rId12" w:history="1">
              <w:r w:rsidR="00BC65B0" w:rsidRPr="00A90137">
                <w:rPr>
                  <w:rStyle w:val="Hyperlink"/>
                </w:rPr>
                <w:t>Kevin.frost@anhst.nhs.uk</w:t>
              </w:r>
            </w:hyperlink>
          </w:p>
        </w:tc>
      </w:tr>
      <w:tr w:rsidR="00991487" w14:paraId="404187D6" w14:textId="77777777" w:rsidTr="00991487">
        <w:trPr>
          <w:trHeight w:val="697"/>
        </w:trPr>
        <w:tc>
          <w:tcPr>
            <w:tcW w:w="3794" w:type="dxa"/>
          </w:tcPr>
          <w:p w14:paraId="281EA8BC" w14:textId="77777777" w:rsidR="00991487" w:rsidRDefault="00991487" w:rsidP="00447D1D">
            <w:r>
              <w:t xml:space="preserve">Role and Organisation </w:t>
            </w:r>
          </w:p>
        </w:tc>
        <w:tc>
          <w:tcPr>
            <w:tcW w:w="5448" w:type="dxa"/>
          </w:tcPr>
          <w:p w14:paraId="3162847D" w14:textId="77777777" w:rsidR="00F72EA9" w:rsidRDefault="00F72EA9" w:rsidP="00CB4BAA">
            <w:r>
              <w:t xml:space="preserve">Senior Clinical Pharmacist – Antimicrobials </w:t>
            </w:r>
          </w:p>
          <w:p w14:paraId="3B3C0B11" w14:textId="43D3DA17" w:rsidR="00991487" w:rsidRDefault="00F72EA9" w:rsidP="00CB4BAA">
            <w:r>
              <w:t>Airedale NHS Foundation Trust</w:t>
            </w:r>
          </w:p>
          <w:p w14:paraId="09814BB1" w14:textId="77777777" w:rsidR="00991487" w:rsidRDefault="00991487" w:rsidP="00CB4BAA"/>
        </w:tc>
      </w:tr>
      <w:tr w:rsidR="00991487" w14:paraId="34C0083E" w14:textId="77777777" w:rsidTr="00991487">
        <w:trPr>
          <w:trHeight w:val="411"/>
        </w:trPr>
        <w:tc>
          <w:tcPr>
            <w:tcW w:w="3794" w:type="dxa"/>
          </w:tcPr>
          <w:p w14:paraId="2D0501F9" w14:textId="77777777" w:rsidR="00991487" w:rsidRDefault="00991487" w:rsidP="00991487">
            <w:r>
              <w:t>Presentation Preference (oral/poster)</w:t>
            </w:r>
          </w:p>
        </w:tc>
        <w:tc>
          <w:tcPr>
            <w:tcW w:w="5448" w:type="dxa"/>
          </w:tcPr>
          <w:p w14:paraId="34297025" w14:textId="32FEDC9D" w:rsidR="00991487" w:rsidRDefault="00F72EA9" w:rsidP="00CB4BAA">
            <w:r>
              <w:t>Poster</w:t>
            </w:r>
          </w:p>
        </w:tc>
      </w:tr>
    </w:tbl>
    <w:p w14:paraId="46091355" w14:textId="77777777" w:rsidR="00991487" w:rsidRDefault="00991487" w:rsidP="0099148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3"/>
        <w:gridCol w:w="5303"/>
      </w:tblGrid>
      <w:tr w:rsidR="002569DF" w14:paraId="4C3F0EF1" w14:textId="77777777" w:rsidTr="00807697">
        <w:tc>
          <w:tcPr>
            <w:tcW w:w="3713" w:type="dxa"/>
          </w:tcPr>
          <w:p w14:paraId="6537716E" w14:textId="77777777" w:rsidR="002569DF" w:rsidRDefault="002569DF" w:rsidP="002569DF">
            <w:r>
              <w:t>Abstract Title</w:t>
            </w:r>
          </w:p>
        </w:tc>
        <w:tc>
          <w:tcPr>
            <w:tcW w:w="5303" w:type="dxa"/>
          </w:tcPr>
          <w:p w14:paraId="1B0762BA" w14:textId="10125448" w:rsidR="002569DF" w:rsidRDefault="00F72EA9" w:rsidP="00CB4BAA">
            <w:r>
              <w:t xml:space="preserve">Validation of </w:t>
            </w:r>
            <w:r w:rsidR="00BE30AD">
              <w:t xml:space="preserve">6 to </w:t>
            </w:r>
            <w:r>
              <w:t>24 hour extended interval gentamicin nomogram</w:t>
            </w:r>
          </w:p>
          <w:p w14:paraId="05634447" w14:textId="77777777" w:rsidR="002569DF" w:rsidRDefault="002569DF" w:rsidP="00CB4BAA"/>
        </w:tc>
      </w:tr>
      <w:tr w:rsidR="002569DF" w14:paraId="1D167E4D" w14:textId="77777777" w:rsidTr="00807697">
        <w:tc>
          <w:tcPr>
            <w:tcW w:w="3713" w:type="dxa"/>
          </w:tcPr>
          <w:p w14:paraId="2A2D0167" w14:textId="77777777" w:rsidR="002569DF" w:rsidRDefault="002569DF" w:rsidP="002569DF">
            <w:r>
              <w:t>Author Names and Organisations</w:t>
            </w:r>
          </w:p>
        </w:tc>
        <w:tc>
          <w:tcPr>
            <w:tcW w:w="5303" w:type="dxa"/>
          </w:tcPr>
          <w:p w14:paraId="074D2856" w14:textId="5A75EAE4" w:rsidR="00F72EA9" w:rsidRDefault="00F72EA9" w:rsidP="00F72EA9">
            <w:r>
              <w:t>Kevin Frost, Airedale NHS Foundation Trust</w:t>
            </w:r>
          </w:p>
          <w:p w14:paraId="3CF4F98E" w14:textId="77777777" w:rsidR="002569DF" w:rsidRDefault="002569DF" w:rsidP="00CB4BAA"/>
        </w:tc>
      </w:tr>
    </w:tbl>
    <w:p w14:paraId="09CC3E7E" w14:textId="77777777" w:rsidR="00807697" w:rsidRDefault="00807697">
      <w:r>
        <w:br w:type="page"/>
      </w:r>
    </w:p>
    <w:tbl>
      <w:tblPr>
        <w:tblStyle w:val="TableGrid"/>
        <w:tblpPr w:leftFromText="180" w:rightFromText="180" w:vertAnchor="text" w:tblpY="5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69DF" w14:paraId="7EFD7270" w14:textId="77777777" w:rsidTr="00807697">
        <w:trPr>
          <w:trHeight w:val="4675"/>
        </w:trPr>
        <w:tc>
          <w:tcPr>
            <w:tcW w:w="9016" w:type="dxa"/>
          </w:tcPr>
          <w:p w14:paraId="02F80EEB" w14:textId="155F7305" w:rsidR="002569DF" w:rsidRDefault="002569DF" w:rsidP="002569DF">
            <w:pPr>
              <w:jc w:val="center"/>
            </w:pPr>
          </w:p>
          <w:p w14:paraId="4FDA9111" w14:textId="2E3473FB" w:rsidR="00F72EA9" w:rsidRDefault="002569DF" w:rsidP="002569DF">
            <w:r>
              <w:t>Structured Abstract (maximum word count 400 including graphs. Please feel free to expand the abstract text box as necessary)</w:t>
            </w:r>
          </w:p>
          <w:p w14:paraId="568513BF" w14:textId="77777777" w:rsidR="00BE30AD" w:rsidRDefault="00BE30AD" w:rsidP="00BE30AD">
            <w:pPr>
              <w:jc w:val="center"/>
              <w:rPr>
                <w:b/>
                <w:bCs/>
              </w:rPr>
            </w:pPr>
          </w:p>
          <w:p w14:paraId="40C05FBE" w14:textId="2F25C1B5" w:rsidR="00BE30AD" w:rsidRPr="00BE30AD" w:rsidRDefault="00BE30AD" w:rsidP="00BE30AD">
            <w:pPr>
              <w:jc w:val="center"/>
              <w:rPr>
                <w:b/>
                <w:bCs/>
              </w:rPr>
            </w:pPr>
            <w:r w:rsidRPr="00BE30AD">
              <w:rPr>
                <w:b/>
                <w:bCs/>
              </w:rPr>
              <w:t>Validation of 6 to 24 hour extended interval gentamicin nomogram</w:t>
            </w:r>
          </w:p>
          <w:p w14:paraId="2D5220CD" w14:textId="24A8DA45" w:rsidR="00551A26" w:rsidRDefault="00551A26" w:rsidP="002569DF"/>
          <w:p w14:paraId="0DC05EA2" w14:textId="2AB61873" w:rsidR="00F72EA9" w:rsidRDefault="00BC65B0" w:rsidP="002569DF">
            <w:r w:rsidRPr="00BC65B0">
              <w:rPr>
                <w:b/>
                <w:bCs/>
              </w:rPr>
              <w:t>Introduction:</w:t>
            </w:r>
            <w:r>
              <w:t xml:space="preserve"> </w:t>
            </w:r>
            <w:r w:rsidR="00F72EA9">
              <w:t>Gentamicin remains an important antibiotic in the treatment of gram-negative infections, but the monitoring of levels for dosing can be challenging.  The Hartford nomogram</w:t>
            </w:r>
            <w:r>
              <w:rPr>
                <w:rStyle w:val="FootnoteReference"/>
              </w:rPr>
              <w:footnoteReference w:id="1"/>
            </w:r>
            <w:r w:rsidR="00F72EA9">
              <w:t xml:space="preserve"> is utilised across West Yorkshire</w:t>
            </w:r>
            <w:r>
              <w:t xml:space="preserve"> to identify patients who clear gentamicin sufficiently to enable dosing at 24, 36 or 48 hours</w:t>
            </w:r>
            <w:r w:rsidR="00F72EA9">
              <w:t>.  Ensuring that a gentamicin serum assay is taken within 6-14 hours and acted upon prior to 24 hours after the initial dose continues to be a challenge for many hospitals.</w:t>
            </w:r>
            <w:r w:rsidR="00551A26">
              <w:t xml:space="preserve">  </w:t>
            </w:r>
          </w:p>
          <w:p w14:paraId="67DD6AA4" w14:textId="77777777" w:rsidR="00F72EA9" w:rsidRDefault="00F72EA9" w:rsidP="002569DF"/>
          <w:p w14:paraId="37478EF5" w14:textId="690F5575" w:rsidR="00F72EA9" w:rsidRDefault="00BC65B0" w:rsidP="002569DF">
            <w:r w:rsidRPr="00BC65B0">
              <w:rPr>
                <w:b/>
                <w:bCs/>
              </w:rPr>
              <w:t>Method:</w:t>
            </w:r>
            <w:r>
              <w:t xml:space="preserve"> </w:t>
            </w:r>
            <w:r w:rsidR="00F72EA9">
              <w:t xml:space="preserve">Real world data on 107 patients </w:t>
            </w:r>
            <w:r w:rsidR="00807697">
              <w:t xml:space="preserve">seen in </w:t>
            </w:r>
            <w:r w:rsidR="00A963F6">
              <w:t>clinical</w:t>
            </w:r>
            <w:r w:rsidR="00807697">
              <w:t xml:space="preserve"> practice were </w:t>
            </w:r>
            <w:r w:rsidR="00F72EA9">
              <w:t xml:space="preserve">analysed to determine the impact of using an alternative nomogram based upon the pharmacokinetic calculation of Sawchuk and </w:t>
            </w:r>
            <w:proofErr w:type="spellStart"/>
            <w:r w:rsidR="00F72EA9">
              <w:t>Zaske</w:t>
            </w:r>
            <w:proofErr w:type="spellEnd"/>
            <w:r>
              <w:rPr>
                <w:rStyle w:val="FootnoteReference"/>
              </w:rPr>
              <w:footnoteReference w:id="2"/>
            </w:r>
            <w:r w:rsidR="00F72EA9">
              <w:t xml:space="preserve">.  This calculation involved </w:t>
            </w:r>
            <w:r w:rsidR="00A963F6">
              <w:t>determining</w:t>
            </w:r>
            <w:r w:rsidR="00F72EA9">
              <w:t xml:space="preserve"> the limits for a patient clearing gentamicin to 0.5mg/L after a single bolus of 7mg/kg with a Volume of distribution of 0.26L/kg.  This alternative nomogram allows for levels to be taken between 6 and 24 hours, thus allowing the daily phlebotomist round in an NHS trust to take gentamicin at the same time as a daily U&amp;Es sample.</w:t>
            </w:r>
          </w:p>
          <w:p w14:paraId="04B57C98" w14:textId="4035B700" w:rsidR="00F72EA9" w:rsidRDefault="00F72EA9" w:rsidP="002569DF"/>
          <w:p w14:paraId="67BA4BC5" w14:textId="70F9BD6C" w:rsidR="00F72EA9" w:rsidRDefault="00F72EA9" w:rsidP="002569DF"/>
          <w:p w14:paraId="37E4D7EA" w14:textId="7CCA46F4" w:rsidR="00F72EA9" w:rsidRDefault="00F72EA9" w:rsidP="00BC65B0">
            <w:pPr>
              <w:jc w:val="center"/>
            </w:pPr>
            <w:r>
              <w:t xml:space="preserve">Graphic 1: </w:t>
            </w:r>
            <w:r w:rsidR="00BC65B0">
              <w:t>Proposed extended interval nomogram with Hartford nomogram</w:t>
            </w:r>
          </w:p>
          <w:p w14:paraId="77110030" w14:textId="5628EFDE" w:rsidR="00C25DEA" w:rsidRDefault="00C25DEA" w:rsidP="00BC65B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B9F23C8" wp14:editId="7B15CAAB">
                  <wp:extent cx="4819650" cy="4114686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0652" cy="414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86E891" w14:textId="77777777" w:rsidR="00BE30AD" w:rsidRDefault="00BE30AD" w:rsidP="00BC65B0">
            <w:pPr>
              <w:jc w:val="center"/>
            </w:pPr>
          </w:p>
          <w:p w14:paraId="11A2A3AB" w14:textId="77777777" w:rsidR="00BC65B0" w:rsidRDefault="00BC65B0" w:rsidP="00BC65B0">
            <w:pPr>
              <w:jc w:val="center"/>
            </w:pPr>
          </w:p>
          <w:p w14:paraId="0A391D8E" w14:textId="615C6AD5" w:rsidR="00F72EA9" w:rsidRDefault="00BC65B0" w:rsidP="002569DF">
            <w:r w:rsidRPr="00BC65B0">
              <w:rPr>
                <w:b/>
                <w:bCs/>
              </w:rPr>
              <w:t>Results:</w:t>
            </w:r>
            <w:r>
              <w:t xml:space="preserve"> </w:t>
            </w:r>
            <w:r w:rsidR="00F72EA9">
              <w:t>Of the 107 patients, 14 patients moved from 24 hour to 36 hour dosing</w:t>
            </w:r>
            <w:r w:rsidR="00551A26">
              <w:t xml:space="preserve"> recommendation</w:t>
            </w:r>
            <w:r>
              <w:t>, indicating that they would not have cleared gentamicin within 2</w:t>
            </w:r>
            <w:r w:rsidR="00551A26">
              <w:t>0</w:t>
            </w:r>
            <w:r>
              <w:t xml:space="preserve"> hours according to Sawchuk and </w:t>
            </w:r>
            <w:proofErr w:type="spellStart"/>
            <w:r>
              <w:t>Zaske</w:t>
            </w:r>
            <w:proofErr w:type="spellEnd"/>
            <w:r>
              <w:t xml:space="preserve"> calculations</w:t>
            </w:r>
            <w:r w:rsidR="00F72EA9">
              <w:t>.  All other dose interval</w:t>
            </w:r>
            <w:r w:rsidR="00BE30AD">
              <w:t xml:space="preserve"> recommendations </w:t>
            </w:r>
            <w:r w:rsidR="00F72EA9">
              <w:t>remained the same.</w:t>
            </w:r>
          </w:p>
          <w:p w14:paraId="57E9D477" w14:textId="77777777" w:rsidR="00F72EA9" w:rsidRDefault="00F72EA9" w:rsidP="002569DF"/>
          <w:p w14:paraId="0160F0AB" w14:textId="6B4CC6ED" w:rsidR="00F72EA9" w:rsidRDefault="00BC65B0" w:rsidP="002569DF">
            <w:r w:rsidRPr="00BC65B0">
              <w:rPr>
                <w:b/>
                <w:bCs/>
              </w:rPr>
              <w:t>Conclusion:</w:t>
            </w:r>
            <w:r>
              <w:t xml:space="preserve"> </w:t>
            </w:r>
            <w:r w:rsidR="00F72EA9">
              <w:t xml:space="preserve">This alternative nomogram provides a potential solution to errors with gentamicin monitoring arising from </w:t>
            </w:r>
            <w:r w:rsidR="00551A26">
              <w:t xml:space="preserve">no phlebotomist being available during the </w:t>
            </w:r>
            <w:proofErr w:type="gramStart"/>
            <w:r w:rsidR="00551A26">
              <w:t>6-14 hour</w:t>
            </w:r>
            <w:proofErr w:type="gramEnd"/>
            <w:r w:rsidR="00551A26">
              <w:t xml:space="preserve"> sampling window</w:t>
            </w:r>
            <w:r>
              <w:t xml:space="preserve">.  Acceptability measures to prescribers and </w:t>
            </w:r>
            <w:r w:rsidR="00551A26">
              <w:t xml:space="preserve">further </w:t>
            </w:r>
            <w:r>
              <w:t>validation is required prior to clinical use.</w:t>
            </w:r>
          </w:p>
        </w:tc>
      </w:tr>
    </w:tbl>
    <w:p w14:paraId="5C1C2ADE" w14:textId="77777777" w:rsidR="00D849E2" w:rsidRDefault="00D849E2" w:rsidP="00E00F5F"/>
    <w:sectPr w:rsidR="00D849E2" w:rsidSect="00B10D36">
      <w:footerReference w:type="default" r:id="rId14"/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4B2CE" w14:textId="77777777" w:rsidR="00FC133C" w:rsidRDefault="00FC133C" w:rsidP="00991487">
      <w:pPr>
        <w:spacing w:after="0" w:line="240" w:lineRule="auto"/>
      </w:pPr>
      <w:r>
        <w:separator/>
      </w:r>
    </w:p>
  </w:endnote>
  <w:endnote w:type="continuationSeparator" w:id="0">
    <w:p w14:paraId="268BB4D4" w14:textId="77777777" w:rsidR="00FC133C" w:rsidRDefault="00FC133C" w:rsidP="00991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094DC" w14:textId="2D6D01EB" w:rsidR="00D849E2" w:rsidRPr="00794EBE" w:rsidRDefault="00D849E2" w:rsidP="00794EBE">
    <w:pPr>
      <w:pStyle w:val="Footer"/>
      <w:jc w:val="center"/>
    </w:pPr>
  </w:p>
  <w:p w14:paraId="347FFAD4" w14:textId="0725F8CD" w:rsidR="002569DF" w:rsidRPr="00794EBE" w:rsidRDefault="00794EBE" w:rsidP="00794EBE">
    <w:pPr>
      <w:jc w:val="center"/>
      <w:rPr>
        <w:rFonts w:ascii="Times New Roman" w:eastAsia="Times New Roman" w:hAnsi="Times New Roman" w:cs="Times New Roman"/>
        <w:sz w:val="20"/>
        <w:szCs w:val="20"/>
      </w:rPr>
    </w:pPr>
    <w:r w:rsidRPr="00794EBE">
      <w:rPr>
        <w:rFonts w:ascii="Arial" w:hAnsi="Arial" w:cs="Arial"/>
        <w:sz w:val="20"/>
        <w:szCs w:val="20"/>
      </w:rPr>
      <w:t>Deadline for O</w:t>
    </w:r>
    <w:r w:rsidR="00D849E2" w:rsidRPr="00794EBE">
      <w:rPr>
        <w:rFonts w:ascii="Arial" w:hAnsi="Arial" w:cs="Arial"/>
        <w:sz w:val="20"/>
        <w:szCs w:val="20"/>
      </w:rPr>
      <w:t xml:space="preserve">ral submissions – </w:t>
    </w:r>
    <w:r w:rsidR="00116603">
      <w:rPr>
        <w:rFonts w:ascii="Arial" w:eastAsia="Times New Roman" w:hAnsi="Arial" w:cs="Times New Roman"/>
        <w:sz w:val="19"/>
        <w:szCs w:val="19"/>
        <w:shd w:val="clear" w:color="auto" w:fill="FFFFFF"/>
      </w:rPr>
      <w:t>Friday 14 August</w:t>
    </w:r>
    <w:r w:rsidRPr="00794EBE">
      <w:rPr>
        <w:rFonts w:ascii="Arial" w:eastAsia="Times New Roman" w:hAnsi="Arial" w:cs="Times New Roman"/>
        <w:sz w:val="19"/>
        <w:szCs w:val="19"/>
        <w:shd w:val="clear" w:color="auto" w:fill="FFFFFF"/>
      </w:rPr>
      <w:t xml:space="preserve"> 20</w:t>
    </w:r>
    <w:r w:rsidR="00B35471">
      <w:rPr>
        <w:rFonts w:ascii="Arial" w:eastAsia="Times New Roman" w:hAnsi="Arial" w:cs="Times New Roman"/>
        <w:sz w:val="19"/>
        <w:szCs w:val="19"/>
        <w:shd w:val="clear" w:color="auto" w:fill="FFFFFF"/>
      </w:rPr>
      <w:t>20</w:t>
    </w:r>
    <w:r w:rsidRPr="00794EBE">
      <w:rPr>
        <w:rFonts w:ascii="Arial" w:eastAsia="Times New Roman" w:hAnsi="Arial" w:cs="Times New Roman"/>
        <w:sz w:val="19"/>
        <w:szCs w:val="19"/>
        <w:shd w:val="clear" w:color="auto" w:fill="FFFFFF"/>
      </w:rPr>
      <w:br/>
    </w:r>
    <w:r w:rsidRPr="00794EBE">
      <w:rPr>
        <w:rFonts w:ascii="Arial" w:hAnsi="Arial" w:cs="Arial"/>
        <w:sz w:val="20"/>
        <w:szCs w:val="20"/>
      </w:rPr>
      <w:t>Deadline for P</w:t>
    </w:r>
    <w:r w:rsidR="00D849E2" w:rsidRPr="00794EBE">
      <w:rPr>
        <w:rFonts w:ascii="Arial" w:hAnsi="Arial" w:cs="Arial"/>
        <w:sz w:val="20"/>
        <w:szCs w:val="20"/>
      </w:rPr>
      <w:t xml:space="preserve">oster submissions – </w:t>
    </w:r>
    <w:r w:rsidRPr="00794EBE">
      <w:rPr>
        <w:rFonts w:ascii="Arial" w:eastAsia="Times New Roman" w:hAnsi="Arial" w:cs="Times New Roman"/>
        <w:sz w:val="19"/>
        <w:szCs w:val="19"/>
        <w:shd w:val="clear" w:color="auto" w:fill="FFFFFF"/>
      </w:rPr>
      <w:t xml:space="preserve">Friday </w:t>
    </w:r>
    <w:r w:rsidR="00116603">
      <w:rPr>
        <w:rFonts w:ascii="Arial" w:eastAsia="Times New Roman" w:hAnsi="Arial" w:cs="Times New Roman"/>
        <w:sz w:val="19"/>
        <w:szCs w:val="19"/>
        <w:shd w:val="clear" w:color="auto" w:fill="FFFFFF"/>
      </w:rPr>
      <w:t>18 September</w:t>
    </w:r>
    <w:r w:rsidRPr="00794EBE">
      <w:rPr>
        <w:rFonts w:ascii="Arial" w:eastAsia="Times New Roman" w:hAnsi="Arial" w:cs="Times New Roman"/>
        <w:sz w:val="19"/>
        <w:szCs w:val="19"/>
        <w:shd w:val="clear" w:color="auto" w:fill="FFFFFF"/>
      </w:rPr>
      <w:t xml:space="preserve"> 20</w:t>
    </w:r>
    <w:r w:rsidR="003F4D6B">
      <w:rPr>
        <w:rFonts w:ascii="Arial" w:eastAsia="Times New Roman" w:hAnsi="Arial" w:cs="Times New Roman"/>
        <w:sz w:val="19"/>
        <w:szCs w:val="19"/>
        <w:shd w:val="clear" w:color="auto" w:fill="FFFFFF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A30C6" w14:textId="77777777" w:rsidR="00FC133C" w:rsidRDefault="00FC133C" w:rsidP="00991487">
      <w:pPr>
        <w:spacing w:after="0" w:line="240" w:lineRule="auto"/>
      </w:pPr>
      <w:r>
        <w:separator/>
      </w:r>
    </w:p>
  </w:footnote>
  <w:footnote w:type="continuationSeparator" w:id="0">
    <w:p w14:paraId="32807F8E" w14:textId="77777777" w:rsidR="00FC133C" w:rsidRDefault="00FC133C" w:rsidP="00991487">
      <w:pPr>
        <w:spacing w:after="0" w:line="240" w:lineRule="auto"/>
      </w:pPr>
      <w:r>
        <w:continuationSeparator/>
      </w:r>
    </w:p>
  </w:footnote>
  <w:footnote w:id="1">
    <w:p w14:paraId="11858052" w14:textId="48245A80" w:rsidR="00C25DEA" w:rsidRPr="00BE30AD" w:rsidRDefault="00C25DEA" w:rsidP="00C25DEA">
      <w:pPr>
        <w:keepNext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sz w:val="20"/>
          <w:szCs w:val="18"/>
        </w:rPr>
      </w:pPr>
      <w:r w:rsidRPr="00BE30AD">
        <w:rPr>
          <w:rFonts w:eastAsia="Times New Roman"/>
          <w:sz w:val="20"/>
          <w:szCs w:val="18"/>
          <w:lang w:val="fr-FR"/>
        </w:rPr>
        <w:t xml:space="preserve">Nicolau DP, Freeman CD et al. </w:t>
      </w:r>
      <w:r w:rsidRPr="00BE30AD">
        <w:rPr>
          <w:rFonts w:eastAsia="Times New Roman"/>
          <w:sz w:val="20"/>
          <w:szCs w:val="18"/>
        </w:rPr>
        <w:t>Experience with a Once-daily Aminoglycoside Program Administered to 2,184 Adult Patients. Antimicrobial Agents and Chemotherapy 1995; 39: 650-655.</w:t>
      </w:r>
    </w:p>
    <w:p w14:paraId="09A941A1" w14:textId="4998885B" w:rsidR="00BC65B0" w:rsidRPr="00BE30AD" w:rsidRDefault="00BC65B0">
      <w:pPr>
        <w:pStyle w:val="FootnoteText"/>
        <w:rPr>
          <w:sz w:val="18"/>
          <w:szCs w:val="18"/>
        </w:rPr>
      </w:pPr>
    </w:p>
  </w:footnote>
  <w:footnote w:id="2">
    <w:p w14:paraId="1AD3EDC3" w14:textId="3E7B397C" w:rsidR="00BE30AD" w:rsidRPr="00BE30AD" w:rsidRDefault="00BE30AD" w:rsidP="00BE30AD">
      <w:pPr>
        <w:keepNext/>
        <w:numPr>
          <w:ilvl w:val="0"/>
          <w:numId w:val="1"/>
        </w:numPr>
        <w:spacing w:after="0" w:line="240" w:lineRule="auto"/>
        <w:rPr>
          <w:rFonts w:eastAsia="Times New Roman" w:cs="Arial"/>
          <w:sz w:val="20"/>
          <w:szCs w:val="18"/>
        </w:rPr>
      </w:pPr>
      <w:r w:rsidRPr="00BE30AD">
        <w:rPr>
          <w:rFonts w:eastAsia="Times New Roman" w:cs="Arial"/>
          <w:color w:val="000000"/>
          <w:sz w:val="20"/>
          <w:szCs w:val="18"/>
        </w:rPr>
        <w:t>Winter ME. Basic Clinical Pharmacokinetics. 5</w:t>
      </w:r>
      <w:r w:rsidRPr="00BE30AD">
        <w:rPr>
          <w:rFonts w:eastAsia="Times New Roman" w:cs="Arial"/>
          <w:color w:val="000000"/>
          <w:sz w:val="20"/>
          <w:szCs w:val="18"/>
          <w:vertAlign w:val="superscript"/>
        </w:rPr>
        <w:t>th</w:t>
      </w:r>
      <w:r w:rsidRPr="00BE30AD">
        <w:rPr>
          <w:rFonts w:eastAsia="Times New Roman" w:cs="Arial"/>
          <w:color w:val="000000"/>
          <w:sz w:val="20"/>
          <w:szCs w:val="18"/>
        </w:rPr>
        <w:t xml:space="preserve"> ed. Lippincott Williams &amp; Wilkins; 2010.p.137, </w:t>
      </w:r>
      <w:r w:rsidRPr="00BE30AD">
        <w:rPr>
          <w:rFonts w:eastAsia="Times New Roman" w:cs="Arial"/>
          <w:sz w:val="20"/>
          <w:szCs w:val="18"/>
        </w:rPr>
        <w:t xml:space="preserve">144-145. </w:t>
      </w:r>
    </w:p>
    <w:p w14:paraId="5764B4B4" w14:textId="4F55058A" w:rsidR="00BC65B0" w:rsidRDefault="00BC65B0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2181A"/>
    <w:multiLevelType w:val="hybridMultilevel"/>
    <w:tmpl w:val="ADF03E2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87"/>
    <w:rsid w:val="000F3F8A"/>
    <w:rsid w:val="00116603"/>
    <w:rsid w:val="001604B5"/>
    <w:rsid w:val="00207E79"/>
    <w:rsid w:val="0023228B"/>
    <w:rsid w:val="002569DF"/>
    <w:rsid w:val="00264E41"/>
    <w:rsid w:val="003364A8"/>
    <w:rsid w:val="003C3E54"/>
    <w:rsid w:val="003F4D6B"/>
    <w:rsid w:val="004436C7"/>
    <w:rsid w:val="00447D1D"/>
    <w:rsid w:val="00457D74"/>
    <w:rsid w:val="005145D0"/>
    <w:rsid w:val="00551A26"/>
    <w:rsid w:val="00567240"/>
    <w:rsid w:val="005922A7"/>
    <w:rsid w:val="0060309E"/>
    <w:rsid w:val="006D2BAC"/>
    <w:rsid w:val="006D694D"/>
    <w:rsid w:val="006E70AE"/>
    <w:rsid w:val="00706464"/>
    <w:rsid w:val="00794EBE"/>
    <w:rsid w:val="007E254F"/>
    <w:rsid w:val="00807697"/>
    <w:rsid w:val="00845013"/>
    <w:rsid w:val="008C3765"/>
    <w:rsid w:val="009351CA"/>
    <w:rsid w:val="00991487"/>
    <w:rsid w:val="009B51D8"/>
    <w:rsid w:val="00A1218E"/>
    <w:rsid w:val="00A22351"/>
    <w:rsid w:val="00A963F6"/>
    <w:rsid w:val="00B10D36"/>
    <w:rsid w:val="00B35471"/>
    <w:rsid w:val="00B824F5"/>
    <w:rsid w:val="00BC65B0"/>
    <w:rsid w:val="00BE30AD"/>
    <w:rsid w:val="00C25DEA"/>
    <w:rsid w:val="00CB4BAA"/>
    <w:rsid w:val="00D55239"/>
    <w:rsid w:val="00D849E2"/>
    <w:rsid w:val="00E00F5F"/>
    <w:rsid w:val="00EB5CC7"/>
    <w:rsid w:val="00EF5727"/>
    <w:rsid w:val="00F678C9"/>
    <w:rsid w:val="00F72EA9"/>
    <w:rsid w:val="00FC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10C7F0"/>
  <w15:docId w15:val="{EAEE1463-6CE8-490B-88EE-61B07F84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487"/>
  </w:style>
  <w:style w:type="paragraph" w:styleId="Footer">
    <w:name w:val="footer"/>
    <w:basedOn w:val="Normal"/>
    <w:link w:val="FooterChar"/>
    <w:uiPriority w:val="99"/>
    <w:unhideWhenUsed/>
    <w:rsid w:val="00991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487"/>
  </w:style>
  <w:style w:type="paragraph" w:styleId="BalloonText">
    <w:name w:val="Balloon Text"/>
    <w:basedOn w:val="Normal"/>
    <w:link w:val="BalloonTextChar"/>
    <w:uiPriority w:val="99"/>
    <w:semiHidden/>
    <w:unhideWhenUsed/>
    <w:rsid w:val="00991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4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1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69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5B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65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65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65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8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Kevin.frost@anhst.nhs.u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D056B550BF044B8F24DB3767FD6011" ma:contentTypeVersion="12" ma:contentTypeDescription="Create a new document." ma:contentTypeScope="" ma:versionID="f4837fa6b05112a5a252aba78013ef0d">
  <xsd:schema xmlns:xsd="http://www.w3.org/2001/XMLSchema" xmlns:xs="http://www.w3.org/2001/XMLSchema" xmlns:p="http://schemas.microsoft.com/office/2006/metadata/properties" xmlns:ns2="f6046f29-5f9a-4222-b0e0-fab62d4fbb46" xmlns:ns3="3a50e11a-3f05-4ad6-a180-901be0e095d4" targetNamespace="http://schemas.microsoft.com/office/2006/metadata/properties" ma:root="true" ma:fieldsID="57ee71a43a3b1591afb29219086e2274" ns2:_="" ns3:_="">
    <xsd:import namespace="f6046f29-5f9a-4222-b0e0-fab62d4fbb46"/>
    <xsd:import namespace="3a50e11a-3f05-4ad6-a180-901be0e095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46f29-5f9a-4222-b0e0-fab62d4f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0e11a-3f05-4ad6-a180-901be0e095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E672E3-7F25-40C1-8BF8-3AF739C6E2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01D36A-2A3E-4DFA-8751-971874291F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7E1B55-E0ED-46BB-896E-2152FFC861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B5FD6C-F8C5-4C68-9B88-8177F555F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046f29-5f9a-4222-b0e0-fab62d4fbb46"/>
    <ds:schemaRef ds:uri="3a50e11a-3f05-4ad6-a180-901be0e09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Bowley</dc:creator>
  <cp:lastModifiedBy>Kev Frost</cp:lastModifiedBy>
  <cp:revision>5</cp:revision>
  <cp:lastPrinted>2016-05-06T10:32:00Z</cp:lastPrinted>
  <dcterms:created xsi:type="dcterms:W3CDTF">2020-09-12T07:22:00Z</dcterms:created>
  <dcterms:modified xsi:type="dcterms:W3CDTF">2020-09-14T23:38:00Z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0x010100E0D056B550BF044B8F24DB3767FD6011</vt:lpwstr>
  </property>
</Properties>
</file>