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A365D"/>
          <w:sz w:val="44"/>
        </w:rPr>
        <w:t>INFORME DE ARQUITECTURA Y LÓGICA DE NEGOCIO</w:t>
        <w:br/>
        <w:t>ECOSISTEMA DE MICROSERVICIOS</w:t>
      </w:r>
    </w:p>
    <w:p>
      <w:pPr>
        <w:spacing w:after="720"/>
        <w:jc w:val="center"/>
      </w:pPr>
      <w:r>
        <w:rPr>
          <w:rFonts w:ascii="Arial" w:hAnsi="Arial"/>
          <w:color w:val="4A5568"/>
          <w:sz w:val="28"/>
        </w:rPr>
        <w:t>Sistema Integrado para la Gestión de Complejos Deportivos</w:t>
      </w:r>
    </w:p>
    <w:p>
      <w:pPr>
        <w:keepNext/>
        <w:spacing w:before="360" w:after="120"/>
      </w:pPr>
      <w:r>
        <w:rPr>
          <w:rFonts w:ascii="Arial" w:hAnsi="Arial"/>
          <w:b/>
          <w:color w:val="1A365D"/>
          <w:sz w:val="36"/>
        </w:rPr>
        <w:t>1. INTRODUCCIÓN Y ARQUITECTURA GENERAL</w:t>
      </w:r>
    </w:p>
    <w:p>
      <w:pPr>
        <w:spacing w:after="200" w:line="276" w:lineRule="auto"/>
      </w:pPr>
      <w:r>
        <w:rPr>
          <w:rFonts w:ascii="Arial" w:hAnsi="Arial"/>
          <w:sz w:val="22"/>
        </w:rPr>
        <w:t>El presente documento detalla la lógica de negocio y las reglas operativas que gobiernan el sistema distribuido para la gestión de complejos deportivos. La solución está diseñada bajo un enfoque de arquitectura de microservicios utilizando Spring Boot como framework principal, JPA/Hibernate para la persistencia de datos, y MariaDB como motor de base de datos relacional. Cada componente es independiente, autónomo y se comunica mediante APIs REST del protocolo HTTP.</w:t>
      </w:r>
    </w:p>
    <w:p>
      <w:pPr>
        <w:keepNext/>
        <w:spacing w:before="240" w:after="120"/>
      </w:pPr>
      <w:r>
        <w:rPr>
          <w:rFonts w:ascii="Arial" w:hAnsi="Arial"/>
          <w:b/>
          <w:color w:val="1A365D"/>
          <w:sz w:val="36"/>
        </w:rPr>
        <w:t>2. RESUMEN DEL ECOSISTEMA (10 MICROSERVICIOS)</w:t>
      </w:r>
    </w:p>
    <w:p>
      <w:pPr>
        <w:pStyle w:val="ListBullet"/>
        <w:spacing w:after="80"/>
      </w:pPr>
      <w:r>
        <w:rPr>
          <w:rFonts w:ascii="Arial" w:hAnsi="Arial"/>
          <w:b/>
          <w:sz w:val="22"/>
        </w:rPr>
        <w:t xml:space="preserve">1. Canchas e Infraestructura: </w:t>
      </w:r>
      <w:r>
        <w:rPr>
          <w:rFonts w:ascii="Arial" w:hAnsi="Arial"/>
          <w:sz w:val="22"/>
        </w:rPr>
        <w:t>Gestión física del complejo: canchas, iluminación, mantenimiento y tarifas base por bloques de horarios.</w:t>
      </w:r>
    </w:p>
    <w:p>
      <w:pPr>
        <w:pStyle w:val="ListBullet"/>
        <w:spacing w:after="80"/>
      </w:pPr>
      <w:r>
        <w:rPr>
          <w:rFonts w:ascii="Arial" w:hAnsi="Arial"/>
          <w:b/>
          <w:sz w:val="22"/>
        </w:rPr>
        <w:t xml:space="preserve">2. Reservas (Motor Central): </w:t>
      </w:r>
      <w:r>
        <w:rPr>
          <w:rFonts w:ascii="Arial" w:hAnsi="Arial"/>
          <w:sz w:val="22"/>
        </w:rPr>
        <w:t>Orquestación de la disponibilidad. Maneja el calendario, bloqueos de horarios y asignaciones automáticas.</w:t>
      </w:r>
    </w:p>
    <w:p>
      <w:pPr>
        <w:pStyle w:val="ListBullet"/>
        <w:spacing w:after="80"/>
      </w:pPr>
      <w:r>
        <w:rPr>
          <w:rFonts w:ascii="Arial" w:hAnsi="Arial"/>
          <w:b/>
          <w:sz w:val="22"/>
        </w:rPr>
        <w:t xml:space="preserve">3. Usuarios y Clientes: </w:t>
      </w:r>
      <w:r>
        <w:rPr>
          <w:rFonts w:ascii="Arial" w:hAnsi="Arial"/>
          <w:sz w:val="22"/>
        </w:rPr>
        <w:t>Administración de perfiles de clientes, membresías, datos de contacto e historial transaccional.</w:t>
      </w:r>
    </w:p>
    <w:p>
      <w:pPr>
        <w:pStyle w:val="ListBullet"/>
        <w:spacing w:after="80"/>
      </w:pPr>
      <w:r>
        <w:rPr>
          <w:rFonts w:ascii="Arial" w:hAnsi="Arial"/>
          <w:b/>
          <w:sz w:val="22"/>
        </w:rPr>
        <w:t xml:space="preserve">4. Pagos y Caja: </w:t>
      </w:r>
      <w:r>
        <w:rPr>
          <w:rFonts w:ascii="Arial" w:hAnsi="Arial"/>
          <w:sz w:val="22"/>
        </w:rPr>
        <w:t>Procesamiento de pagos (efectivo, transferencia, Webpay), emisión de comprobantes y cuadres de caja diarios.</w:t>
      </w:r>
    </w:p>
    <w:p>
      <w:pPr>
        <w:pStyle w:val="ListBullet"/>
        <w:spacing w:after="80"/>
      </w:pPr>
      <w:r>
        <w:rPr>
          <w:rFonts w:ascii="Arial" w:hAnsi="Arial"/>
          <w:b/>
          <w:sz w:val="22"/>
        </w:rPr>
        <w:t xml:space="preserve">5. Notificaciones: </w:t>
      </w:r>
      <w:r>
        <w:rPr>
          <w:rFonts w:ascii="Arial" w:hAnsi="Arial"/>
          <w:sz w:val="22"/>
        </w:rPr>
        <w:t>Automatización de envíos de recordatorios, confirmación de reservas y alertas de suspensión vía correo/SMS.</w:t>
      </w:r>
    </w:p>
    <w:p>
      <w:pPr>
        <w:pStyle w:val="ListBullet"/>
        <w:spacing w:after="80"/>
      </w:pPr>
      <w:r>
        <w:rPr>
          <w:rFonts w:ascii="Arial" w:hAnsi="Arial"/>
          <w:b/>
          <w:sz w:val="22"/>
        </w:rPr>
        <w:t xml:space="preserve">6. Reportes y Dashboard: </w:t>
      </w:r>
      <w:r>
        <w:rPr>
          <w:rFonts w:ascii="Arial" w:hAnsi="Arial"/>
          <w:sz w:val="22"/>
        </w:rPr>
        <w:t>Consolidación de métricas claves: porcentaje de ocupación, ingresos brutos y canchas con mayor demanda.</w:t>
      </w:r>
    </w:p>
    <w:p>
      <w:pPr>
        <w:pStyle w:val="ListBullet"/>
        <w:spacing w:after="80"/>
      </w:pPr>
      <w:r>
        <w:rPr>
          <w:rFonts w:ascii="Arial" w:hAnsi="Arial"/>
          <w:b/>
          <w:sz w:val="22"/>
        </w:rPr>
        <w:t xml:space="preserve">7. Personal y Turnos: </w:t>
      </w:r>
      <w:r>
        <w:rPr>
          <w:rFonts w:ascii="Arial" w:hAnsi="Arial"/>
          <w:sz w:val="22"/>
        </w:rPr>
        <w:t>Control de asistencias, asignación de operarios y limpieza de canchas entre bloques de uso.</w:t>
      </w:r>
    </w:p>
    <w:p>
      <w:pPr>
        <w:pStyle w:val="ListBullet"/>
        <w:spacing w:after="80"/>
      </w:pPr>
      <w:r>
        <w:rPr>
          <w:rFonts w:ascii="Arial" w:hAnsi="Arial"/>
          <w:b/>
          <w:sz w:val="22"/>
        </w:rPr>
        <w:t xml:space="preserve">8. Inventario (inventarioms): </w:t>
      </w:r>
      <w:r>
        <w:rPr>
          <w:rFonts w:ascii="Arial" w:hAnsi="Arial"/>
          <w:sz w:val="22"/>
        </w:rPr>
        <w:t>Control de insumos y equipamiento deportivo (balones, redes, chalecos), su stock físico y estado operativo.</w:t>
      </w:r>
    </w:p>
    <w:p>
      <w:pPr>
        <w:pStyle w:val="ListBullet"/>
        <w:spacing w:after="80"/>
      </w:pPr>
      <w:r>
        <w:rPr>
          <w:rFonts w:ascii="Arial" w:hAnsi="Arial"/>
          <w:b/>
          <w:sz w:val="22"/>
        </w:rPr>
        <w:t xml:space="preserve">9. Seguridad (seguridadms): </w:t>
      </w:r>
      <w:r>
        <w:rPr>
          <w:rFonts w:ascii="Arial" w:hAnsi="Arial"/>
          <w:sz w:val="22"/>
        </w:rPr>
        <w:t>Centralización de la autenticación, registro, encriptación irreversible con BCrypt y control de roles (ADMIN, OPERADOR, CLIENTE).</w:t>
      </w:r>
    </w:p>
    <w:p>
      <w:pPr>
        <w:pStyle w:val="ListBullet"/>
        <w:spacing w:after="80"/>
      </w:pPr>
      <w:r>
        <w:rPr>
          <w:rFonts w:ascii="Arial" w:hAnsi="Arial"/>
          <w:b/>
          <w:sz w:val="22"/>
        </w:rPr>
        <w:t xml:space="preserve">10. Lista Negra (listanegrams): </w:t>
      </w:r>
      <w:r>
        <w:rPr>
          <w:rFonts w:ascii="Arial" w:hAnsi="Arial"/>
          <w:sz w:val="22"/>
        </w:rPr>
        <w:t>Control de acceso y mitigación de riesgos. Bloqueo inmediato por RUT a clientes morosos o conflictivos.</w:t>
      </w:r>
    </w:p>
    <w:p>
      <w:pPr>
        <w:keepNext/>
        <w:spacing w:before="360" w:after="120"/>
      </w:pPr>
      <w:r>
        <w:rPr>
          <w:rFonts w:ascii="Arial" w:hAnsi="Arial"/>
          <w:b/>
          <w:color w:val="1A365D"/>
          <w:sz w:val="36"/>
        </w:rPr>
        <w:t>3. DETALLE DE LÓGICA DE NEGOCIO DE LOS MÓDULOS CRUCIALES</w:t>
      </w:r>
    </w:p>
    <w:p>
      <w:pPr>
        <w:keepNext/>
        <w:spacing w:before="240" w:after="120"/>
      </w:pPr>
      <w:r>
        <w:rPr>
          <w:rFonts w:ascii="Arial" w:hAnsi="Arial"/>
          <w:b/>
          <w:color w:val="2B6CB0"/>
          <w:sz w:val="28"/>
        </w:rPr>
        <w:t>3.1 Microservicio de Seguridad (seguridadms)</w:t>
      </w:r>
    </w:p>
    <w:p>
      <w:r>
        <w:rPr>
          <w:rFonts w:ascii="Arial" w:hAnsi="Arial"/>
        </w:rPr>
        <w:t>Este módulo actúa como el guardián de seguridad perimetral del sistema, aislando la lógica de credenciales de los datos personales de los clientes.</w:t>
      </w:r>
    </w:p>
    <w:p>
      <w:pPr>
        <w:keepNext/>
        <w:spacing w:before="240" w:after="120"/>
      </w:pPr>
      <w:r>
        <w:rPr>
          <w:rFonts w:ascii="Arial" w:hAnsi="Arial"/>
          <w:b/>
          <w:i/>
          <w:color w:val="4A5568"/>
          <w:sz w:val="24"/>
        </w:rPr>
        <w:t>Reglas de Negocio e Implementación Técnica:</w:t>
      </w:r>
    </w:p>
    <w:p>
      <w:pPr>
        <w:pStyle w:val="ListBullet"/>
        <w:spacing w:after="60"/>
      </w:pPr>
      <w:r>
        <w:rPr>
          <w:rFonts w:ascii="Arial" w:hAnsi="Arial"/>
          <w:b/>
        </w:rPr>
        <w:t>Unicidad de Identidad:</w:t>
      </w:r>
      <w:r>
        <w:rPr>
          <w:rFonts w:ascii="Arial" w:hAnsi="Arial"/>
        </w:rPr>
        <w:t xml:space="preserve"> El correo electrónico funciona como identificador único en la tabla 'credencial'. No se permiten registros duplicados.</w:t>
      </w:r>
    </w:p>
    <w:p>
      <w:pPr>
        <w:pStyle w:val="ListBullet"/>
        <w:spacing w:after="60"/>
      </w:pPr>
      <w:r>
        <w:rPr>
          <w:rFonts w:ascii="Arial" w:hAnsi="Arial"/>
          <w:b/>
        </w:rPr>
        <w:t>Criptografía Segura (BCrypt):</w:t>
      </w:r>
      <w:r>
        <w:rPr>
          <w:rFonts w:ascii="Arial" w:hAnsi="Arial"/>
        </w:rPr>
        <w:t xml:space="preserve"> Queda estrictamente prohibido almacenar contraseñas en texto plano. Se implementa la interfaz PasswordEncoder mediante BCryptPasswordEncoder, generando un hash irreversible con sal (salt) aleatoria antes de la persistencia en MariaDB.</w:t>
      </w:r>
    </w:p>
    <w:p>
      <w:pPr>
        <w:pStyle w:val="ListBullet"/>
        <w:spacing w:after="60"/>
      </w:pPr>
      <w:r>
        <w:rPr>
          <w:rFonts w:ascii="Arial" w:hAnsi="Arial"/>
          <w:b/>
        </w:rPr>
        <w:t>Arquitectura DTO (Data Transfer Objects):</w:t>
      </w:r>
      <w:r>
        <w:rPr>
          <w:rFonts w:ascii="Arial" w:hAnsi="Arial"/>
        </w:rPr>
        <w:t xml:space="preserve"> El intercambio de datos se realiza mediante RegistroRequestDTO y LoginRequestDTO para proteger los campos sensibles de la entidad. La respuesta exitosa (AuthResponseDTO) entrega un token de sesión simulado.</w:t>
      </w:r>
    </w:p>
    <w:p>
      <w:pPr>
        <w:pStyle w:val="ListBullet"/>
        <w:spacing w:after="60"/>
      </w:pPr>
      <w:r>
        <w:rPr>
          <w:rFonts w:ascii="Arial" w:hAnsi="Arial"/>
          <w:b/>
        </w:rPr>
        <w:t>Control de Roles Extensible:</w:t>
      </w:r>
      <w:r>
        <w:rPr>
          <w:rFonts w:ascii="Arial" w:hAnsi="Arial"/>
        </w:rPr>
        <w:t xml:space="preserve"> Cada credencial nace con un rol rígido indexado (ADMIN, OPERADOR, CLIENTE) forzado a mayúsculas mediante la lógica del servicio (.toUpperCase()), asegurando compatibilidad con los filtros de Spring Security.</w:t>
      </w:r>
    </w:p>
    <w:p>
      <w:pPr>
        <w:keepNext/>
        <w:spacing w:before="240" w:after="120"/>
      </w:pPr>
      <w:r>
        <w:rPr>
          <w:rFonts w:ascii="Arial" w:hAnsi="Arial"/>
          <w:b/>
          <w:color w:val="2B6CB0"/>
          <w:sz w:val="28"/>
        </w:rPr>
        <w:t>3.2 Microservicio de Inventario (inventarioms)</w:t>
      </w:r>
    </w:p>
    <w:p>
      <w:r>
        <w:rPr>
          <w:rFonts w:ascii="Arial" w:hAnsi="Arial"/>
        </w:rPr>
        <w:t>Encargado de supervisar la disponibilidad de insumos deportivos esenciales para el desarrollo de los partidos arrendados por los usuarios.</w:t>
      </w:r>
    </w:p>
    <w:p>
      <w:pPr>
        <w:keepNext/>
        <w:spacing w:before="240" w:after="120"/>
      </w:pPr>
      <w:r>
        <w:rPr>
          <w:rFonts w:ascii="Arial" w:hAnsi="Arial"/>
          <w:b/>
          <w:i/>
          <w:color w:val="4A5568"/>
          <w:sz w:val="24"/>
        </w:rPr>
        <w:t>Reglas de Negocio e Implementación Técnica:</w:t>
      </w:r>
    </w:p>
    <w:p>
      <w:pPr>
        <w:pStyle w:val="ListBullet"/>
        <w:spacing w:after="60"/>
      </w:pPr>
      <w:r>
        <w:rPr>
          <w:rFonts w:ascii="Arial" w:hAnsi="Arial"/>
          <w:b/>
        </w:rPr>
        <w:t>Ciclo de Vida del Implemento:</w:t>
      </w:r>
      <w:r>
        <w:rPr>
          <w:rFonts w:ascii="Arial" w:hAnsi="Arial"/>
        </w:rPr>
        <w:t xml:space="preserve"> Cada implemento (balones, chalecos, redes) cuenta con un estado operativo controlado ('Disponible', 'En Mantenimiento', 'Baja').</w:t>
      </w:r>
    </w:p>
    <w:p>
      <w:pPr>
        <w:pStyle w:val="ListBullet"/>
        <w:spacing w:after="60"/>
      </w:pPr>
      <w:r>
        <w:rPr>
          <w:rFonts w:ascii="Arial" w:hAnsi="Arial"/>
          <w:b/>
        </w:rPr>
        <w:t>Validación de Integridad de Entrada:</w:t>
      </w:r>
      <w:r>
        <w:rPr>
          <w:rFonts w:ascii="Arial" w:hAnsi="Arial"/>
        </w:rPr>
        <w:t xml:space="preserve"> Mediante DTOs dedicados de Request y Response, se aísla la clave primaria autonumérica (ID) autogenerada por MariaDB, impidiendo manipulaciones externas del índice.</w:t>
      </w:r>
    </w:p>
    <w:p>
      <w:pPr>
        <w:pStyle w:val="ListBullet"/>
        <w:spacing w:after="60"/>
      </w:pPr>
      <w:r>
        <w:rPr>
          <w:rFonts w:ascii="Arial" w:hAnsi="Arial"/>
          <w:b/>
        </w:rPr>
        <w:t>Lógica de Abstracción Repositorio-Servicio:</w:t>
      </w:r>
      <w:r>
        <w:rPr>
          <w:rFonts w:ascii="Arial" w:hAnsi="Arial"/>
        </w:rPr>
        <w:t xml:space="preserve"> Utiliza Spring Data JPA extendiendo JpaRepository, lo que elimina el uso de SQL cableado en el código, reduciendo la superficie de vulnerabilidad a inyecciones de código y automatizando los mapeos relacionales.</w:t>
      </w:r>
    </w:p>
    <w:p>
      <w:pPr>
        <w:keepNext/>
        <w:spacing w:before="240" w:after="120"/>
      </w:pPr>
      <w:r>
        <w:rPr>
          <w:rFonts w:ascii="Arial" w:hAnsi="Arial"/>
          <w:b/>
          <w:color w:val="2B6CB0"/>
          <w:sz w:val="28"/>
        </w:rPr>
        <w:t>3.3 Microservicio de Lista Negra (listanegrams)</w:t>
      </w:r>
    </w:p>
    <w:p>
      <w:r>
        <w:rPr>
          <w:rFonts w:ascii="Arial" w:hAnsi="Arial"/>
        </w:rPr>
        <w:t>Módulo de control preventivo diseñado para proteger la infraestructura física del complejo y mitigar las deudas financieras.</w:t>
      </w:r>
    </w:p>
    <w:p>
      <w:pPr>
        <w:keepNext/>
        <w:spacing w:before="240" w:after="120"/>
      </w:pPr>
      <w:r>
        <w:rPr>
          <w:rFonts w:ascii="Arial" w:hAnsi="Arial"/>
          <w:b/>
          <w:i/>
          <w:color w:val="4A5568"/>
          <w:sz w:val="24"/>
        </w:rPr>
        <w:t>Reglas de Negocio e Implementación Técnica:</w:t>
      </w:r>
    </w:p>
    <w:p>
      <w:pPr>
        <w:pStyle w:val="ListBullet"/>
        <w:spacing w:after="60"/>
      </w:pPr>
      <w:r>
        <w:rPr>
          <w:rFonts w:ascii="Arial" w:hAnsi="Arial"/>
          <w:b/>
        </w:rPr>
        <w:t>Identificación Inequívoca por RUT:</w:t>
      </w:r>
      <w:r>
        <w:rPr>
          <w:rFonts w:ascii="Arial" w:hAnsi="Arial"/>
        </w:rPr>
        <w:t xml:space="preserve"> La llave de bloqueo principal es el RUT, formateado de manera estándar como string único. Si un RUT ya está bloqueado, el sistema interrumpe el flujo arrojando una excepción en tiempo de ejecución (RuntimeException).</w:t>
      </w:r>
    </w:p>
    <w:p>
      <w:pPr>
        <w:pStyle w:val="ListBullet"/>
        <w:spacing w:after="60"/>
      </w:pPr>
      <w:r>
        <w:rPr>
          <w:rFonts w:ascii="Arial" w:hAnsi="Arial"/>
          <w:b/>
        </w:rPr>
        <w:t>Auditoría Temporal Automatizada:</w:t>
      </w:r>
      <w:r>
        <w:rPr>
          <w:rFonts w:ascii="Arial" w:hAnsi="Arial"/>
        </w:rPr>
        <w:t xml:space="preserve"> El formulario de entrada (ClienteBloqueadoRequestDTO) no solicita fechas. El sistema calcula de forma interna y transparente el instante exacto del bloqueo utilizando LocalDate.now() del servidor antes de almacenar el registro.</w:t>
      </w:r>
    </w:p>
    <w:p>
      <w:pPr>
        <w:pStyle w:val="ListBullet"/>
        <w:spacing w:after="60"/>
      </w:pPr>
      <w:r>
        <w:rPr>
          <w:rFonts w:ascii="Arial" w:hAnsi="Arial"/>
          <w:b/>
        </w:rPr>
        <w:t>Acoplamiento de Seguridad Operativa:</w:t>
      </w:r>
      <w:r>
        <w:rPr>
          <w:rFonts w:ascii="Arial" w:hAnsi="Arial"/>
        </w:rPr>
        <w:t xml:space="preserve"> Este microservicio expone un método personalizado 'findByRut' en su capa de persistencia, diseñado para ser consumido por el microservicio de Reservas de manera síncrona. Si el RUT evaluado arroja un registro positivo en este módulo, la creación de cualquier reserva es rechazada de inmediato.</w:t>
      </w:r>
    </w:p>
    <w:p>
      <w:pPr>
        <w:keepNext/>
        <w:spacing w:before="360" w:after="120"/>
      </w:pPr>
      <w:r>
        <w:rPr>
          <w:rFonts w:ascii="Arial" w:hAnsi="Arial"/>
          <w:b/>
          <w:color w:val="1A365D"/>
          <w:sz w:val="36"/>
        </w:rPr>
        <w:t>4. RECOMENDACIONES PARA LA DEFENSA DE LA PRESENTACIÓN</w:t>
      </w:r>
    </w:p>
    <w:p>
      <w:pPr>
        <w:pStyle w:val="ListBullet"/>
        <w:spacing w:after="80"/>
      </w:pPr>
      <w:r>
        <w:rPr>
          <w:rFonts w:ascii="Arial" w:hAnsi="Arial"/>
        </w:rPr>
        <w:t>Destaca el desacoplamiento: Si el microservicio de inventario falla o se apaga por mantenimiento, los clientes pueden seguir iniciando sesión a través del microservicio de seguridad sin interrumpir la operación global del negocio.</w:t>
      </w:r>
    </w:p>
    <w:p>
      <w:pPr>
        <w:pStyle w:val="ListBullet"/>
        <w:spacing w:after="80"/>
      </w:pPr>
      <w:r>
        <w:rPr>
          <w:rFonts w:ascii="Arial" w:hAnsi="Arial"/>
        </w:rPr>
        <w:t>Enfoque en la seguridad de datos: Resalta ante la comisión examinadora que las contraseñas nunca viajan ni se guardan expuestas, cumpliendo con los estándares modernos de auditoría gracias al algoritmo de hashing adaptativo BCrypt.</w:t>
      </w:r>
    </w:p>
    <w:p>
      <w:pPr>
        <w:pStyle w:val="ListBullet"/>
        <w:spacing w:after="80"/>
      </w:pPr>
      <w:r>
        <w:rPr>
          <w:rFonts w:ascii="Arial" w:hAnsi="Arial"/>
        </w:rPr>
        <w:t>Manejo de puertos coordinado: Explica que cada microservicio corre en un puerto HTTP exclusivo (8092, 8093, 8094) para evitar colisiones en los servidores, y que la base de datos centralizada en XAMPP mapea puertos específicos (como el 3307) para convivir ordenadamente con otros entornos de desarrollo.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