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</w:p>
    <w:p>
      <w:pPr>
        <w:jc w:val="center"/>
      </w:pPr>
      <w:r>
        <w:rPr>
          <w:b/>
          <w:color w:val="39A900"/>
          <w:sz w:val="52"/>
        </w:rPr>
        <w:t>SISTEMA DE GESTIÓN DE MATERIALES (SGM)</w:t>
      </w:r>
    </w:p>
    <w:p>
      <w:pPr>
        <w:spacing w:after="4000"/>
        <w:jc w:val="center"/>
      </w:pPr>
      <w:r>
        <w:rPr>
          <w:i/>
          <w:color w:val="1E293B"/>
          <w:sz w:val="28"/>
        </w:rPr>
        <w:t>Arquitectura de Software, Modelo de Base de Datos y Guía de Integración Frontend</w:t>
      </w:r>
    </w:p>
    <w:p>
      <w:pPr>
        <w:jc w:val="center"/>
      </w:pPr>
      <w:r>
        <w:rPr>
          <w:color w:val="64748B"/>
          <w:sz w:val="22"/>
        </w:rPr>
        <w:t>Documentación Técnica del Sistema</w:t>
        <w:br/>
        <w:t>Entregable de Ingeniería de Software</w:t>
        <w:br/>
        <w:br/>
        <w:t>Fecha: Junio 2026</w:t>
        <w:br/>
        <w:t>Autor: Asistente de Desarrollo AI (Antigravity)</w:t>
      </w:r>
    </w:p>
    <w:p>
      <w:r>
        <w:br w:type="page"/>
      </w:r>
    </w:p>
    <w:p>
      <w:pPr>
        <w:pStyle w:val="Heading1"/>
        <w:keepNext/>
        <w:spacing w:before="240" w:after="120"/>
        <w:pBdr>
          <w:bottom w:val="single" w:sz="12" w:space="4" w:color="39A900"/>
        </w:pBdr>
      </w:pPr>
      <w:r>
        <w:rPr>
          <w:rFonts w:ascii="Arial" w:hAnsi="Arial"/>
          <w:b/>
          <w:color w:val="39A900"/>
          <w:sz w:val="36"/>
        </w:rPr>
        <w:t>1. Estructura y Arquitectura del Backend</w:t>
      </w:r>
    </w:p>
    <w:p>
      <w:r>
        <w:t>El backend del Sistema de Gestión de Materiales (SGM) está construido sobre NestJS, un framework de Node.js progresivo y eficiente para construir aplicaciones de servidor altamente escalables y mantenibles. Para asegurar un desacoplamiento óptimo de las responsabilidades, el backend se implementa siguiendo los principios de la Arquitectura Limpia (Clean Architecture) combinada con Arquitectura Hexagonal (Puertos y Adaptadores).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1.1. Estructura de Capas por Módulo</w:t>
      </w:r>
    </w:p>
    <w:p>
      <w:r>
        <w:t>Cada módulo del sistema (por ejemplo, 'usuarios', 'productos', 'movimientos') se organiza internamente en tres capas bien definidas:</w:t>
      </w:r>
    </w:p>
    <w:p>
      <w:pPr>
        <w:pStyle w:val="ListBullet"/>
      </w:pPr>
      <w:r>
        <w:rPr>
          <w:b/>
        </w:rPr>
        <w:t xml:space="preserve">Capa de Dominio (Domain): </w:t>
      </w:r>
      <w:r>
        <w:t>Es el núcleo de la aplicación. Contiene las entidades puras de negocio (TypeScript puro, sin dependencias de frameworks ni ORMs), excepciones de dominio y los Puertos (Interfaces). Los puertos definen las operaciones que el dominio requiere (puertos de salida, como interfaces de repositorios) y las acciones que ofrece (puertos de entrada, como interfaces de casos de uso).</w:t>
      </w:r>
    </w:p>
    <w:p>
      <w:pPr>
        <w:pStyle w:val="ListBullet"/>
      </w:pPr>
      <w:r>
        <w:rPr>
          <w:b/>
        </w:rPr>
        <w:t xml:space="preserve">Capa de Aplicación (Application): </w:t>
      </w:r>
      <w:r>
        <w:t>Orquesta los flujos de trabajo de la aplicación y ejecuta las reglas de negocio específicas de los casos de uso. Implementa las interfaces de entrada y consume las interfaces de los repositorios del dominio, actuando de puente sin conocer los detalles de la base de datos o HTTP.</w:t>
      </w:r>
    </w:p>
    <w:p>
      <w:pPr>
        <w:pStyle w:val="ListBullet"/>
      </w:pPr>
      <w:r>
        <w:rPr>
          <w:b/>
        </w:rPr>
        <w:t xml:space="preserve">Capa de Infraestructura (Infrastructure): </w:t>
      </w:r>
      <w:r>
        <w:t>Contiene todos los detalles de implementación tecnológica y adapters externos. Aquí se definen los controladores HTTP (adaptadores de entrada REST), las entidades del ORM TypeORM (que mapean directamente a la base de datos PostgreSQL) y los adaptadores de salida que implementan los repositorios del dominio, interactuando directamente con TypeORM o servicios de terceros (como colas Redis/BullMQ, envío de correos, generación de PDFs).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1.2. Flujo de Control en la Arquitectura</w:t>
      </w:r>
    </w:p>
    <w:p>
      <w:r>
        <w:t>Cuando llega una petición HTTP:</w:t>
        <w:br/>
        <w:t>1. El Controlador REST (Infrastructure/Adapters/Input) recibe la petición, valida los datos de entrada (utilizando DTOs y class-validator) y delega al Servicio de Aplicación (Application).</w:t>
        <w:br/>
        <w:t>2. El Servicio ejecuta el caso de uso correspondiente, llamando a las interfaces definidas en la capa de Dominio.</w:t>
        <w:br/>
        <w:t>3. El Adaptador de Base de Datos (Infrastructure/Adapters/Output) implementa el repositorio del dominio, realiza las consultas usando TypeORM y mapea las entidades del ORM a entidades puras de dominio mediante un Mapper.</w:t>
        <w:br/>
        <w:t>4. La respuesta regresa por la misma vía, garantizando que el dominio nunca dependa directamente de la infraestructura (Inversión de Dependencias).</w:t>
      </w:r>
    </w:p>
    <w:p>
      <w:r>
        <w:br w:type="page"/>
      </w:r>
    </w:p>
    <w:p>
      <w:pPr>
        <w:pStyle w:val="Heading1"/>
        <w:keepNext/>
        <w:spacing w:before="240" w:after="120"/>
        <w:pBdr>
          <w:bottom w:val="single" w:sz="12" w:space="4" w:color="39A900"/>
        </w:pBdr>
      </w:pPr>
      <w:r>
        <w:rPr>
          <w:rFonts w:ascii="Arial" w:hAnsi="Arial"/>
          <w:b/>
          <w:color w:val="39A900"/>
          <w:sz w:val="36"/>
        </w:rPr>
        <w:t>2. Diccionario de Datos y Descripción de Tablas</w:t>
      </w:r>
    </w:p>
    <w:p>
      <w:r>
        <w:t>A continuación se detallan las 29 tablas de la base de datos PostgreSQL mapeadas a través de los ORM-Entities de TypeORM. Para cada tabla se proporciona su propósito general en el sistema SGM, el nombre de la tabla en base de datos y un desglose detallado de todos sus campos.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acta (ActaOrmEntity)</w:t>
      </w:r>
    </w:p>
    <w:p>
      <w:r>
        <w:t>Descripción: Almacena los registros de actas de entrega o devolución de materiales firmadas, vinculadas a una solicitud o préstamo.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id_acta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'acta'.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() =&gt; "CURRENT_TIMESTAMP"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url_pdf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Enlace o ubicación del documento PDF generado de soporte.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(Solicitud)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OneToOne hacia la entidad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area (AreaOrmEntity)</w:t>
      </w:r>
    </w:p>
    <w:p>
      <w:r>
        <w:t>Descripción: Representa las áreas técnicas u oficinas de la institución (por ejemplo, Teleinformática, Metalmecánica) que pertenecen a una sede específica.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id_area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'area'.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id_sede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'sede'.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(Sede)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'Sede'.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asignacion (AsignacionOrmEntity)</w:t>
      </w:r>
    </w:p>
    <w:p>
      <w:r>
        <w:t>Descripción: Registra la entrega física de productos o equipos a un aprendiz o instructor, asociada a una ficha técnica específica.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id_asignacion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'asignacion'.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id_ficha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'ficha'.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'producto'.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cantidad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fecha_asignacion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id_usuario_asigna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'usuario_asigna'.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'ACTIVA'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ficha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(Ficha)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'Ficha'.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(Producto)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'Producto'.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usuario_asigna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categoria (CategoriaOrmEntity)</w:t>
      </w:r>
    </w:p>
    <w:p>
      <w:r>
        <w:t>Descripción: Clasifica los productos o materiales en categorías generales (por ejemplo: herramientas, insumos consumibles, equipos de cómputo).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id_categoria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'categoria'.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centro (CentroOrmEntity)</w:t>
      </w:r>
    </w:p>
    <w:p>
      <w:r>
        <w:t>Descripción: Almacena los centros de formación de la institución (por ejemplo, Centro de Electricidad y Automatización).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id_centro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'centro'.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codigo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Código alfanumérico identificador.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regional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Campo de datos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chequeo (ChequeoOrmEntity)</w:t>
      </w:r>
    </w:p>
    <w:p>
      <w:r>
        <w:t>Descripción: Controla el proceso de inspección o lista de chequeo de los equipos/materiales antes de ser entregados o al ser devueltos.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id_chequeo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'chequeo'.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() =&gt; "CURRENT_TIMESTAMP"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(Solicitud)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OneToOne hacia la entidad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itemsChequeo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(ItemChequeo)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OneToMany hacia la entidad 'ItemChequeo'.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detalle_solicitud (DetalleSolicitudOrmEntity)</w:t>
      </w:r>
    </w:p>
    <w:p>
      <w:r>
        <w:t>Descripción: Representa la línea de detalle de una solicitud de materiales, vinculando un producto específico y la cantidad requerida.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id_detalle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'detalle'.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cantidad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'producto'.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(Solicitud)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(Producto)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'Producto'.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devolucion (DevolucionOrmEntity)</w:t>
      </w:r>
    </w:p>
    <w:p>
      <w:r>
        <w:t>Descripción: Registra el retorno de los materiales o equipos previamente prestados/asignados, indicando el estado físico y fecha real de devolución.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id_devolucion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'devolucion'.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() =&gt; "CURRENT_TIMESTAMP"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(Solicitud)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ficha (FichaOrmEntity)</w:t>
      </w:r>
    </w:p>
    <w:p>
      <w:r>
        <w:t>Descripción: Almacena la información de las fichas de caracterización de los programas de formación (cohortes de estudiantes), sus instructores y ambientes.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id_ficha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'ficha'.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numero_ficha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Código único de identificación de la ficha (grupo de estudiantes).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id_programa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'programa'.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programa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(Programa)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'Programa'.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id_responsable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'responsable'.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responsable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ambiente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Nombre del ambiente físico de aprendizaje donde se ubica el grupo.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inventario (InventarioOrmEntity)</w:t>
      </w:r>
    </w:p>
    <w:p>
      <w:r>
        <w:t>Descripción: Controla las existencias físicas de los productos (cantidad actual y stock mínimo de alerta) por cada sitio de almacenamiento o bodega.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id_inventario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'inventario'.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id_sitio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'sitio'.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OneToOne hacia la entidad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sitio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(Sitio)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'Sitio'.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item_chequeo (ItemChequeoOrmEntity)</w:t>
      </w:r>
    </w:p>
    <w:p>
      <w:r>
        <w:t>Descripción: Representa cada uno de los ítems individuales verificados dentro de una lista de chequeo general, registrando su estado y observaciones.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id_item_chequeo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'item_chequeo'.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id_chequeo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'chequeo'.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chequeo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(Chequeo)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'Chequeo'.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item (ItemOrmEntity)</w:t>
      </w:r>
    </w:p>
    <w:p>
      <w:r>
        <w:t>Descripción: Representa una instancia física y única de un producto en stock (unidad con SKU/serial individual) que puede ser prestada o asignada.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codigo_sku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Código alfanumérico identificador.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'DISPONIBLE'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'producto'.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(Producto)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'Producto'.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kardex (KardexOrmEntity)</w:t>
      </w:r>
    </w:p>
    <w:p>
      <w:r>
        <w:t>Descripción: Bitácora de movimientos históricos de inventario para auditoría, registrando los saldos anteriores y actuales de cada item tras un movimiento.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id_kardex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'kardex'.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tipo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Tipo de clasificación de la entidad (ej. tipo de movimiento, tipo de sitio).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cantidad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saldo_anterior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Saldo en almacén antes del movimiento registrado en Kardex.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saldo_actual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Saldo resultante en almacén después de procesar el movimiento.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movimiento (MovimientoOrmEntity)</w:t>
      </w:r>
    </w:p>
    <w:p>
      <w:r>
        <w:t>Descripción: Registra las transacciones individuales de inventario (entradas, salidas, ajustes) asociadas a un usuario y a un tipo de movimiento.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id_movimiento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'movimiento'.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id_tipo_movimiento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'tipo_movimiento'.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tipoMovimiento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(TipoMovimiento)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'TipoMovimiento'.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notificacion (NotificacionOrmEntity)</w:t>
      </w:r>
    </w:p>
    <w:p>
      <w:r>
        <w:t>Descripción: Almacena alertas y notificaciones dirigidas a los usuarios dentro del sistema (por ejemplo, préstamos vencidos, stock bajo).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id_notificacion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'notificacion'.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mensaje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text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Cuerpo del mensaje de la notificación enviada al usuario.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leida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false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() =&gt; "CURRENT_TIMESTAMP"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novedad (NovedadOrmEntity)</w:t>
      </w:r>
    </w:p>
    <w:p>
      <w:r>
        <w:t>Descripción: Registra incidentes, daños o pérdidas de los ítems del inventario, indicando observaciones del estado físico.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id_novedad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'novedad'.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tipo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Tipo de clasificación de la entidad (ej. tipo de movimiento, tipo de sitio).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descripcion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Descripción detallada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'PENDIENTE'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ordenes_compra (OrdenCompraOrmEntity)</w:t>
      </w:r>
    </w:p>
    <w:p>
      <w:r>
        <w:t>Descripción: Controla las órdenes de compra para el ingreso de nuevos materiales provistos por proveedores autorizados.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id_orden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'orden'.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id_proveedor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'proveedor'.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cantidad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precio_unitario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decimal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Costo de adquisición por unidad del ítem.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precio_total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decimal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Costo total de la línea de la orden de compra.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fecha_orden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DEFAULT 'PENDIENTE'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permisos (PermisoOrmEntity)</w:t>
      </w:r>
    </w:p>
    <w:p>
      <w:r>
        <w:t>Descripción: Catálogo maestro de permisos específicos de acceso a módulos o acciones dentro de la aplicación.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id_permiso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'permiso'.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descripcion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Descripción detallada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modulo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Campo de datos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activo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Indica si el permiso o registro está habilitado.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usuarioPermisos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(UsuarioPermiso)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OneToMany hacia la entidad 'UsuarioPermiso'.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prestamo (PrestamoOrmEntity)</w:t>
      </w:r>
    </w:p>
    <w:p>
      <w:r>
        <w:t>Descripción: Gestiona los préstamos temporales de ítems a usuarios (instructores o aprendices), registrando fechas pactadas y reales de devolución.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id_prestamo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'prestamo'.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fecha_prestamo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fecha_devolucion_esperada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fecha_devolucion_real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'ACTIVO'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id_usuario_solicitante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id_usuario_responsable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(Item)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'Item'.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usuario_solicitante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usuario_responsable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producto (ProductoOrmEntity)</w:t>
      </w:r>
    </w:p>
    <w:p>
      <w:r>
        <w:t>Descripción: Define la ficha técnica general del producto o material (código UNSPSC, SKU general, nombre, descripción, unidad de medida).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id_producto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'producto'.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descripcion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Descripción detallada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codigo_unspsc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Código alfanumérico identificador.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SKU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Código SKU general asignador por el fabricante.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tipo_material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Tipo de clasificación de la entidad (ej. tipo de movimiento, tipo de sitio).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unidad_medida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es_psd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false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Booleano que indica si el producto requiere Plan de Manejo Ambiental (PSD).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fecha_vencimiento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date (Date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id_categoria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'categoria'.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stock_minimo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0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Cantidad mínima permitida antes de generar una alerta de reabastecimiento.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unidad_peso_bulto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peso_por_bulto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decimal (number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Peso físico del empaque para cálculos de logística.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id_sitio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int (number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'sitio'.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(Categoria)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'Categoria'.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programa (ProgramaOrmEntity)</w:t>
      </w:r>
    </w:p>
    <w:p>
      <w:r>
        <w:t>Descripción: Almacena los programas académicos o de formación profesional a los cuales se asocian las fichas de los estudiantes.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id_programa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'programa'.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codigo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Código alfanumérico identificador.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id_area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'area'.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area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(Area)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'Area'.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rol (RolOrmEntity)</w:t>
      </w:r>
    </w:p>
    <w:p>
      <w:r>
        <w:t>Descripción: Define los roles de usuario globales en el sistema (por ejemplo: Administrador, Instructor, Aprendiz).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id_rol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'rol'.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rol_permisos (RolPermisoOrmEntity)</w:t>
      </w:r>
    </w:p>
    <w:p>
      <w:r>
        <w:t>Descripción: Tabla intermedia que asocia los roles del sistema con sus correspondientes permisos de acceso (M:N).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id_rol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'rol'.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id_permiso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'permiso'.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rol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(Rol)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'Rol'.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permiso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(Permiso)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'Permiso'.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sede (SedeOrmEntity)</w:t>
      </w:r>
    </w:p>
    <w:p>
      <w:r>
        <w:t>Descripción: Almacena las sedes físicas de la institución que pertenecen a un centro de formación determinado.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id_sede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'sede'.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direccion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Dirección física de la sede.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id_centro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'centro'.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centro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(Centro)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'Centro'.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sitio (SitioOrmEntity)</w:t>
      </w:r>
    </w:p>
    <w:p>
      <w:r>
        <w:t>Descripción: Representa los sitios físicos de almacenamiento (bodegas, ambientes de aprendizaje, laboratorios de cómputo) que custodian ítems.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id_sitio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'sitio'.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tipo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Tipo de clasificación de la entidad (ej. tipo de movimiento, tipo de sitio).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id_responsable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'responsable'.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id_centro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'centro'.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responsable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centro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(Centro)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'Centro'.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solicitud (SolicitudOrmEntity)</w:t>
      </w:r>
    </w:p>
    <w:p>
      <w:r>
        <w:t>Descripción: Cabecera de las solicitudes de materiales y consumibles que realizan los usuarios para el desarrollo de sus clases.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id_solicitud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'solicitud'.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'PENDIENTE'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tipo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Tipo de clasificación de la entidad (ej. tipo de movimiento, tipo de sitio).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observacion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(string | null)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Comentarios u observaciones adicionales sobre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id_usuario_aprueba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id_ficha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'ficha'.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usuario_aprueba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ficha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(Ficha)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'Ficha'.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tipo_movimiento (TipoMovimientoOrmEntity)</w:t>
      </w:r>
    </w:p>
    <w:p>
      <w:r>
        <w:t>Descripción: Catálogo de tipos de movimientos del kardex y almacén (Entrada por compra, Salida por consumo, Ajuste de inventario,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id_tipo_movimiento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'tipo_movimiento'.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usuario (UsuarioOrmEntity)</w:t>
      </w:r>
    </w:p>
    <w:p>
      <w:r>
        <w:t>Descripción: Almacena la información de los usuarios del sistema, incluyendo sus credenciales hash de seguridad y datos de contacto.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Nombre descriptivo de la entidad.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correo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UNIQUE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Correo electrónico de contacto, utilizado también para el inicio de sesión único.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telefono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Número de teléfono del usuario.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documento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Documento de identidad o número de identificación oficial.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password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(string)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Contraseña cifrada (mediante algoritmo bcrypt) para la autenticación.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operativo del registro (activo/inactivo, disponible/prestado, etc.).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id_rol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'rol'.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rol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(Rol)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'Rol'.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Tabla: usuario_permisos (UsuarioPermisoOrmEntity)</w:t>
      </w:r>
    </w:p>
    <w:p>
      <w:r>
        <w:t>Descripción: Permite asignar permisos específicos o excepcionales directamente a usuarios particulares, anulando o complementando su 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80" w:hRule="atLeast"/>
        </w:trPr>
        <w:tc>
          <w:tcPr>
            <w:tcW w:type="dxa" w:w="2592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 (BD)</w:t>
            </w:r>
          </w:p>
        </w:tc>
        <w:tc>
          <w:tcPr>
            <w:tcW w:type="dxa" w:w="144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4608"/>
            <w:shd w:val="clear" w:color="auto" w:fill="39A9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PK, 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Identificador único y autoincremental del registro.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id_usuario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Llave foránea que referencia a la tabla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id_permiso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 (number)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Llave foránea que referencia a la tabla 'permiso'.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activo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boolean (boolean)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NOT NULL, DEFAULT true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Indica si el permiso o registro está habilitado.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fecha_asignacion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 (Date)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Fecha y hora del registro de la transacción.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Object (Usuario)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rFonts w:ascii="Arial" w:hAnsi="Arial"/>
                <w:sz w:val="19"/>
              </w:rPr>
              <w:t>Relación de tipo ManyToOne hacia la entidad 'Usuario'.</w:t>
            </w:r>
          </w:p>
        </w:tc>
      </w:tr>
      <w:tr>
        <w:trPr>
          <w:cantSplit/>
          <w:trHeight w:val="400" w:hRule="atLeast"/>
        </w:trP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permiso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Object (Permiso)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Relación de tipo ManyToOne hacia la entidad 'Permiso'.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240" w:after="120"/>
        <w:pBdr>
          <w:bottom w:val="single" w:sz="12" w:space="4" w:color="39A900"/>
        </w:pBdr>
      </w:pPr>
      <w:r>
        <w:rPr>
          <w:rFonts w:ascii="Arial" w:hAnsi="Arial"/>
          <w:b/>
          <w:color w:val="39A900"/>
          <w:sz w:val="36"/>
        </w:rPr>
        <w:t>3. Guía de Construcción de Módulos en el Frontend</w:t>
      </w:r>
    </w:p>
    <w:p>
      <w:r>
        <w:t>El frontend está desarrollado en Angular utilizando componentes independientes (Standalone Components) y una arquitectura limpia modular. A continuación se describe la estructura del frontend y el paso a paso para crear un nuevo módulo conectado al backend.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3.1. Estructura de Directorios del Frontend</w:t>
      </w:r>
    </w:p>
    <w:p>
      <w:r>
        <w:t>El código del frontend dentro del directorio 'src/app' está estructurado de la siguiente forma:</w:t>
      </w:r>
    </w:p>
    <w:p>
      <w:pPr>
        <w:pStyle w:val="ListBullet"/>
      </w:pPr>
      <w:r>
        <w:rPr>
          <w:b/>
        </w:rPr>
        <w:t xml:space="preserve">domain/: </w:t>
      </w:r>
      <w:r>
        <w:t>Contiene las interfaces y modelos de TypeScript puros que representan las entidades del negocio (ej. Usuario, Producto, Prestamo).</w:t>
      </w:r>
    </w:p>
    <w:p>
      <w:pPr>
        <w:pStyle w:val="ListBullet"/>
      </w:pPr>
      <w:r>
        <w:rPr>
          <w:b/>
        </w:rPr>
        <w:t xml:space="preserve">infrastructure/: </w:t>
      </w:r>
      <w:r>
        <w:t>Contiene los servicios de Angular que realizan llamadas HTTP al backend, mappers y adaptadores de librerías externas.</w:t>
      </w:r>
    </w:p>
    <w:p>
      <w:pPr>
        <w:pStyle w:val="ListBullet"/>
      </w:pPr>
      <w:r>
        <w:rPr>
          <w:b/>
        </w:rPr>
        <w:t xml:space="preserve">presentation/: </w:t>
      </w:r>
      <w:r>
        <w:t>Contiene los componentes visuales organizados por características o vistas. Cada componente incluye su archivo TS, plantilla HTML y estilos.</w:t>
      </w:r>
    </w:p>
    <w:p>
      <w:pPr>
        <w:pStyle w:val="ListBullet"/>
      </w:pPr>
      <w:r>
        <w:rPr>
          <w:b/>
        </w:rPr>
        <w:t xml:space="preserve">core/: </w:t>
      </w:r>
      <w:r>
        <w:t>Contiene utilidades de uso global, como interceptores HTTP, guards de rutas, estados globales y constantes del sistema.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3.2. Paso a Paso para Construir un Nuevo Módulo</w:t>
      </w:r>
    </w:p>
    <w:p>
      <w:r>
        <w:t>Para añadir un nuevo módulo en el frontend (por ejemplo, 'Proveedores'), siga la secuencia estructurada de pasos que se detalla a continuación: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64748B"/>
          <w:sz w:val="23"/>
        </w:rPr>
        <w:t>Paso 1: Definir el Modelo/Interface de Dominio</w:t>
      </w:r>
    </w:p>
    <w:p>
      <w:r>
        <w:t>Cree un archivo en 'src/app/domain/models/proveedor.model.ts' para definir la interfaz de los datos que vendrán del backend: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r>
              <w:rPr>
                <w:rFonts w:ascii="Consolas" w:hAnsi="Consolas"/>
                <w:color w:val="38BDF8"/>
                <w:sz w:val="19"/>
              </w:rPr>
              <w:t>export interface Proveedor {</w:t>
              <w:br/>
              <w:t xml:space="preserve">  id_proveedor: number;</w:t>
              <w:br/>
              <w:t xml:space="preserve">  nombre: string;</w:t>
              <w:br/>
              <w:t xml:space="preserve">  nit: string;</w:t>
              <w:br/>
              <w:t xml:space="preserve">  telefono?: string;</w:t>
              <w:br/>
              <w:t xml:space="preserve">  correo?: string;</w:t>
              <w:br/>
              <w:t xml:space="preserve">  direccion?: string;</w:t>
              <w:br/>
              <w:t xml:space="preserve">  estado: boolean;</w:t>
              <w:br/>
              <w:t>}</w:t>
            </w:r>
          </w:p>
        </w:tc>
      </w:tr>
    </w:tbl>
    <w:p/>
    <w:p>
      <w:pPr>
        <w:pStyle w:val="Heading3"/>
        <w:keepNext/>
        <w:spacing w:before="240" w:after="120"/>
      </w:pPr>
      <w:r>
        <w:rPr>
          <w:rFonts w:ascii="Arial" w:hAnsi="Arial"/>
          <w:b/>
          <w:color w:val="64748B"/>
          <w:sz w:val="23"/>
        </w:rPr>
        <w:t>Paso 2: Crear el Servicio de Infraestructura HTTP</w:t>
      </w:r>
    </w:p>
    <w:p>
      <w:r>
        <w:t>Cree un servicio en 'src/app/infrastructure/services/proveedor.service.ts' que inyecte HttpClient para interactuar con la API REST de NestJS: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r>
              <w:rPr>
                <w:rFonts w:ascii="Consolas" w:hAnsi="Consolas"/>
                <w:color w:val="38BDF8"/>
                <w:sz w:val="18"/>
              </w:rPr>
              <w:t>import { Injectable, inject } from '@angular/core';</w:t>
              <w:br/>
              <w:t>import { HttpClient } from '@angular/common/http';</w:t>
              <w:br/>
              <w:t>import { Observable } from 'rxjs';</w:t>
              <w:br/>
              <w:t>import { environment } from '../../../environments/environment';</w:t>
              <w:br/>
              <w:t>import { Proveedor } from '../../domain/models/proveedor.model';</w:t>
              <w:br/>
              <w:br/>
              <w:t>@Injectable({</w:t>
              <w:br/>
              <w:t xml:space="preserve">  providedIn: 'root'</w:t>
              <w:br/>
              <w:t>})</w:t>
              <w:br/>
              <w:t>export class ProveedorService {</w:t>
              <w:br/>
              <w:t xml:space="preserve">  private http = inject(HttpClient);</w:t>
              <w:br/>
              <w:t xml:space="preserve">  private apiUrl = `${environment.apiUrl}/proveedores`;</w:t>
              <w:br/>
              <w:br/>
              <w:t xml:space="preserve">  getProveedores(page = 1, limit = 10): Observable&lt;{ data: Proveedor[], total: number }&gt; {</w:t>
              <w:br/>
              <w:t xml:space="preserve">    return this.http.get&lt;{ data: Proveedor[], total: number }&gt;(this.apiUrl, {</w:t>
              <w:br/>
              <w:t xml:space="preserve">      params: { page: page.toString(), limit: limit.toString() }</w:t>
              <w:br/>
              <w:t xml:space="preserve">    });</w:t>
              <w:br/>
              <w:t xml:space="preserve">  }</w:t>
              <w:br/>
              <w:br/>
              <w:t xml:space="preserve">  createProveedor(proveedor: Omit&lt;Proveedor, 'id_proveedor'&gt;): Observable&lt;Proveedor&gt; {</w:t>
              <w:br/>
              <w:t xml:space="preserve">    return this.http.post&lt;Proveedor&gt;(this.apiUrl, proveedor);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  <w:keepNext/>
        <w:spacing w:before="240" w:after="120"/>
      </w:pPr>
      <w:r>
        <w:rPr>
          <w:rFonts w:ascii="Arial" w:hAnsi="Arial"/>
          <w:b/>
          <w:color w:val="64748B"/>
          <w:sz w:val="23"/>
        </w:rPr>
        <w:t>Paso 3: Crear el Componente de Presentación (Standalone)</w:t>
      </w:r>
    </w:p>
    <w:p>
      <w:r>
        <w:t>Genere o cree un componente en 'src/app/presentation/proveedores/proveedores.component.ts'. Importe los módulos necesarios como CommonModule, FormsModule o componentes de interfaz de usuario de PrimeNG: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r>
              <w:rPr>
                <w:rFonts w:ascii="Consolas" w:hAnsi="Consolas"/>
                <w:color w:val="38BDF8"/>
                <w:sz w:val="18"/>
              </w:rPr>
              <w:t>import { Component, inject, OnInit, signal } from '@angular/core';</w:t>
              <w:br/>
              <w:t>import { CommonModule } from '@angular/common';</w:t>
              <w:br/>
              <w:t>import { FormsModule } from '@angular/forms';</w:t>
              <w:br/>
              <w:t>import { ProveedorService } from '../../infrastructure/services/proveedor.service';</w:t>
              <w:br/>
              <w:t>import { Proveedor } from '../../domain/models/proveedor.model';</w:t>
              <w:br/>
              <w:br/>
              <w:t>@Component({</w:t>
              <w:br/>
              <w:t xml:space="preserve">  selector: 'app-proveedores',</w:t>
              <w:br/>
              <w:t xml:space="preserve">  standalone: true,</w:t>
              <w:br/>
              <w:t xml:space="preserve">  imports: [CommonModule, FormsModule],</w:t>
              <w:br/>
              <w:t xml:space="preserve">  template: `</w:t>
              <w:br/>
              <w:t xml:space="preserve">    &lt;div class="p-6 bg-white rounded-2xl shadow"&gt;</w:t>
              <w:br/>
              <w:t xml:space="preserve">      &lt;h1 class="text-2xl font-bold mb-4"&gt;Gestión de Proveedores&lt;/h1&gt;</w:t>
              <w:br/>
              <w:t xml:space="preserve">      &lt;!-- Componentes de UI aquí --&gt;</w:t>
              <w:br/>
              <w:t xml:space="preserve">    &lt;/div&gt;</w:t>
              <w:br/>
              <w:t xml:space="preserve">  `</w:t>
              <w:br/>
              <w:t>})</w:t>
              <w:br/>
              <w:t>export class ProveedoresComponent implements OnInit {</w:t>
              <w:br/>
              <w:t xml:space="preserve">  private proveedorService = inject(ProveedorService);</w:t>
              <w:br/>
              <w:t xml:space="preserve">  proveedores = signal&lt;Proveedor[]&gt;([]);</w:t>
              <w:br/>
              <w:br/>
              <w:t xml:space="preserve">  ngOnInit() {</w:t>
              <w:br/>
              <w:t xml:space="preserve">    this.proveedorService.getProveedores().subscribe(res =&gt; {</w:t>
              <w:br/>
              <w:t xml:space="preserve">      this.proveedores.set(res.data);</w:t>
              <w:br/>
              <w:t xml:space="preserve">    });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  <w:keepNext/>
        <w:spacing w:before="240" w:after="120"/>
      </w:pPr>
      <w:r>
        <w:rPr>
          <w:rFonts w:ascii="Arial" w:hAnsi="Arial"/>
          <w:b/>
          <w:color w:val="64748B"/>
          <w:sz w:val="23"/>
        </w:rPr>
        <w:t>Paso 4: Registrar la Ruta</w:t>
      </w:r>
    </w:p>
    <w:p>
      <w:r>
        <w:t>Edite el archivo 'src/app/app.routes.ts' para registrar la nueva ruta con carga perezosa (lazy loading) e incluir guardias de roles de ser necesario: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r>
              <w:rPr>
                <w:rFonts w:ascii="Consolas" w:hAnsi="Consolas"/>
                <w:color w:val="38BDF8"/>
                <w:sz w:val="19"/>
              </w:rPr>
              <w:t>// Dentro de las rutas hijas en app.routes.ts:</w:t>
              <w:br/>
              <w:t>{</w:t>
              <w:br/>
              <w:t xml:space="preserve">  path: 'proveedores',</w:t>
              <w:br/>
              <w:t xml:space="preserve">  loadComponent: () =&gt; import('./presentation/proveedores/proveedores.component')</w:t>
              <w:br/>
              <w:t xml:space="preserve">                        .then(m =&gt; m.ProveedoresComponent),</w:t>
              <w:br/>
              <w:t xml:space="preserve">  canActivate: [roleGuard(['Administrador'])]</w:t>
              <w:br/>
              <w:t>}</w:t>
            </w:r>
          </w:p>
        </w:tc>
      </w:tr>
    </w:tbl>
    <w:p/>
    <w:p>
      <w:pPr>
        <w:pStyle w:val="Heading3"/>
        <w:keepNext/>
        <w:spacing w:before="240" w:after="120"/>
      </w:pPr>
      <w:r>
        <w:rPr>
          <w:rFonts w:ascii="Arial" w:hAnsi="Arial"/>
          <w:b/>
          <w:color w:val="64748B"/>
          <w:sz w:val="23"/>
        </w:rPr>
        <w:t>Paso 5: Añadir al Menú de Navegación</w:t>
      </w:r>
    </w:p>
    <w:p>
      <w:r>
        <w:t>Abra 'src/app/presentation/layout/layout.component.ts' y agregue la nueva opción del menú en el arreglo 'menuSections' e implemente los permisos correspondientes en el método 'hasAccess()':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r>
              <w:rPr>
                <w:rFonts w:ascii="Consolas" w:hAnsi="Consolas"/>
                <w:color w:val="38BDF8"/>
                <w:sz w:val="18"/>
              </w:rPr>
              <w:t>// En menuSections de layout.component.ts:</w:t>
              <w:br/>
              <w:t>{</w:t>
              <w:br/>
              <w:t xml:space="preserve">  title: 'ADMINISTRACIÓN',</w:t>
              <w:br/>
              <w:t xml:space="preserve">  items: [</w:t>
              <w:br/>
              <w:t xml:space="preserve">    { title: 'Usuarios', path: 'usuarios', icon: 'pi-users' },</w:t>
              <w:br/>
              <w:t xml:space="preserve">    { title: 'Roles', path: 'roles', icon: 'pi-shield' },</w:t>
              <w:br/>
              <w:t xml:space="preserve">    { title: 'Proveedores', path: 'proveedores', icon: 'pi-envelope' } // Nueva opción</w:t>
              <w:br/>
              <w:t xml:space="preserve">  ]</w:t>
              <w:br/>
              <w:t>}</w:t>
              <w:br/>
              <w:br/>
              <w:t>// En el método hasAccess(path):</w:t>
              <w:br/>
              <w:t>if (role === 'ADMINISTRADOR') return true;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