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FC9" w:rsidRPr="00C0069E" w:rsidRDefault="000C4372" w:rsidP="00FC6FC9">
      <w:pPr>
        <w:spacing w:after="0"/>
        <w:jc w:val="center"/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>Sprint 2</w:t>
      </w:r>
      <w:r w:rsidR="001A690B"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 xml:space="preserve"> Post-Mortem</w:t>
      </w:r>
    </w:p>
    <w:p w:rsidR="00FC6FC9" w:rsidRPr="001D48AE" w:rsidRDefault="00FC6FC9" w:rsidP="00FC6FC9">
      <w:pPr>
        <w:spacing w:after="0"/>
        <w:jc w:val="center"/>
        <w:rPr>
          <w:b/>
          <w:bCs/>
          <w:color w:val="A6A6A6" w:themeColor="background1" w:themeShade="A6"/>
          <w:sz w:val="14"/>
          <w:szCs w:val="36"/>
        </w:rPr>
      </w:pPr>
    </w:p>
    <w:p w:rsidR="00FC6FC9" w:rsidRPr="00AC38CB" w:rsidRDefault="00FC6FC9" w:rsidP="00FC6FC9">
      <w:pPr>
        <w:spacing w:after="0"/>
        <w:jc w:val="center"/>
        <w:rPr>
          <w:b/>
          <w:bCs/>
          <w:color w:val="4F81BD" w:themeColor="accent1"/>
          <w:sz w:val="28"/>
          <w:szCs w:val="28"/>
        </w:rPr>
      </w:pPr>
      <w:r w:rsidRPr="00AC38CB">
        <w:rPr>
          <w:b/>
          <w:bCs/>
          <w:color w:val="4F81BD" w:themeColor="accent1"/>
          <w:sz w:val="28"/>
          <w:szCs w:val="28"/>
        </w:rPr>
        <w:t>for the</w:t>
      </w:r>
    </w:p>
    <w:p w:rsidR="00FC6FC9" w:rsidRPr="00AC38CB" w:rsidRDefault="00FC6FC9" w:rsidP="00FC6FC9">
      <w:pPr>
        <w:spacing w:after="0"/>
        <w:jc w:val="center"/>
        <w:rPr>
          <w:b/>
          <w:bCs/>
          <w:sz w:val="28"/>
          <w:szCs w:val="28"/>
        </w:rPr>
      </w:pPr>
    </w:p>
    <w:sdt>
      <w:sdtPr>
        <w:rPr>
          <w:sz w:val="28"/>
          <w:szCs w:val="28"/>
        </w:rPr>
        <w:id w:val="513869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SIUE Department of Computer Science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CS425 / CS499 Senior Project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Software Design and Implementation Courses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 w:rsidRPr="00AC38CB">
            <w:rPr>
              <w:b/>
              <w:bCs/>
              <w:color w:val="4F81BD" w:themeColor="accent1"/>
              <w:sz w:val="28"/>
              <w:szCs w:val="28"/>
            </w:rPr>
            <w:t>by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 xml:space="preserve">Zach Benchley, Matt </w:t>
          </w:r>
          <w:proofErr w:type="spellStart"/>
          <w:r w:rsidRPr="00AC38CB">
            <w:rPr>
              <w:b/>
              <w:bCs/>
              <w:color w:val="1F497D" w:themeColor="text2"/>
              <w:sz w:val="28"/>
              <w:szCs w:val="28"/>
            </w:rPr>
            <w:t>Lievens</w:t>
          </w:r>
          <w:proofErr w:type="spellEnd"/>
          <w:r w:rsidRPr="00AC38CB">
            <w:rPr>
              <w:b/>
              <w:bCs/>
              <w:color w:val="1F497D" w:themeColor="text2"/>
              <w:sz w:val="28"/>
              <w:szCs w:val="28"/>
            </w:rPr>
            <w:t xml:space="preserve">, Logan </w:t>
          </w:r>
          <w:proofErr w:type="spellStart"/>
          <w:r w:rsidRPr="00AC38CB">
            <w:rPr>
              <w:b/>
              <w:bCs/>
              <w:color w:val="1F497D" w:themeColor="text2"/>
              <w:sz w:val="28"/>
              <w:szCs w:val="28"/>
            </w:rPr>
            <w:t>Maughan</w:t>
          </w:r>
          <w:proofErr w:type="spellEnd"/>
          <w:r w:rsidRPr="00AC38CB">
            <w:rPr>
              <w:b/>
              <w:bCs/>
              <w:color w:val="1F497D" w:themeColor="text2"/>
              <w:sz w:val="28"/>
              <w:szCs w:val="28"/>
            </w:rPr>
            <w:t>, Brian Olsen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>
            <w:rPr>
              <w:b/>
              <w:bCs/>
              <w:color w:val="4F81BD" w:themeColor="accent1"/>
              <w:sz w:val="28"/>
              <w:szCs w:val="28"/>
            </w:rPr>
            <w:t>o</w:t>
          </w:r>
          <w:r w:rsidRPr="00AC38CB">
            <w:rPr>
              <w:b/>
              <w:bCs/>
              <w:color w:val="4F81BD" w:themeColor="accent1"/>
              <w:sz w:val="28"/>
              <w:szCs w:val="28"/>
            </w:rPr>
            <w:t>f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  <w:r w:rsidRPr="00AC38CB">
            <w:rPr>
              <w:b/>
              <w:bCs/>
              <w:noProof/>
              <w:color w:val="A6A6A6" w:themeColor="background1" w:themeShade="A6"/>
              <w:sz w:val="36"/>
              <w:szCs w:val="36"/>
            </w:rPr>
            <w:drawing>
              <wp:inline distT="0" distB="0" distL="0" distR="0">
                <wp:extent cx="5005820" cy="1101280"/>
                <wp:effectExtent l="38100" t="57150" r="0" b="0"/>
                <wp:docPr id="12" name="Picture 2" descr="C:\Users\Brian\Pictures\LOBA Icon\Logo (connected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ian\Pictures\LOBA Icon\Logo (connected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4968" cy="1105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1600" dist="63500" dir="21540000" algn="ctr" rotWithShape="0">
                            <a:srgbClr val="000000">
                              <a:alpha val="52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</w:t>
          </w:r>
          <w:r w:rsidRPr="00AC38CB">
            <w:rPr>
              <w:b/>
              <w:bCs/>
              <w:color w:val="1F497D" w:themeColor="text2"/>
              <w:sz w:val="28"/>
              <w:szCs w:val="28"/>
            </w:rPr>
            <w:t>Learning Outcomes-Based Assessment Database Team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A6A6A6" w:themeColor="background1" w:themeShade="A6"/>
              <w:sz w:val="36"/>
              <w:szCs w:val="36"/>
            </w:rPr>
          </w:pPr>
        </w:p>
        <w:p w:rsidR="00FC6FC9" w:rsidRPr="00B2235C" w:rsidRDefault="00A82504" w:rsidP="00FC6FC9">
          <w:r>
            <w:rPr>
              <w:noProof/>
            </w:rPr>
            <w:pict>
              <v:group id="_x0000_s1026" style="position:absolute;margin-left:0;margin-top:0;width:611.95pt;height:236.95pt;z-index:251660288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<v:group id="_x0000_s1027" style="position:absolute;left:-6;top:3717;width:12189;height:3550" coordorigin="18,7468" coordsize="12189,3550">
                  <v:shape id="_x0000_s1028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29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30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31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32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33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34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35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36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</w:p>
      </w:sdtContent>
    </w:sdt>
    <w:p w:rsidR="00E53121" w:rsidRDefault="00E53121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58552483"/>
        <w:docPartObj>
          <w:docPartGallery w:val="Cover Pages"/>
          <w:docPartUnique/>
        </w:docPartObj>
      </w:sdtPr>
      <w:sdtContent>
        <w:p w:rsidR="009727EC" w:rsidRPr="004651FD" w:rsidRDefault="009727EC" w:rsidP="009727EC">
          <w:pPr>
            <w:pStyle w:val="Heading1"/>
            <w:rPr>
              <w:b w:val="0"/>
            </w:rPr>
          </w:pPr>
          <w:r w:rsidRPr="004651FD">
            <w:rPr>
              <w:b w:val="0"/>
            </w:rPr>
            <w:t xml:space="preserve">Project </w:t>
          </w:r>
          <w:proofErr w:type="spellStart"/>
          <w:r w:rsidRPr="004651FD">
            <w:rPr>
              <w:b w:val="0"/>
            </w:rPr>
            <w:t>Burndown</w:t>
          </w:r>
          <w:proofErr w:type="spellEnd"/>
          <w:r w:rsidRPr="004651FD">
            <w:rPr>
              <w:b w:val="0"/>
            </w:rPr>
            <w:t xml:space="preserve"> chart:</w:t>
          </w:r>
          <w:r w:rsidRPr="004651FD">
            <w:rPr>
              <w:b w:val="0"/>
            </w:rPr>
            <w:tab/>
          </w:r>
        </w:p>
        <w:p w:rsidR="00105510" w:rsidRPr="009727EC" w:rsidRDefault="009727EC" w:rsidP="00324DA3">
          <w:r>
            <w:t xml:space="preserve">Shows how many hours the team has left for the remainder of the project. We completed </w:t>
          </w:r>
          <w:r w:rsidR="00666AF2">
            <w:t>98</w:t>
          </w:r>
          <w:r>
            <w:t>.5 person-hours dropping the total person-hours from 399.5 to 271.</w:t>
          </w:r>
        </w:p>
        <w:p w:rsidR="00172363" w:rsidRDefault="009727EC" w:rsidP="001D7176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595191" cy="2933700"/>
                <wp:effectExtent l="0" t="0" r="15240" b="19050"/>
                <wp:docPr id="1" name="Chart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9"/>
                  </a:graphicData>
                </a:graphic>
              </wp:inline>
            </w:drawing>
          </w:r>
        </w:p>
        <w:p w:rsidR="009727EC" w:rsidRPr="004651FD" w:rsidRDefault="009727EC" w:rsidP="009727EC">
          <w:pPr>
            <w:pStyle w:val="Heading1"/>
            <w:tabs>
              <w:tab w:val="left" w:pos="6825"/>
            </w:tabs>
            <w:rPr>
              <w:b w:val="0"/>
            </w:rPr>
          </w:pPr>
          <w:r w:rsidRPr="004651FD">
            <w:rPr>
              <w:b w:val="0"/>
            </w:rPr>
            <w:t>Project Effort Chart:</w:t>
          </w:r>
          <w:r>
            <w:rPr>
              <w:b w:val="0"/>
            </w:rPr>
            <w:tab/>
          </w:r>
        </w:p>
        <w:p w:rsidR="009727EC" w:rsidRDefault="009727EC" w:rsidP="00C5752A">
          <w:r>
            <w:t xml:space="preserve">Shows how many person-hours each team member put in over the course of the </w:t>
          </w:r>
          <w:r w:rsidR="00324DA3">
            <w:t>project</w:t>
          </w:r>
          <w:r>
            <w:t>.</w:t>
          </w:r>
        </w:p>
        <w:p w:rsidR="009727EC" w:rsidRDefault="009727EC" w:rsidP="001D7176">
          <w:pPr>
            <w:jc w:val="center"/>
          </w:pPr>
          <w:r w:rsidRPr="001D7176">
            <w:rPr>
              <w:noProof/>
            </w:rPr>
            <w:drawing>
              <wp:inline distT="0" distB="0" distL="0" distR="0">
                <wp:extent cx="4572000" cy="2743200"/>
                <wp:effectExtent l="0" t="0" r="0" b="0"/>
                <wp:docPr id="9" name="Chart 9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0"/>
                  </a:graphicData>
                </a:graphic>
              </wp:inline>
            </w:drawing>
          </w:r>
        </w:p>
        <w:p w:rsidR="00324DA3" w:rsidRDefault="00324DA3" w:rsidP="001D7176">
          <w:pPr>
            <w:jc w:val="center"/>
          </w:pPr>
        </w:p>
        <w:p w:rsidR="00324DA3" w:rsidRPr="004651FD" w:rsidRDefault="00324DA3" w:rsidP="00324DA3">
          <w:pPr>
            <w:pStyle w:val="Heading1"/>
            <w:rPr>
              <w:b w:val="0"/>
            </w:rPr>
          </w:pPr>
          <w:r w:rsidRPr="004651FD">
            <w:rPr>
              <w:b w:val="0"/>
            </w:rPr>
            <w:lastRenderedPageBreak/>
            <w:t xml:space="preserve">Project Velocity Chart: </w:t>
          </w:r>
        </w:p>
        <w:p w:rsidR="00324DA3" w:rsidRDefault="00324DA3" w:rsidP="00C5752A">
          <w:r>
            <w:t>Shows the weekly breakdown of the average person- hours each team member put in during the weeks worked so far.</w:t>
          </w:r>
        </w:p>
        <w:p w:rsidR="001D7176" w:rsidRDefault="00A82504" w:rsidP="001D7176">
          <w:pPr>
            <w:jc w:val="center"/>
            <w:rPr>
              <w:sz w:val="48"/>
              <w:szCs w:val="48"/>
            </w:rPr>
          </w:pPr>
          <w:r w:rsidRPr="00A82504">
            <w:rPr>
              <w:noProof/>
            </w:rPr>
            <w:pict>
              <v:group id="Group 15" o:spid="_x0000_s1039" style="position:absolute;left:0;text-align:left;margin-left:364.5pt;margin-top:-385.65pt;width:143.25pt;height:60.75pt;z-index:251658240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0" type="#_x0000_t202" style="position:absolute;left:10290;top:1230;width:1470;height:121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<v:textbox style="mso-next-textbox:#Text Box 16">
                    <w:txbxContent>
                      <w:p w:rsidR="00FC6FC9" w:rsidRDefault="00FC6FC9" w:rsidP="00FC6FC9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41" type="#_x0000_t32" style="position:absolute;left:10290;top:1590;width:0;height:63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<v:shape id="Text Box 18" o:spid="_x0000_s1042" type="#_x0000_t202" style="position:absolute;left:8895;top:1455;width:1365;height:63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<v:textbox style="mso-next-textbox:#Text Box 18">
                    <w:txbxContent>
                      <w:p w:rsidR="00FC6FC9" w:rsidRDefault="00FC6FC9" w:rsidP="00FC6FC9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  <w:r w:rsidR="001D7176" w:rsidRPr="001D7176">
            <w:rPr>
              <w:noProof/>
              <w:sz w:val="48"/>
              <w:szCs w:val="48"/>
            </w:rPr>
            <w:drawing>
              <wp:inline distT="0" distB="0" distL="0" distR="0">
                <wp:extent cx="4572000" cy="2933700"/>
                <wp:effectExtent l="0" t="0" r="0" b="0"/>
                <wp:docPr id="13" name="Chart 13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1"/>
                  </a:graphicData>
                </a:graphic>
              </wp:inline>
            </w:drawing>
          </w:r>
        </w:p>
        <w:p w:rsidR="00324DA3" w:rsidRPr="004651FD" w:rsidRDefault="00324DA3" w:rsidP="00324DA3">
          <w:pPr>
            <w:pStyle w:val="Heading1"/>
            <w:rPr>
              <w:b w:val="0"/>
            </w:rPr>
          </w:pPr>
          <w:r>
            <w:rPr>
              <w:b w:val="0"/>
            </w:rPr>
            <w:t>Analysis</w:t>
          </w:r>
          <w:r w:rsidRPr="004651FD">
            <w:rPr>
              <w:b w:val="0"/>
            </w:rPr>
            <w:t>:</w:t>
          </w:r>
        </w:p>
        <w:p w:rsidR="0046724D" w:rsidRDefault="00C5752A" w:rsidP="0046724D">
          <w:r>
            <w:tab/>
          </w:r>
        </w:p>
        <w:p w:rsidR="0046724D" w:rsidRPr="001D7176" w:rsidRDefault="0046724D" w:rsidP="0046724D">
          <w:pPr>
            <w:ind w:firstLine="720"/>
          </w:pPr>
          <w:r>
            <w:t xml:space="preserve">Over the course of this sprint </w:t>
          </w:r>
          <w:r w:rsidR="00E15F10">
            <w:t>the team</w:t>
          </w:r>
          <w:r>
            <w:t xml:space="preserve"> made a few changes to the initial estimates including: reallocating time to include time for learning the new software, and removing the time allocated for integrating LearnOBA to Blackboard. After applying these changes the total estimated person-hours down to 440 hours. These changes are reflected in the Burn down chart shown above. </w:t>
          </w:r>
        </w:p>
        <w:p w:rsidR="001C34C5" w:rsidRDefault="00F55AF5" w:rsidP="0046724D">
          <w:pPr>
            <w:ind w:firstLine="720"/>
          </w:pPr>
          <w:r>
            <w:t>As the above</w:t>
          </w:r>
          <w:r w:rsidR="00C5752A">
            <w:t xml:space="preserve"> charts show</w:t>
          </w:r>
          <w:r>
            <w:t>,</w:t>
          </w:r>
          <w:r w:rsidR="00C5752A">
            <w:t xml:space="preserve"> the team worked</w:t>
          </w:r>
          <w:r>
            <w:t xml:space="preserve"> far and above what we estimated for the second sprint (weeks 3 and 4). More specifically the team worked almost double the expected amount of time during week 3.  This was </w:t>
          </w:r>
          <w:r w:rsidR="001C34C5">
            <w:t xml:space="preserve">due to all of the learning that </w:t>
          </w:r>
          <w:r w:rsidR="0046724D">
            <w:t>was done</w:t>
          </w:r>
          <w:r w:rsidR="001C34C5">
            <w:t xml:space="preserve"> i</w:t>
          </w:r>
          <w:r w:rsidR="0046724D">
            <w:t>n order to complete the tasks that the team</w:t>
          </w:r>
          <w:r w:rsidR="001C34C5">
            <w:t xml:space="preserve"> had assigned for Sprint 2</w:t>
          </w:r>
          <w:r w:rsidR="0046724D">
            <w:t xml:space="preserve">. </w:t>
          </w:r>
        </w:p>
        <w:p w:rsidR="00FA073E" w:rsidRDefault="005E5A86" w:rsidP="0046724D">
          <w:pPr>
            <w:ind w:firstLine="720"/>
          </w:pPr>
          <w:r>
            <w:t xml:space="preserve">The learning that the team completed in sprint 2 was not originally estimated for sprint 2. However, by adjusting the estimations to include learning this did not cause the team to burn over on the Project </w:t>
          </w:r>
          <w:proofErr w:type="spellStart"/>
          <w:r>
            <w:t>Burndown</w:t>
          </w:r>
          <w:proofErr w:type="spellEnd"/>
          <w:r>
            <w:t xml:space="preserve"> Chart shown above. While adjusting the estimations kept the team from burning over, working so much in Sprint 2 did cause the team to burn far under where we had planned on being.</w:t>
          </w:r>
          <w:r w:rsidR="00FA073E">
            <w:t xml:space="preserve"> All of the extra work that the team did during this sprint was applied to the Learning tasks that are in the project backlog. </w:t>
          </w:r>
        </w:p>
        <w:p w:rsidR="00FA073E" w:rsidRDefault="00FA073E" w:rsidP="0046724D">
          <w:pPr>
            <w:ind w:firstLine="720"/>
          </w:pPr>
        </w:p>
        <w:p w:rsidR="001D7176" w:rsidRPr="001D7176" w:rsidRDefault="00831C7F" w:rsidP="00831C7F">
          <w:pPr>
            <w:ind w:firstLine="720"/>
          </w:pPr>
          <w:r>
            <w:lastRenderedPageBreak/>
            <w:t>T</w:t>
          </w:r>
          <w:r w:rsidR="00FA073E">
            <w:t xml:space="preserve">he team </w:t>
          </w:r>
          <w:r>
            <w:t>has adjusted the remaining estimation to reflect the extra work that was finished on sprint 2.</w:t>
          </w:r>
          <w:r w:rsidR="00666AF2">
            <w:t xml:space="preserve"> Based off of the current estimation, and the number of sprints we have left, the team now estimates that it will take 57.6 total person-hours per sprint to finish LearnOBA. Breaking that down </w:t>
          </w:r>
          <w:bookmarkStart w:id="0" w:name="_GoBack"/>
          <w:bookmarkEnd w:id="0"/>
          <w:r w:rsidR="00666AF2">
            <w:t xml:space="preserve">further, it is estimated that it will take each member </w:t>
          </w:r>
          <w:r w:rsidR="00E15F10">
            <w:t>6.7</w:t>
          </w:r>
          <w:r w:rsidR="00666AF2">
            <w:t xml:space="preserve"> person hours per sprint to complete this project.</w:t>
          </w:r>
          <w:r>
            <w:t xml:space="preserve"> The revised </w:t>
          </w:r>
          <w:proofErr w:type="spellStart"/>
          <w:r>
            <w:t>Burndown</w:t>
          </w:r>
          <w:proofErr w:type="spellEnd"/>
          <w:r>
            <w:t xml:space="preserve"> Chart that the team will be using going forward is shown below.</w:t>
          </w:r>
        </w:p>
        <w:p w:rsidR="001D7176" w:rsidRPr="001D7176" w:rsidRDefault="001D7176" w:rsidP="001D7176"/>
        <w:p w:rsidR="001D7176" w:rsidRPr="001D7176" w:rsidRDefault="009727EC" w:rsidP="001D7176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595191" cy="2933700"/>
                <wp:effectExtent l="0" t="0" r="15240" b="19050"/>
                <wp:docPr id="7" name="Chart 7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2"/>
                  </a:graphicData>
                </a:graphic>
              </wp:inline>
            </w:drawing>
          </w:r>
        </w:p>
        <w:p w:rsidR="001D7176" w:rsidRPr="001D7176" w:rsidRDefault="001D7176" w:rsidP="001D7176">
          <w:pPr>
            <w:jc w:val="center"/>
          </w:pPr>
        </w:p>
        <w:p w:rsidR="001D7176" w:rsidRPr="001D7176" w:rsidRDefault="001D7176" w:rsidP="001D7176"/>
        <w:p w:rsidR="001D7176" w:rsidRPr="001D7176" w:rsidRDefault="001D7176" w:rsidP="001D7176"/>
        <w:p w:rsidR="001D7176" w:rsidRPr="001D7176" w:rsidRDefault="001D7176" w:rsidP="001D7176"/>
        <w:p w:rsidR="001D7176" w:rsidRPr="001D7176" w:rsidRDefault="001D7176" w:rsidP="001D7176"/>
        <w:p w:rsidR="001D7176" w:rsidRPr="001D7176" w:rsidRDefault="001D7176" w:rsidP="001D7176"/>
        <w:p w:rsidR="00FC6FC9" w:rsidRDefault="00A82504" w:rsidP="00FC6FC9"/>
      </w:sdtContent>
    </w:sdt>
    <w:p w:rsidR="001D7176" w:rsidRPr="001D7176" w:rsidRDefault="001D7176" w:rsidP="00FC6FC9"/>
    <w:sectPr w:rsidR="001D7176" w:rsidRPr="001D7176" w:rsidSect="00E31C88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592" w:rsidRDefault="00905592" w:rsidP="00041758">
      <w:pPr>
        <w:spacing w:after="0" w:line="240" w:lineRule="auto"/>
      </w:pPr>
      <w:r>
        <w:separator/>
      </w:r>
    </w:p>
  </w:endnote>
  <w:endnote w:type="continuationSeparator" w:id="0">
    <w:p w:rsidR="00905592" w:rsidRDefault="00905592" w:rsidP="00041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F6A" w:rsidRDefault="00A82504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45E7E">
          <w:rPr>
            <w:noProof/>
            <w:color w:val="7F7F7F" w:themeColor="background1" w:themeShade="7F"/>
          </w:rPr>
          <w:t>Hewlett-Packard</w:t>
        </w:r>
      </w:sdtContent>
    </w:sdt>
    <w:r>
      <w:rPr>
        <w:noProof/>
        <w:color w:val="7F7F7F" w:themeColor="background1" w:themeShade="7F"/>
        <w:lang w:eastAsia="zh-TW"/>
      </w:rPr>
      <w:pict>
        <v:group id="_x0000_s2049" style="position:absolute;left:0;text-align:left;margin-left:0;margin-top:-79.4pt;width:57.6pt;height:48.5pt;z-index:251658240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E07F6A" w:rsidRDefault="00A82504">
                  <w:pPr>
                    <w:jc w:val="center"/>
                    <w:rPr>
                      <w:color w:val="4F81BD" w:themeColor="accent1"/>
                    </w:rPr>
                  </w:pPr>
                  <w:r w:rsidRPr="00A82504">
                    <w:fldChar w:fldCharType="begin"/>
                  </w:r>
                  <w:r w:rsidR="00923A5F">
                    <w:instrText xml:space="preserve"> PAGE   \* MERGEFORMAT </w:instrText>
                  </w:r>
                  <w:r w:rsidRPr="00A82504">
                    <w:fldChar w:fldCharType="separate"/>
                  </w:r>
                  <w:r w:rsidR="00E15F10" w:rsidRPr="00E15F10">
                    <w:rPr>
                      <w:noProof/>
                      <w:color w:val="4F81BD" w:themeColor="accent1"/>
                    </w:rPr>
                    <w:t>4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923A5F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showingPlcHdr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923A5F">
          <w:rPr>
            <w:color w:val="7F7F7F" w:themeColor="background1" w:themeShade="7F"/>
          </w:rPr>
          <w:t xml:space="preserve">     </w:t>
        </w:r>
      </w:sdtContent>
    </w:sdt>
  </w:p>
  <w:p w:rsidR="00E07F6A" w:rsidRDefault="009055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592" w:rsidRDefault="00905592" w:rsidP="00041758">
      <w:pPr>
        <w:spacing w:after="0" w:line="240" w:lineRule="auto"/>
      </w:pPr>
      <w:r>
        <w:separator/>
      </w:r>
    </w:p>
  </w:footnote>
  <w:footnote w:type="continuationSeparator" w:id="0">
    <w:p w:rsidR="00905592" w:rsidRDefault="00905592" w:rsidP="00041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335D2"/>
    <w:multiLevelType w:val="hybridMultilevel"/>
    <w:tmpl w:val="14C4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73875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35657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528E4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B5651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E17E8"/>
    <w:multiLevelType w:val="hybridMultilevel"/>
    <w:tmpl w:val="B20A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F3941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C6FC9"/>
    <w:rsid w:val="00041758"/>
    <w:rsid w:val="000C4372"/>
    <w:rsid w:val="00105510"/>
    <w:rsid w:val="00172363"/>
    <w:rsid w:val="001A690B"/>
    <w:rsid w:val="001C34C5"/>
    <w:rsid w:val="001D7176"/>
    <w:rsid w:val="00233104"/>
    <w:rsid w:val="00245D6B"/>
    <w:rsid w:val="00324DA3"/>
    <w:rsid w:val="00433DDE"/>
    <w:rsid w:val="0046724D"/>
    <w:rsid w:val="00547B0C"/>
    <w:rsid w:val="005D1D89"/>
    <w:rsid w:val="005E5A86"/>
    <w:rsid w:val="00666AF2"/>
    <w:rsid w:val="006C31BE"/>
    <w:rsid w:val="00817F5A"/>
    <w:rsid w:val="00831C7F"/>
    <w:rsid w:val="00905592"/>
    <w:rsid w:val="00923A5F"/>
    <w:rsid w:val="00945E7E"/>
    <w:rsid w:val="009727EC"/>
    <w:rsid w:val="00A3754D"/>
    <w:rsid w:val="00A82504"/>
    <w:rsid w:val="00C5752A"/>
    <w:rsid w:val="00E15F10"/>
    <w:rsid w:val="00E53121"/>
    <w:rsid w:val="00EB7E6E"/>
    <w:rsid w:val="00F30E82"/>
    <w:rsid w:val="00F55AF5"/>
    <w:rsid w:val="00FA073E"/>
    <w:rsid w:val="00FA21EC"/>
    <w:rsid w:val="00FC6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AutoShape 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C9"/>
  </w:style>
  <w:style w:type="paragraph" w:styleId="Heading1">
    <w:name w:val="heading 1"/>
    <w:basedOn w:val="Normal"/>
    <w:next w:val="Normal"/>
    <w:link w:val="Heading1Char"/>
    <w:uiPriority w:val="9"/>
    <w:qFormat/>
    <w:rsid w:val="00FC6FC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C9"/>
  </w:style>
  <w:style w:type="paragraph" w:styleId="BalloonText">
    <w:name w:val="Balloon Text"/>
    <w:basedOn w:val="Normal"/>
    <w:link w:val="BalloonTextChar"/>
    <w:uiPriority w:val="99"/>
    <w:semiHidden/>
    <w:unhideWhenUsed/>
    <w:rsid w:val="00FC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F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6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C6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ocuments\CS%20425\IndividualBreakdownSprint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ocuments\CS%20425\IndividualBreakdownSprint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evens\Dropbox\CS%20425%20&amp;%20499\1%20-%20Documentation\Administration\Sprints\Sprint%20%5b2%5d%5b10-31-2013%5d\IndividualBreakdownSprint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Burndown Chart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Actual</c:v>
          </c:tx>
          <c:val>
            <c:numRef>
              <c:f>Sheet1!$B$17:$B$21</c:f>
              <c:numCache>
                <c:formatCode>General</c:formatCode>
                <c:ptCount val="5"/>
                <c:pt idx="0">
                  <c:v>440</c:v>
                </c:pt>
                <c:pt idx="1">
                  <c:v>402.5</c:v>
                </c:pt>
                <c:pt idx="2">
                  <c:v>369.5</c:v>
                </c:pt>
                <c:pt idx="3">
                  <c:v>309.5</c:v>
                </c:pt>
                <c:pt idx="4">
                  <c:v>271</c:v>
                </c:pt>
              </c:numCache>
            </c:numRef>
          </c:val>
        </c:ser>
        <c:ser>
          <c:idx val="1"/>
          <c:order val="1"/>
          <c:tx>
            <c:v>Estimated</c:v>
          </c:tx>
          <c:spPr>
            <a:ln w="3175" cap="rnd">
              <a:prstDash val="solid"/>
            </a:ln>
          </c:spPr>
          <c:val>
            <c:numRef>
              <c:f>Sheet1!$C$17:$C$31</c:f>
              <c:numCache>
                <c:formatCode>General</c:formatCode>
                <c:ptCount val="15"/>
                <c:pt idx="0">
                  <c:v>440</c:v>
                </c:pt>
                <c:pt idx="1">
                  <c:v>408</c:v>
                </c:pt>
                <c:pt idx="2">
                  <c:v>376</c:v>
                </c:pt>
                <c:pt idx="3">
                  <c:v>344</c:v>
                </c:pt>
                <c:pt idx="4">
                  <c:v>312</c:v>
                </c:pt>
                <c:pt idx="5">
                  <c:v>280</c:v>
                </c:pt>
                <c:pt idx="6">
                  <c:v>248</c:v>
                </c:pt>
                <c:pt idx="7">
                  <c:v>216</c:v>
                </c:pt>
                <c:pt idx="8">
                  <c:v>184</c:v>
                </c:pt>
                <c:pt idx="9">
                  <c:v>152</c:v>
                </c:pt>
                <c:pt idx="10">
                  <c:v>120</c:v>
                </c:pt>
                <c:pt idx="11">
                  <c:v>88</c:v>
                </c:pt>
                <c:pt idx="12">
                  <c:v>56</c:v>
                </c:pt>
                <c:pt idx="13">
                  <c:v>24</c:v>
                </c:pt>
                <c:pt idx="14">
                  <c:v>0</c:v>
                </c:pt>
              </c:numCache>
            </c:numRef>
          </c:val>
        </c:ser>
        <c:marker val="1"/>
        <c:axId val="86559744"/>
        <c:axId val="89014656"/>
      </c:lineChart>
      <c:catAx>
        <c:axId val="865597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</c:title>
        <c:numFmt formatCode="General" sourceLinked="1"/>
        <c:majorTickMark val="none"/>
        <c:tickLblPos val="nextTo"/>
        <c:crossAx val="89014656"/>
        <c:crosses val="autoZero"/>
        <c:auto val="1"/>
        <c:lblAlgn val="ctr"/>
        <c:lblOffset val="100"/>
      </c:catAx>
      <c:valAx>
        <c:axId val="8901465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</c:title>
        <c:numFmt formatCode="General" sourceLinked="1"/>
        <c:tickLblPos val="nextTo"/>
        <c:crossAx val="8655974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Effort</a:t>
            </a:r>
            <a:r>
              <a:rPr lang="en-US" baseline="0"/>
              <a:t> Chart: Weekly Breakdown</a:t>
            </a:r>
            <a:endParaRPr lang="en-US"/>
          </a:p>
        </c:rich>
      </c:tx>
    </c:title>
    <c:plotArea>
      <c:layout/>
      <c:lineChart>
        <c:grouping val="standard"/>
        <c:ser>
          <c:idx val="4"/>
          <c:order val="0"/>
          <c:tx>
            <c:v>Cumulative</c:v>
          </c:tx>
          <c:val>
            <c:numRef>
              <c:f>Sheet1!$B$7:$B$10</c:f>
              <c:numCache>
                <c:formatCode>General</c:formatCode>
                <c:ptCount val="4"/>
                <c:pt idx="0">
                  <c:v>37.5</c:v>
                </c:pt>
                <c:pt idx="1">
                  <c:v>33</c:v>
                </c:pt>
                <c:pt idx="2">
                  <c:v>60</c:v>
                </c:pt>
                <c:pt idx="3">
                  <c:v>38.5</c:v>
                </c:pt>
              </c:numCache>
            </c:numRef>
          </c:val>
        </c:ser>
        <c:marker val="1"/>
        <c:axId val="96475776"/>
        <c:axId val="96913664"/>
      </c:lineChart>
      <c:catAx>
        <c:axId val="964757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</c:title>
        <c:numFmt formatCode="General" sourceLinked="1"/>
        <c:majorTickMark val="none"/>
        <c:tickLblPos val="nextTo"/>
        <c:crossAx val="96913664"/>
        <c:crosses val="autoZero"/>
        <c:auto val="1"/>
        <c:lblAlgn val="ctr"/>
        <c:lblOffset val="100"/>
      </c:catAx>
      <c:valAx>
        <c:axId val="969136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</c:title>
        <c:numFmt formatCode="General" sourceLinked="1"/>
        <c:tickLblPos val="nextTo"/>
        <c:crossAx val="96475776"/>
        <c:crosses val="autoZero"/>
        <c:crossBetween val="between"/>
      </c:valAx>
    </c:plotArea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Velocity Chart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Cumulative</c:v>
          </c:tx>
          <c:cat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cat>
          <c:val>
            <c:numRef>
              <c:f>Sheet1!$B$12:$B$15</c:f>
              <c:numCache>
                <c:formatCode>General</c:formatCode>
                <c:ptCount val="4"/>
                <c:pt idx="0">
                  <c:v>37.5</c:v>
                </c:pt>
                <c:pt idx="1">
                  <c:v>35.25</c:v>
                </c:pt>
                <c:pt idx="2">
                  <c:v>43.5</c:v>
                </c:pt>
                <c:pt idx="3">
                  <c:v>42.25</c:v>
                </c:pt>
              </c:numCache>
            </c:numRef>
          </c:val>
        </c:ser>
        <c:marker val="1"/>
        <c:axId val="85580032"/>
        <c:axId val="85598592"/>
      </c:lineChart>
      <c:catAx>
        <c:axId val="855800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</c:title>
        <c:numFmt formatCode="General" sourceLinked="1"/>
        <c:majorTickMark val="none"/>
        <c:tickLblPos val="nextTo"/>
        <c:crossAx val="85598592"/>
        <c:crosses val="autoZero"/>
        <c:auto val="1"/>
        <c:lblAlgn val="ctr"/>
        <c:lblOffset val="100"/>
      </c:catAx>
      <c:valAx>
        <c:axId val="855985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</c:title>
        <c:numFmt formatCode="General" sourceLinked="1"/>
        <c:tickLblPos val="nextTo"/>
        <c:crossAx val="85580032"/>
        <c:crosses val="autoZero"/>
        <c:crossBetween val="between"/>
      </c:valAx>
    </c:plotArea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Burndown Chart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Actual</c:v>
          </c:tx>
          <c:val>
            <c:numRef>
              <c:f>Sheet1!$B$17:$B$21</c:f>
              <c:numCache>
                <c:formatCode>General</c:formatCode>
                <c:ptCount val="5"/>
                <c:pt idx="0">
                  <c:v>440</c:v>
                </c:pt>
                <c:pt idx="1">
                  <c:v>402.5</c:v>
                </c:pt>
                <c:pt idx="2">
                  <c:v>369.5</c:v>
                </c:pt>
                <c:pt idx="3">
                  <c:v>309.5</c:v>
                </c:pt>
                <c:pt idx="4">
                  <c:v>271</c:v>
                </c:pt>
              </c:numCache>
            </c:numRef>
          </c:val>
        </c:ser>
        <c:ser>
          <c:idx val="1"/>
          <c:order val="1"/>
          <c:tx>
            <c:v>Estimated</c:v>
          </c:tx>
          <c:spPr>
            <a:ln w="3175" cap="rnd">
              <a:prstDash val="solid"/>
            </a:ln>
          </c:spPr>
          <c:val>
            <c:numRef>
              <c:f>Sheet1!$C$17:$C$31</c:f>
              <c:numCache>
                <c:formatCode>General</c:formatCode>
                <c:ptCount val="15"/>
                <c:pt idx="0">
                  <c:v>440</c:v>
                </c:pt>
                <c:pt idx="1">
                  <c:v>408</c:v>
                </c:pt>
                <c:pt idx="2">
                  <c:v>376</c:v>
                </c:pt>
                <c:pt idx="3">
                  <c:v>344</c:v>
                </c:pt>
                <c:pt idx="4">
                  <c:v>288</c:v>
                </c:pt>
                <c:pt idx="5">
                  <c:v>259</c:v>
                </c:pt>
                <c:pt idx="6">
                  <c:v>230</c:v>
                </c:pt>
                <c:pt idx="7">
                  <c:v>201</c:v>
                </c:pt>
                <c:pt idx="8">
                  <c:v>172</c:v>
                </c:pt>
                <c:pt idx="9">
                  <c:v>143</c:v>
                </c:pt>
                <c:pt idx="10">
                  <c:v>114</c:v>
                </c:pt>
                <c:pt idx="11">
                  <c:v>85</c:v>
                </c:pt>
                <c:pt idx="12">
                  <c:v>56</c:v>
                </c:pt>
                <c:pt idx="13">
                  <c:v>27</c:v>
                </c:pt>
                <c:pt idx="14">
                  <c:v>0</c:v>
                </c:pt>
              </c:numCache>
            </c:numRef>
          </c:val>
        </c:ser>
        <c:marker val="1"/>
        <c:axId val="85616896"/>
        <c:axId val="85643648"/>
      </c:lineChart>
      <c:catAx>
        <c:axId val="856168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</c:title>
        <c:numFmt formatCode="General" sourceLinked="1"/>
        <c:majorTickMark val="none"/>
        <c:tickLblPos val="nextTo"/>
        <c:crossAx val="85643648"/>
        <c:crosses val="autoZero"/>
        <c:auto val="1"/>
        <c:lblAlgn val="ctr"/>
        <c:lblOffset val="100"/>
      </c:catAx>
      <c:valAx>
        <c:axId val="856436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</c:title>
        <c:numFmt formatCode="General" sourceLinked="1"/>
        <c:tickLblPos val="nextTo"/>
        <c:crossAx val="8561689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95974-C8F5-4833-B0F9-16B8C15D7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9</cp:revision>
  <dcterms:created xsi:type="dcterms:W3CDTF">2013-11-29T17:35:00Z</dcterms:created>
  <dcterms:modified xsi:type="dcterms:W3CDTF">2013-12-05T18:34:00Z</dcterms:modified>
</cp:coreProperties>
</file>