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5A07" w14:textId="77777777" w:rsidR="00000000" w:rsidRDefault="00000000">
      <w:pPr>
        <w:pStyle w:val="resp"/>
        <w:spacing w:before="0" w:beforeAutospacing="0" w:line="336" w:lineRule="auto"/>
        <w:jc w:val="center"/>
        <w:divId w:val="1499275216"/>
        <w:rPr>
          <w:rStyle w:val="lev"/>
          <w:sz w:val="28"/>
          <w:szCs w:val="28"/>
          <w:lang w:val="en"/>
        </w:rPr>
      </w:pPr>
      <w:r>
        <w:rPr>
          <w:rStyle w:val="lev"/>
          <w:rFonts w:ascii="Aptos" w:hAnsi="Aptos"/>
          <w:sz w:val="28"/>
          <w:szCs w:val="28"/>
          <w:lang w:val="en"/>
        </w:rPr>
        <w:t>Responses to the Reviewers’ Comments on the manuscript with ID TCOM-TPS-25-2414</w:t>
      </w:r>
    </w:p>
    <w:p w14:paraId="64F27D42" w14:textId="77777777" w:rsidR="00000000" w:rsidRDefault="00000000">
      <w:pPr>
        <w:pStyle w:val="resp"/>
        <w:spacing w:line="336" w:lineRule="auto"/>
        <w:jc w:val="center"/>
        <w:divId w:val="1499275216"/>
        <w:rPr>
          <w:rStyle w:val="lev"/>
          <w:rFonts w:ascii="Aptos" w:hAnsi="Aptos"/>
          <w:i/>
          <w:iCs/>
          <w:sz w:val="28"/>
          <w:szCs w:val="28"/>
          <w:lang w:val="en"/>
        </w:rPr>
      </w:pPr>
      <w:r>
        <w:rPr>
          <w:rStyle w:val="lev"/>
          <w:rFonts w:ascii="Aptos" w:hAnsi="Aptos"/>
          <w:i/>
          <w:iCs/>
          <w:sz w:val="28"/>
          <w:szCs w:val="28"/>
          <w:lang w:val="en"/>
        </w:rPr>
        <w:t>Model-Based Beam-Steered Optical Wireless Positioning with Single-LED Single-Photodiode for 3D Localization</w:t>
      </w:r>
    </w:p>
    <w:p w14:paraId="45BC2817" w14:textId="77777777" w:rsidR="00000000" w:rsidRDefault="00000000">
      <w:pPr>
        <w:pStyle w:val="NormalWeb"/>
        <w:spacing w:line="336" w:lineRule="auto"/>
        <w:jc w:val="center"/>
        <w:divId w:val="1499275216"/>
        <w:rPr>
          <w:sz w:val="22"/>
          <w:szCs w:val="22"/>
          <w:lang w:val="en"/>
        </w:rPr>
      </w:pPr>
      <w:r>
        <w:rPr>
          <w:rStyle w:val="Accentuation"/>
          <w:rFonts w:ascii="Aptos" w:hAnsi="Aptos"/>
          <w:i w:val="0"/>
          <w:iCs w:val="0"/>
          <w:sz w:val="22"/>
          <w:szCs w:val="22"/>
          <w:lang w:val="en"/>
        </w:rPr>
        <w:t>by Kevin Acuna-Condori, Bastien Béchadergue, Hongyu Guan, and Luc Chassagne</w:t>
      </w:r>
    </w:p>
    <w:p w14:paraId="5E5ACF66" w14:textId="77777777" w:rsidR="00000000" w:rsidRDefault="00000000">
      <w:pPr>
        <w:pStyle w:val="resp"/>
        <w:spacing w:line="276" w:lineRule="auto"/>
        <w:divId w:val="1499275216"/>
        <w:rPr>
          <w:rStyle w:val="lev"/>
          <w:b w:val="0"/>
          <w:bCs w:val="0"/>
          <w:lang w:val="en-US"/>
        </w:rPr>
      </w:pPr>
      <w:r>
        <w:rPr>
          <w:rStyle w:val="lev"/>
          <w:rFonts w:ascii="Aptos" w:hAnsi="Aptos"/>
          <w:b w:val="0"/>
          <w:bCs w:val="0"/>
          <w:sz w:val="22"/>
          <w:szCs w:val="22"/>
          <w:lang w:val="en-US"/>
        </w:rPr>
        <w:t>We would like to thank the reviewers and the editor for their constructive comments. They have been very helpful in the revision of this paper and allowed us to improve the technical content and presentation quality. We thus hope that we have taken into consideration and complied with all the comments and suggestions.</w:t>
      </w:r>
    </w:p>
    <w:p w14:paraId="5CD35C1C" w14:textId="77777777" w:rsidR="00000000" w:rsidRDefault="00000000">
      <w:pPr>
        <w:pStyle w:val="resp"/>
        <w:spacing w:before="0" w:beforeAutospacing="0" w:line="276" w:lineRule="auto"/>
        <w:divId w:val="1499275216"/>
        <w:rPr>
          <w:rStyle w:val="lev"/>
          <w:rFonts w:ascii="Aptos" w:hAnsi="Aptos"/>
          <w:b w:val="0"/>
          <w:bCs w:val="0"/>
          <w:sz w:val="22"/>
          <w:szCs w:val="22"/>
          <w:lang w:val="en-US"/>
        </w:rPr>
      </w:pPr>
      <w:r>
        <w:rPr>
          <w:rStyle w:val="lev"/>
          <w:rFonts w:ascii="Aptos" w:hAnsi="Aptos"/>
          <w:b w:val="0"/>
          <w:bCs w:val="0"/>
          <w:sz w:val="22"/>
          <w:szCs w:val="22"/>
          <w:lang w:val="en-US"/>
        </w:rPr>
        <w:t xml:space="preserve">In this document, we provide detailed explanations of the changes made in the revised version of our article to address these comments. Each comment is reminded in </w:t>
      </w:r>
      <w:r>
        <w:rPr>
          <w:rStyle w:val="lev"/>
          <w:rFonts w:ascii="Aptos" w:hAnsi="Aptos"/>
          <w:b w:val="0"/>
          <w:bCs w:val="0"/>
          <w:color w:val="C00000"/>
          <w:sz w:val="22"/>
          <w:szCs w:val="22"/>
          <w:lang w:val="en-US"/>
        </w:rPr>
        <w:t xml:space="preserve">red </w:t>
      </w:r>
      <w:r>
        <w:rPr>
          <w:rStyle w:val="lev"/>
          <w:rFonts w:ascii="Aptos" w:hAnsi="Aptos"/>
          <w:b w:val="0"/>
          <w:bCs w:val="0"/>
          <w:sz w:val="22"/>
          <w:szCs w:val="22"/>
          <w:lang w:val="en-US"/>
        </w:rPr>
        <w:t xml:space="preserve">and is followed by our response, in black font. The changes made to the revised manuscript are mentioned in </w:t>
      </w:r>
      <w:r>
        <w:rPr>
          <w:rStyle w:val="lev"/>
          <w:rFonts w:ascii="Aptos" w:hAnsi="Aptos"/>
          <w:b w:val="0"/>
          <w:bCs w:val="0"/>
          <w:color w:val="0000FF"/>
          <w:sz w:val="22"/>
          <w:szCs w:val="22"/>
          <w:lang w:val="en-US"/>
        </w:rPr>
        <w:t>blue</w:t>
      </w:r>
      <w:r>
        <w:rPr>
          <w:rStyle w:val="lev"/>
          <w:rFonts w:ascii="Aptos" w:hAnsi="Aptos"/>
          <w:b w:val="0"/>
          <w:bCs w:val="0"/>
          <w:sz w:val="22"/>
          <w:szCs w:val="22"/>
          <w:lang w:val="en-US"/>
        </w:rPr>
        <w:t>. Please also note that, unless stated otherwise, all page, section, figure, table, and reference numbers, as well as acronyms refer to the revised manuscript.</w:t>
      </w:r>
    </w:p>
    <w:p w14:paraId="33819921" w14:textId="77777777" w:rsidR="00000000" w:rsidRDefault="00000000">
      <w:pPr>
        <w:pStyle w:val="NormalWeb"/>
        <w:spacing w:line="276" w:lineRule="auto"/>
        <w:jc w:val="center"/>
        <w:divId w:val="1499275216"/>
        <w:rPr>
          <w:sz w:val="28"/>
          <w:szCs w:val="28"/>
          <w:lang w:val="en"/>
        </w:rPr>
      </w:pPr>
      <w:r>
        <w:rPr>
          <w:rStyle w:val="lev"/>
          <w:rFonts w:ascii="Aptos" w:hAnsi="Aptos"/>
          <w:sz w:val="28"/>
          <w:szCs w:val="28"/>
          <w:lang w:val="en"/>
        </w:rPr>
        <w:t>Responses to the Editor</w:t>
      </w:r>
    </w:p>
    <w:p w14:paraId="0DDC639A" w14:textId="77777777" w:rsidR="00000000" w:rsidRDefault="00000000">
      <w:pPr>
        <w:pStyle w:val="resp"/>
        <w:spacing w:before="0" w:beforeAutospacing="0" w:line="276" w:lineRule="auto"/>
        <w:divId w:val="1499275216"/>
        <w:rPr>
          <w:rFonts w:ascii="Aptos" w:hAnsi="Aptos"/>
          <w:i/>
          <w:iCs/>
          <w:color w:val="C00000"/>
          <w:sz w:val="22"/>
          <w:szCs w:val="22"/>
          <w:lang w:val="en-US"/>
        </w:rPr>
      </w:pPr>
      <w:r>
        <w:rPr>
          <w:rFonts w:ascii="Aptos" w:hAnsi="Aptos"/>
          <w:i/>
          <w:iCs/>
          <w:color w:val="C00000"/>
          <w:sz w:val="22"/>
          <w:szCs w:val="22"/>
          <w:lang w:val="en-US"/>
        </w:rPr>
        <w:t>The paper studies a timely and interesting problem and presents a potentially valuable model-based approach for 3D localization using a single beam-steered LED and a single photodiode. The work has merit, but in it requires major revision.</w:t>
      </w:r>
    </w:p>
    <w:p w14:paraId="5AE5D1E7" w14:textId="77777777" w:rsidR="00000000" w:rsidRDefault="00000000">
      <w:pPr>
        <w:pStyle w:val="resp"/>
        <w:spacing w:before="0" w:beforeAutospacing="0" w:line="276" w:lineRule="auto"/>
        <w:divId w:val="1499275216"/>
        <w:rPr>
          <w:rFonts w:ascii="Aptos" w:hAnsi="Aptos"/>
          <w:i/>
          <w:iCs/>
          <w:color w:val="C00000"/>
          <w:sz w:val="22"/>
          <w:szCs w:val="22"/>
          <w:lang w:val="en-US"/>
        </w:rPr>
      </w:pPr>
      <w:r>
        <w:rPr>
          <w:rFonts w:ascii="Aptos" w:hAnsi="Aptos"/>
          <w:i/>
          <w:iCs/>
          <w:color w:val="C00000"/>
          <w:sz w:val="22"/>
          <w:szCs w:val="22"/>
          <w:lang w:val="en-US"/>
        </w:rPr>
        <w:t>In preparing the revision, the authors must address the following points:</w:t>
      </w:r>
    </w:p>
    <w:p w14:paraId="3DB26548" w14:textId="77777777" w:rsidR="00000000" w:rsidRDefault="00000000">
      <w:pPr>
        <w:pStyle w:val="resp"/>
        <w:numPr>
          <w:ilvl w:val="0"/>
          <w:numId w:val="1"/>
        </w:numPr>
        <w:spacing w:before="0" w:beforeAutospacing="0" w:line="276" w:lineRule="auto"/>
        <w:divId w:val="1499275216"/>
        <w:rPr>
          <w:rFonts w:ascii="Aptos" w:hAnsi="Aptos"/>
          <w:i/>
          <w:iCs/>
          <w:color w:val="C00000"/>
          <w:sz w:val="22"/>
          <w:szCs w:val="22"/>
          <w:lang w:val="en-US"/>
        </w:rPr>
      </w:pPr>
      <w:r>
        <w:rPr>
          <w:rFonts w:ascii="Aptos" w:hAnsi="Aptos"/>
          <w:i/>
          <w:iCs/>
          <w:color w:val="C00000"/>
          <w:sz w:val="22"/>
          <w:szCs w:val="22"/>
          <w:lang w:val="en-US"/>
        </w:rPr>
        <w:t>The manuscript must resolve the inconsistency between the claimed capability of operation without receiver rotation and under arbitrary receiver orientation and the actual system model and estimation framework, which rely on a fixed known receiver normal and a beam-aligned distance-recovery step. This is a central issue and must be corrected both technically and in the wording of the claims.</w:t>
      </w:r>
    </w:p>
    <w:p w14:paraId="7FE4573D" w14:textId="77777777" w:rsidR="00000000" w:rsidRDefault="00000000">
      <w:pPr>
        <w:pStyle w:val="resp"/>
        <w:numPr>
          <w:ilvl w:val="0"/>
          <w:numId w:val="1"/>
        </w:numPr>
        <w:spacing w:before="0" w:beforeAutospacing="0" w:line="276" w:lineRule="auto"/>
        <w:divId w:val="1499275216"/>
        <w:rPr>
          <w:rFonts w:ascii="Aptos" w:hAnsi="Aptos"/>
          <w:i/>
          <w:iCs/>
          <w:color w:val="C00000"/>
          <w:sz w:val="22"/>
          <w:szCs w:val="22"/>
          <w:lang w:val="en-US"/>
        </w:rPr>
      </w:pPr>
      <w:r>
        <w:rPr>
          <w:rFonts w:ascii="Aptos" w:hAnsi="Aptos"/>
          <w:i/>
          <w:iCs/>
          <w:color w:val="C00000"/>
          <w:sz w:val="22"/>
          <w:szCs w:val="22"/>
          <w:lang w:val="en-US"/>
        </w:rPr>
        <w:t>The paper must substantially improve the clarity of the formulation and derivations, including the motivation, description of the proposed procedure, notation, estimator development, and the link between the steering parameters and the optimization criterion.</w:t>
      </w:r>
    </w:p>
    <w:p w14:paraId="75F3C86D" w14:textId="77777777" w:rsidR="00000000" w:rsidRDefault="00000000">
      <w:pPr>
        <w:pStyle w:val="resp"/>
        <w:numPr>
          <w:ilvl w:val="0"/>
          <w:numId w:val="1"/>
        </w:numPr>
        <w:spacing w:before="0" w:beforeAutospacing="0" w:line="276" w:lineRule="auto"/>
        <w:divId w:val="1499275216"/>
        <w:rPr>
          <w:rFonts w:ascii="Aptos" w:hAnsi="Aptos"/>
          <w:i/>
          <w:iCs/>
          <w:color w:val="C00000"/>
          <w:sz w:val="22"/>
          <w:szCs w:val="22"/>
          <w:lang w:val="en-US"/>
        </w:rPr>
      </w:pPr>
      <w:r>
        <w:rPr>
          <w:rFonts w:ascii="Aptos" w:hAnsi="Aptos"/>
          <w:i/>
          <w:iCs/>
          <w:color w:val="C00000"/>
          <w:sz w:val="22"/>
          <w:szCs w:val="22"/>
          <w:lang w:val="en-US"/>
        </w:rPr>
        <w:t>The validation </w:t>
      </w:r>
      <w:r>
        <w:rPr>
          <w:rFonts w:ascii="Aptos" w:hAnsi="Aptos"/>
          <w:b/>
          <w:bCs/>
          <w:i/>
          <w:iCs/>
          <w:color w:val="C00000"/>
          <w:sz w:val="22"/>
          <w:szCs w:val="22"/>
          <w:lang w:val="en-US"/>
        </w:rPr>
        <w:t>must </w:t>
      </w:r>
      <w:r>
        <w:rPr>
          <w:rFonts w:ascii="Aptos" w:hAnsi="Aptos"/>
          <w:i/>
          <w:iCs/>
          <w:color w:val="C00000"/>
          <w:sz w:val="22"/>
          <w:szCs w:val="22"/>
          <w:lang w:val="en-US"/>
        </w:rPr>
        <w:t>be strengthened to better support the claimed practical relevance of the method. The revised version </w:t>
      </w:r>
      <w:r>
        <w:rPr>
          <w:rFonts w:ascii="Aptos" w:hAnsi="Aptos"/>
          <w:b/>
          <w:bCs/>
          <w:i/>
          <w:iCs/>
          <w:color w:val="C00000"/>
          <w:sz w:val="22"/>
          <w:szCs w:val="22"/>
          <w:lang w:val="en-US"/>
        </w:rPr>
        <w:t>must </w:t>
      </w:r>
      <w:r>
        <w:rPr>
          <w:rFonts w:ascii="Aptos" w:hAnsi="Aptos"/>
          <w:i/>
          <w:iCs/>
          <w:color w:val="C00000"/>
          <w:sz w:val="22"/>
          <w:szCs w:val="22"/>
          <w:lang w:val="en-US"/>
        </w:rPr>
        <w:t>include more convincing benchmarking and a clearer treatment of robustness and implementation-related issues raised by the reviewers.</w:t>
      </w:r>
    </w:p>
    <w:p w14:paraId="245CF4D0" w14:textId="77777777" w:rsidR="00000000" w:rsidRDefault="00000000">
      <w:pPr>
        <w:pStyle w:val="resp"/>
        <w:spacing w:before="0" w:beforeAutospacing="0" w:line="276" w:lineRule="auto"/>
        <w:divId w:val="1499275216"/>
        <w:rPr>
          <w:rStyle w:val="lev"/>
          <w:b w:val="0"/>
          <w:bCs w:val="0"/>
          <w:lang w:val="en-US"/>
        </w:rPr>
      </w:pPr>
      <w:r>
        <w:rPr>
          <w:rStyle w:val="lev"/>
          <w:rFonts w:ascii="Aptos" w:hAnsi="Aptos"/>
          <w:b w:val="0"/>
          <w:bCs w:val="0"/>
          <w:sz w:val="22"/>
          <w:szCs w:val="22"/>
          <w:lang w:val="en-US"/>
        </w:rPr>
        <w:t xml:space="preserve">We would like to thank the editor for his overall assessment of our work and for this summary of the reviewers’ most important comments, which we address in detail later in this document. </w:t>
      </w:r>
      <w:r>
        <w:rPr>
          <w:rStyle w:val="lev"/>
          <w:rFonts w:ascii="Aptos" w:hAnsi="Aptos"/>
          <w:b w:val="0"/>
          <w:bCs w:val="0"/>
          <w:sz w:val="22"/>
          <w:szCs w:val="22"/>
          <w:lang w:val="en-US"/>
        </w:rPr>
        <w:lastRenderedPageBreak/>
        <w:t xml:space="preserve">From a general perspective, </w:t>
      </w:r>
      <w:r>
        <w:rPr>
          <w:rStyle w:val="lev"/>
          <w:rFonts w:ascii="Aptos" w:hAnsi="Aptos"/>
          <w:sz w:val="22"/>
          <w:szCs w:val="22"/>
          <w:lang w:val="en-US"/>
        </w:rPr>
        <w:t>the main change we made to our work to address these comments was to give greater emphasis to the direction-finding step, which is entirely independent of the receiver’s orientation as initially claimed, compared to the distance recovery and therefore positioning step itself, which requires rotation of the receiver, as the reviewers noted</w:t>
      </w:r>
      <w:r>
        <w:rPr>
          <w:rStyle w:val="lev"/>
          <w:rFonts w:ascii="Aptos" w:hAnsi="Aptos"/>
          <w:b w:val="0"/>
          <w:bCs w:val="0"/>
          <w:sz w:val="22"/>
          <w:szCs w:val="22"/>
          <w:lang w:val="en-US"/>
        </w:rPr>
        <w:t>. This major change led to a number of modifications in this revision, which are summarized here:</w:t>
      </w:r>
    </w:p>
    <w:p w14:paraId="1D2882BE" w14:textId="77777777" w:rsidR="00000000" w:rsidRDefault="00000000">
      <w:pPr>
        <w:numPr>
          <w:ilvl w:val="0"/>
          <w:numId w:val="2"/>
        </w:numPr>
        <w:spacing w:before="100" w:beforeAutospacing="1" w:after="80" w:line="276" w:lineRule="auto"/>
        <w:jc w:val="both"/>
        <w:divId w:val="1499275216"/>
        <w:rPr>
          <w:rFonts w:eastAsia="Times New Roman"/>
          <w:lang w:val="en"/>
        </w:rPr>
      </w:pPr>
      <w:r>
        <w:rPr>
          <w:rStyle w:val="lev"/>
          <w:rFonts w:ascii="Aptos" w:eastAsia="Times New Roman" w:hAnsi="Aptos"/>
          <w:sz w:val="22"/>
          <w:szCs w:val="22"/>
          <w:lang w:val="en"/>
        </w:rPr>
        <w:t>Complete rewriting of the introduction (Section I)</w:t>
      </w:r>
      <w:r>
        <w:rPr>
          <w:rFonts w:ascii="Aptos" w:eastAsia="Times New Roman" w:hAnsi="Aptos"/>
          <w:sz w:val="22"/>
          <w:szCs w:val="22"/>
          <w:lang w:val="en"/>
        </w:rPr>
        <w:t xml:space="preserve"> with clear logical flow, systematic literature review, and explicit positioning of direction finding as the primary contribution.</w:t>
      </w:r>
    </w:p>
    <w:p w14:paraId="362C68D3" w14:textId="77777777" w:rsidR="00000000" w:rsidRDefault="00000000">
      <w:pPr>
        <w:numPr>
          <w:ilvl w:val="0"/>
          <w:numId w:val="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Direction Error Bound (DEB):</w:t>
      </w:r>
      <w:r>
        <w:rPr>
          <w:rFonts w:ascii="Aptos" w:eastAsia="Times New Roman" w:hAnsi="Aptos"/>
          <w:sz w:val="22"/>
          <w:szCs w:val="22"/>
          <w:lang w:val="en"/>
        </w:rPr>
        <w:t xml:space="preserve"> A new Cramér–Rao-based bound dedicated to the direction-finding stage (Section III) is now derived, with Schur-complement profiling of the nuisance parameter—providing the first information-theoretic benchmark specific to single-LED direction estimation on </w:t>
      </w:r>
      <m:oMath>
        <m:r>
          <m:rPr>
            <m:scr m:val="double-struck"/>
          </m:rPr>
          <w:rPr>
            <w:rFonts w:ascii="Cambria Math" w:eastAsia="Times New Roman" w:hAnsi="Cambria Math"/>
            <w:sz w:val="22"/>
            <w:szCs w:val="22"/>
            <w:lang w:val="en"/>
          </w:rPr>
          <m:t>S²</m:t>
        </m:r>
      </m:oMath>
      <w:r>
        <w:rPr>
          <w:rFonts w:ascii="Aptos" w:eastAsia="Times New Roman" w:hAnsi="Aptos"/>
          <w:sz w:val="22"/>
          <w:szCs w:val="22"/>
          <w:lang w:val="en"/>
        </w:rPr>
        <w:t>.</w:t>
      </w:r>
    </w:p>
    <w:p w14:paraId="60BE2A29" w14:textId="2F2DAC93" w:rsidR="00000000" w:rsidRDefault="00000000">
      <w:pPr>
        <w:numPr>
          <w:ilvl w:val="0"/>
          <w:numId w:val="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Comprehensive DEB-based optimization (Section IV):</w:t>
      </w:r>
      <w:r>
        <w:rPr>
          <w:rFonts w:ascii="Aptos" w:eastAsia="Times New Roman" w:hAnsi="Aptos"/>
          <w:sz w:val="22"/>
          <w:szCs w:val="22"/>
          <w:lang w:val="en"/>
        </w:rPr>
        <w:t xml:space="preserve"> Seven DEB-optimized orientation sets (</w:t>
      </w:r>
      <m:oMath>
        <m:r>
          <w:rPr>
            <w:rFonts w:ascii="Cambria Math" w:eastAsia="Times New Roman" w:hAnsi="Cambria Math"/>
            <w:sz w:val="22"/>
            <w:szCs w:val="22"/>
            <w:lang w:val="en"/>
          </w:rPr>
          <m:t>K=3</m:t>
        </m:r>
      </m:oMath>
      <w:r>
        <w:rPr>
          <w:rFonts w:ascii="Aptos" w:eastAsia="Times New Roman" w:hAnsi="Aptos"/>
          <w:sz w:val="22"/>
          <w:szCs w:val="22"/>
          <w:lang w:val="en"/>
        </w:rPr>
        <w:t xml:space="preserve"> to 9) are computed, with root mean square (RMS)-DEB decreasing monotonically from 1.30° to 0.36° (Table III). DEB violin comparison across </w:t>
      </w:r>
      <m:oMath>
        <m:r>
          <w:rPr>
            <w:rFonts w:ascii="Cambria Math" w:eastAsia="Times New Roman" w:hAnsi="Cambria Math"/>
            <w:sz w:val="22"/>
            <w:szCs w:val="22"/>
            <w:lang w:val="en"/>
          </w:rPr>
          <m:t>K</m:t>
        </m:r>
      </m:oMath>
      <w:r>
        <w:rPr>
          <w:rFonts w:ascii="Aptos" w:eastAsia="Times New Roman" w:hAnsi="Aptos"/>
          <w:sz w:val="22"/>
          <w:szCs w:val="22"/>
          <w:lang w:val="en"/>
        </w:rPr>
        <w:t xml:space="preserve"> with 50 random realizations per value (Fig. 2) is provided, along with spatial DEB heat maps (Fig. 3), RMS-DEB / position error bound (PEB) vs. </w:t>
      </w:r>
      <m:oMath>
        <m:r>
          <w:rPr>
            <w:rFonts w:ascii="Cambria Math" w:eastAsia="Times New Roman" w:hAnsi="Cambria Math"/>
            <w:sz w:val="22"/>
            <w:szCs w:val="22"/>
            <w:lang w:val="en"/>
          </w:rPr>
          <m:t>K</m:t>
        </m:r>
      </m:oMath>
      <w:r>
        <w:rPr>
          <w:rFonts w:ascii="Aptos" w:eastAsia="Times New Roman" w:hAnsi="Aptos"/>
          <w:sz w:val="22"/>
          <w:szCs w:val="22"/>
          <w:lang w:val="en"/>
        </w:rPr>
        <w:t xml:space="preserve"> for three</w:t>
      </w:r>
      <w:r w:rsidR="00A33911">
        <w:rPr>
          <w:rFonts w:ascii="Aptos" w:eastAsia="Times New Roman" w:hAnsi="Aptos"/>
          <w:sz w:val="22"/>
          <w:szCs w:val="22"/>
          <w:lang w:val="en"/>
        </w:rPr>
        <w:t xml:space="preserve"> semi-angles at</w:t>
      </w:r>
      <w:r>
        <w:rPr>
          <w:rFonts w:ascii="Aptos" w:eastAsia="Times New Roman" w:hAnsi="Aptos"/>
          <w:sz w:val="22"/>
          <w:szCs w:val="22"/>
          <w:lang w:val="en"/>
        </w:rPr>
        <w:t xml:space="preserve"> half</w:t>
      </w:r>
      <w:r w:rsidR="00A33911">
        <w:rPr>
          <w:rFonts w:ascii="Aptos" w:eastAsia="Times New Roman" w:hAnsi="Aptos"/>
          <w:sz w:val="22"/>
          <w:szCs w:val="22"/>
          <w:lang w:val="en"/>
        </w:rPr>
        <w:t xml:space="preserve"> </w:t>
      </w:r>
      <w:r>
        <w:rPr>
          <w:rFonts w:ascii="Aptos" w:eastAsia="Times New Roman" w:hAnsi="Aptos"/>
          <w:sz w:val="22"/>
          <w:szCs w:val="22"/>
          <w:lang w:val="en"/>
        </w:rPr>
        <w:t>power (Fig. 4),  and RMS-DEB/PEB vs. SNR confirming the theoretical 1/√SNR scaling (Fig. 5).</w:t>
      </w:r>
    </w:p>
    <w:p w14:paraId="7A6459FB" w14:textId="77777777" w:rsidR="00000000" w:rsidRDefault="00000000">
      <w:pPr>
        <w:numPr>
          <w:ilvl w:val="0"/>
          <w:numId w:val="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Dedicated direction-finding evaluation (Section VII-A):</w:t>
      </w:r>
      <w:r>
        <w:rPr>
          <w:rFonts w:ascii="Aptos" w:eastAsia="Times New Roman" w:hAnsi="Aptos"/>
          <w:sz w:val="22"/>
          <w:szCs w:val="22"/>
          <w:lang w:val="en"/>
        </w:rPr>
        <w:t xml:space="preserve"> Standalone assessment using angular error over 1,792 positions </w:t>
      </w:r>
      <m:oMath>
        <m:r>
          <w:rPr>
            <w:rFonts w:ascii="Cambria Math" w:eastAsia="Times New Roman" w:hAnsi="Cambria Math"/>
            <w:sz w:val="22"/>
            <w:szCs w:val="22"/>
            <w:lang w:val="en"/>
          </w:rPr>
          <m:t>×</m:t>
        </m:r>
      </m:oMath>
      <w:r>
        <w:rPr>
          <w:rFonts w:ascii="Aptos" w:eastAsia="Times New Roman" w:hAnsi="Aptos"/>
          <w:sz w:val="22"/>
          <w:szCs w:val="22"/>
          <w:lang w:val="en"/>
        </w:rPr>
        <w:t xml:space="preserve"> 1,000 Monte Carlo trials (</w:t>
      </w:r>
      <m:oMath>
        <m:r>
          <w:rPr>
            <w:rFonts w:ascii="Cambria Math" w:eastAsia="Times New Roman" w:hAnsi="Cambria Math"/>
            <w:sz w:val="22"/>
            <w:szCs w:val="22"/>
            <w:lang w:val="en"/>
          </w:rPr>
          <m:t>≈</m:t>
        </m:r>
      </m:oMath>
      <w:r>
        <w:rPr>
          <w:rFonts w:ascii="Aptos" w:eastAsia="Times New Roman" w:hAnsi="Aptos"/>
          <w:sz w:val="22"/>
          <w:szCs w:val="22"/>
          <w:lang w:val="en"/>
        </w:rPr>
        <w:t>1.8 million evaluations per estimator) is provided, yielding sub-degree RMS error for all estimators (Table IV, Fig. 6).</w:t>
      </w:r>
    </w:p>
    <w:p w14:paraId="76DCF262" w14:textId="77777777" w:rsidR="00000000" w:rsidRDefault="00000000">
      <w:pPr>
        <w:numPr>
          <w:ilvl w:val="0"/>
          <w:numId w:val="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Formal proof of receiver-orientation independence</w:t>
      </w:r>
      <w:r>
        <w:rPr>
          <w:rFonts w:ascii="Aptos" w:eastAsia="Times New Roman" w:hAnsi="Aptos"/>
          <w:sz w:val="22"/>
          <w:szCs w:val="22"/>
          <w:lang w:val="en"/>
        </w:rPr>
        <w:t xml:space="preserve"> </w:t>
      </w:r>
      <w:r>
        <w:rPr>
          <w:rFonts w:ascii="Aptos" w:eastAsia="Times New Roman" w:hAnsi="Aptos"/>
          <w:b/>
          <w:bCs/>
          <w:sz w:val="22"/>
          <w:szCs w:val="22"/>
          <w:lang w:val="en"/>
        </w:rPr>
        <w:t>(Section VI-C)</w:t>
      </w:r>
      <w:r>
        <w:rPr>
          <w:rFonts w:ascii="Aptos" w:eastAsia="Times New Roman" w:hAnsi="Aptos"/>
          <w:sz w:val="22"/>
          <w:szCs w:val="22"/>
          <w:lang w:val="en"/>
        </w:rPr>
        <w:t xml:space="preserve"> for all three estimators is provided and validated numerically with 100 random tilts per position (&lt;3% degradation; Table V, Fig. 6).</w:t>
      </w:r>
    </w:p>
    <w:p w14:paraId="154B91B7" w14:textId="77777777" w:rsidR="00000000" w:rsidRDefault="00000000">
      <w:pPr>
        <w:numPr>
          <w:ilvl w:val="0"/>
          <w:numId w:val="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Computational latency analysis</w:t>
      </w:r>
      <w:r>
        <w:rPr>
          <w:rFonts w:ascii="Aptos" w:eastAsia="Times New Roman" w:hAnsi="Aptos"/>
          <w:sz w:val="22"/>
          <w:szCs w:val="22"/>
          <w:lang w:val="en"/>
        </w:rPr>
        <w:t xml:space="preserve"> </w:t>
      </w:r>
      <w:r>
        <w:rPr>
          <w:rFonts w:ascii="Aptos" w:eastAsia="Times New Roman" w:hAnsi="Aptos"/>
          <w:b/>
          <w:bCs/>
          <w:sz w:val="22"/>
          <w:szCs w:val="22"/>
          <w:lang w:val="en"/>
        </w:rPr>
        <w:t>(Section VII-A-3, Fig. 7)</w:t>
      </w:r>
      <w:r>
        <w:rPr>
          <w:rFonts w:ascii="Aptos" w:eastAsia="Times New Roman" w:hAnsi="Aptos"/>
          <w:sz w:val="22"/>
          <w:szCs w:val="22"/>
          <w:lang w:val="en"/>
        </w:rPr>
        <w:t xml:space="preserve"> is refined, and shows that </w:t>
      </w:r>
      <w:r>
        <w:rPr>
          <w:rFonts w:ascii="Aptos" w:eastAsia="Times New Roman" w:hAnsi="Aptos"/>
          <w:sz w:val="22"/>
          <w:szCs w:val="22"/>
          <w:lang w:val="en-US"/>
        </w:rPr>
        <w:t>generalized least squares (</w:t>
      </w:r>
      <w:r>
        <w:rPr>
          <w:rFonts w:ascii="Aptos" w:eastAsia="Times New Roman" w:hAnsi="Aptos"/>
          <w:sz w:val="22"/>
          <w:szCs w:val="22"/>
          <w:lang w:val="en"/>
        </w:rPr>
        <w:t xml:space="preserve">GLS) / weighted least squares (WLS) achieve </w:t>
      </w:r>
      <w:proofErr w:type="spellStart"/>
      <w:r>
        <w:rPr>
          <w:rFonts w:ascii="Aptos" w:eastAsia="Times New Roman" w:hAnsi="Aptos"/>
          <w:sz w:val="22"/>
          <w:szCs w:val="22"/>
          <w:lang w:val="en"/>
        </w:rPr>
        <w:t>μs</w:t>
      </w:r>
      <w:proofErr w:type="spellEnd"/>
      <w:r>
        <w:rPr>
          <w:rFonts w:ascii="Aptos" w:eastAsia="Times New Roman" w:hAnsi="Aptos"/>
          <w:sz w:val="22"/>
          <w:szCs w:val="22"/>
          <w:lang w:val="en"/>
        </w:rPr>
        <w:t xml:space="preserve">-level inference (0.025/0.018 </w:t>
      </w:r>
      <w:proofErr w:type="spellStart"/>
      <w:r>
        <w:rPr>
          <w:rFonts w:ascii="Aptos" w:eastAsia="Times New Roman" w:hAnsi="Aptos"/>
          <w:sz w:val="22"/>
          <w:szCs w:val="22"/>
          <w:lang w:val="en"/>
        </w:rPr>
        <w:t>ms</w:t>
      </w:r>
      <w:proofErr w:type="spellEnd"/>
      <w:r>
        <w:rPr>
          <w:rFonts w:ascii="Aptos" w:eastAsia="Times New Roman" w:hAnsi="Aptos"/>
          <w:sz w:val="22"/>
          <w:szCs w:val="22"/>
          <w:lang w:val="en"/>
        </w:rPr>
        <w:t xml:space="preserve">), whereas nonlinear least square (NLS) achieves sub-millisecond latency (0.65 </w:t>
      </w:r>
      <w:proofErr w:type="spellStart"/>
      <w:r>
        <w:rPr>
          <w:rFonts w:ascii="Aptos" w:eastAsia="Times New Roman" w:hAnsi="Aptos"/>
          <w:sz w:val="22"/>
          <w:szCs w:val="22"/>
          <w:lang w:val="en"/>
        </w:rPr>
        <w:t>ms</w:t>
      </w:r>
      <w:proofErr w:type="spellEnd"/>
      <w:r>
        <w:rPr>
          <w:rFonts w:ascii="Aptos" w:eastAsia="Times New Roman" w:hAnsi="Aptos"/>
          <w:sz w:val="22"/>
          <w:szCs w:val="22"/>
          <w:lang w:val="en"/>
        </w:rPr>
        <w:t>) via Levenberg–Marquardt.</w:t>
      </w:r>
    </w:p>
    <w:p w14:paraId="0F21D38E" w14:textId="77777777" w:rsidR="00000000" w:rsidRDefault="00000000">
      <w:pPr>
        <w:numPr>
          <w:ilvl w:val="0"/>
          <w:numId w:val="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Estimator performance vs. SNR (Section VII-C, Fig. 10):</w:t>
      </w:r>
      <w:r>
        <w:rPr>
          <w:rFonts w:ascii="Aptos" w:eastAsia="Times New Roman" w:hAnsi="Aptos"/>
          <w:sz w:val="22"/>
          <w:szCs w:val="22"/>
          <w:lang w:val="en"/>
        </w:rPr>
        <w:t xml:space="preserve"> Full Monte Carlo characterization of all estimators across SNR </w:t>
      </w:r>
      <m:oMath>
        <m:r>
          <w:rPr>
            <w:rFonts w:ascii="Cambria Math" w:eastAsia="Times New Roman" w:hAnsi="Cambria Math" w:cs="Cambria Math"/>
            <w:sz w:val="22"/>
            <w:szCs w:val="22"/>
            <w:lang w:val="en"/>
          </w:rPr>
          <m:t>∈</m:t>
        </m:r>
      </m:oMath>
      <w:r>
        <w:rPr>
          <w:rFonts w:ascii="Aptos" w:eastAsia="Times New Roman" w:hAnsi="Aptos"/>
          <w:sz w:val="22"/>
          <w:szCs w:val="22"/>
          <w:lang w:val="en"/>
        </w:rPr>
        <w:t xml:space="preserve"> [10,50] dB (1,792 positions, 1,000 trials per point, ≈16.1 million evaluations per method) is provided, confirming that all estimators follow the 1/√SNR slope and quantifying the accuracy–latency trade-off.</w:t>
      </w:r>
    </w:p>
    <w:p w14:paraId="1FBD994C" w14:textId="77777777" w:rsidR="00000000" w:rsidRDefault="00000000">
      <w:pPr>
        <w:numPr>
          <w:ilvl w:val="0"/>
          <w:numId w:val="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Updated Table I</w:t>
      </w:r>
      <w:r>
        <w:rPr>
          <w:rFonts w:ascii="Aptos" w:eastAsia="Times New Roman" w:hAnsi="Aptos"/>
          <w:sz w:val="22"/>
          <w:szCs w:val="22"/>
          <w:lang w:val="en"/>
        </w:rPr>
        <w:t xml:space="preserve"> with two-stage entry and clarifying footnote.</w:t>
      </w:r>
    </w:p>
    <w:p w14:paraId="47AEC09E" w14:textId="77777777" w:rsidR="00000000" w:rsidRDefault="00000000">
      <w:pPr>
        <w:numPr>
          <w:ilvl w:val="0"/>
          <w:numId w:val="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Note below Table IV</w:t>
      </w:r>
      <w:r>
        <w:rPr>
          <w:rFonts w:ascii="Aptos" w:eastAsia="Times New Roman" w:hAnsi="Aptos"/>
          <w:sz w:val="22"/>
          <w:szCs w:val="22"/>
          <w:lang w:val="en"/>
        </w:rPr>
        <w:t xml:space="preserve"> clarifying PEB spatial statistics.</w:t>
      </w:r>
    </w:p>
    <w:p w14:paraId="1620363B" w14:textId="77777777" w:rsidR="00000000" w:rsidRDefault="00000000">
      <w:pPr>
        <w:spacing w:before="100" w:beforeAutospacing="1" w:after="80" w:line="276" w:lineRule="auto"/>
        <w:jc w:val="both"/>
        <w:divId w:val="1499275216"/>
        <w:rPr>
          <w:rFonts w:ascii="Aptos" w:eastAsia="Times New Roman" w:hAnsi="Aptos"/>
          <w:sz w:val="22"/>
          <w:szCs w:val="22"/>
          <w:lang w:val="en"/>
        </w:rPr>
      </w:pPr>
    </w:p>
    <w:p w14:paraId="6CCD3E30" w14:textId="77777777" w:rsidR="00000000" w:rsidRDefault="00000000">
      <w:pPr>
        <w:spacing w:before="100" w:beforeAutospacing="1" w:after="80" w:line="276" w:lineRule="auto"/>
        <w:jc w:val="both"/>
        <w:divId w:val="1499275216"/>
        <w:rPr>
          <w:rFonts w:ascii="Aptos" w:eastAsia="Times New Roman" w:hAnsi="Aptos"/>
          <w:sz w:val="22"/>
          <w:szCs w:val="22"/>
          <w:lang w:val="en"/>
        </w:rPr>
      </w:pPr>
    </w:p>
    <w:p w14:paraId="18D79F97" w14:textId="77777777" w:rsidR="00000000" w:rsidRDefault="00000000">
      <w:pPr>
        <w:spacing w:before="100" w:beforeAutospacing="1" w:after="80" w:line="276" w:lineRule="auto"/>
        <w:jc w:val="both"/>
        <w:divId w:val="1499275216"/>
        <w:rPr>
          <w:rFonts w:ascii="Aptos" w:eastAsia="Times New Roman" w:hAnsi="Aptos"/>
          <w:sz w:val="22"/>
          <w:szCs w:val="22"/>
          <w:lang w:val="en"/>
        </w:rPr>
      </w:pPr>
    </w:p>
    <w:p w14:paraId="231229EA" w14:textId="77777777" w:rsidR="00000000" w:rsidRDefault="00000000">
      <w:pPr>
        <w:pStyle w:val="NormalWeb"/>
        <w:spacing w:line="276" w:lineRule="auto"/>
        <w:jc w:val="center"/>
        <w:divId w:val="1499275216"/>
        <w:rPr>
          <w:rStyle w:val="lev"/>
          <w:sz w:val="28"/>
          <w:szCs w:val="28"/>
          <w:lang w:val="en"/>
        </w:rPr>
      </w:pPr>
    </w:p>
    <w:p w14:paraId="0ADEC97B" w14:textId="77777777" w:rsidR="00000000" w:rsidRDefault="00000000">
      <w:pPr>
        <w:pStyle w:val="NormalWeb"/>
        <w:spacing w:line="276" w:lineRule="auto"/>
        <w:jc w:val="center"/>
        <w:divId w:val="1499275216"/>
        <w:rPr>
          <w:lang w:val="en"/>
        </w:rPr>
      </w:pPr>
      <w:r>
        <w:rPr>
          <w:rStyle w:val="lev"/>
          <w:rFonts w:ascii="Aptos" w:hAnsi="Aptos"/>
          <w:sz w:val="28"/>
          <w:szCs w:val="28"/>
          <w:lang w:val="en"/>
        </w:rPr>
        <w:lastRenderedPageBreak/>
        <w:t>Responses to Reviewer 1</w:t>
      </w:r>
    </w:p>
    <w:p w14:paraId="1FE43480" w14:textId="77777777" w:rsidR="00000000" w:rsidRDefault="00000000">
      <w:pPr>
        <w:pStyle w:val="rc"/>
        <w:spacing w:before="0" w:beforeAutospacing="0" w:line="276" w:lineRule="auto"/>
        <w:divId w:val="1499275216"/>
        <w:rPr>
          <w:rFonts w:ascii="Aptos" w:hAnsi="Aptos"/>
          <w:sz w:val="22"/>
          <w:szCs w:val="22"/>
          <w:lang w:val="en"/>
        </w:rPr>
      </w:pPr>
      <w:r>
        <w:rPr>
          <w:rFonts w:ascii="Aptos" w:hAnsi="Aptos"/>
          <w:sz w:val="22"/>
          <w:szCs w:val="22"/>
          <w:lang w:val="en"/>
        </w:rPr>
        <w:t>The authors present a single beam-steered LED single-PD OWP localization architecture, and derived the PEB. They discuss the selection of the orientation sets. They develop direction finding methods and demonstrate their feasibility by numerical simulation.</w:t>
      </w:r>
    </w:p>
    <w:p w14:paraId="10BECA8D"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We would like to thank the reviewer for the positive assessment of our work and for the constructive comments that have helped us improve the clarity of the paper. We are pleased that the reviewer found the architecture, the PEB derivation, and the direction-finding methods to be sound and demonstrated through simulation. We hope that the responses below satisfactorily address all of the remaining comments from Reviewer 1.</w:t>
      </w:r>
    </w:p>
    <w:p w14:paraId="026D319B" w14:textId="77777777" w:rsidR="00000000" w:rsidRDefault="00000000">
      <w:pPr>
        <w:pStyle w:val="resp"/>
        <w:spacing w:before="0" w:beforeAutospacing="0" w:line="276" w:lineRule="auto"/>
        <w:divId w:val="1499275216"/>
        <w:rPr>
          <w:rFonts w:ascii="Aptos" w:hAnsi="Aptos"/>
          <w:i/>
          <w:iCs/>
          <w:color w:val="C00000"/>
          <w:sz w:val="22"/>
          <w:szCs w:val="22"/>
          <w:lang w:val="en-US"/>
        </w:rPr>
      </w:pPr>
      <w:r>
        <w:rPr>
          <w:rFonts w:ascii="Aptos" w:hAnsi="Aptos"/>
          <w:i/>
          <w:iCs/>
          <w:color w:val="C00000"/>
          <w:sz w:val="22"/>
          <w:szCs w:val="22"/>
          <w:lang w:val="en-US"/>
        </w:rPr>
        <w:t>Some minor issues need to be addressed before acceptance.</w:t>
      </w:r>
    </w:p>
    <w:p w14:paraId="3214CB7F" w14:textId="77777777" w:rsidR="00000000" w:rsidRDefault="00000000">
      <w:pPr>
        <w:pStyle w:val="resp"/>
        <w:numPr>
          <w:ilvl w:val="0"/>
          <w:numId w:val="3"/>
        </w:numPr>
        <w:spacing w:before="0" w:beforeAutospacing="0" w:line="276" w:lineRule="auto"/>
        <w:divId w:val="1499275216"/>
        <w:rPr>
          <w:rFonts w:ascii="Aptos" w:hAnsi="Aptos"/>
          <w:i/>
          <w:iCs/>
          <w:color w:val="C00000"/>
          <w:sz w:val="22"/>
          <w:szCs w:val="22"/>
          <w:lang w:val="en-US"/>
        </w:rPr>
      </w:pPr>
      <w:r>
        <w:rPr>
          <w:rFonts w:ascii="Aptos" w:hAnsi="Aptos"/>
          <w:i/>
          <w:iCs/>
          <w:color w:val="C00000"/>
          <w:sz w:val="22"/>
          <w:szCs w:val="22"/>
          <w:lang w:val="en"/>
        </w:rPr>
        <w:t>L37-40, left, page 1: please correct the sentence “there is…, which …, such as …, are widely studied …”</w:t>
      </w:r>
    </w:p>
    <w:p w14:paraId="62CF85DA"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The Introduction has been completely rewritten in the revised manuscript. The problematic sentence has been replaced by a grammatically correct and clearer formulation </w:t>
      </w:r>
      <w:r>
        <w:rPr>
          <w:rFonts w:ascii="Aptos" w:hAnsi="Aptos"/>
          <w:color w:val="0000FF"/>
          <w:sz w:val="22"/>
          <w:szCs w:val="22"/>
          <w:lang w:val="en"/>
        </w:rPr>
        <w:t>in the first paragraph of Section I</w:t>
      </w:r>
      <w:r>
        <w:rPr>
          <w:rFonts w:ascii="Aptos" w:hAnsi="Aptos"/>
          <w:sz w:val="22"/>
          <w:szCs w:val="22"/>
          <w:lang w:val="en"/>
        </w:rPr>
        <w:t>:</w:t>
      </w:r>
    </w:p>
    <w:p w14:paraId="4E4EEE50" w14:textId="77777777" w:rsidR="00000000" w:rsidRDefault="00000000">
      <w:pPr>
        <w:pStyle w:val="resp"/>
        <w:spacing w:before="0" w:beforeAutospacing="0" w:line="276" w:lineRule="auto"/>
        <w:ind w:left="708"/>
        <w:divId w:val="1499275216"/>
        <w:rPr>
          <w:rFonts w:ascii="Aptos" w:hAnsi="Aptos"/>
          <w:color w:val="0000FF"/>
          <w:sz w:val="22"/>
          <w:szCs w:val="22"/>
          <w:lang w:val="en"/>
        </w:rPr>
      </w:pPr>
      <w:r>
        <w:rPr>
          <w:rFonts w:ascii="Aptos" w:eastAsia="Times New Roman" w:hAnsi="Aptos"/>
          <w:i/>
          <w:iCs/>
          <w:color w:val="0000FF"/>
          <w:sz w:val="22"/>
          <w:szCs w:val="22"/>
          <w:lang w:val="en"/>
        </w:rPr>
        <w:t>”Dedicated indoor positioning systems (IPS) are therefore required, and radio-frequency (RF) techniques leveraging existing communications infrastructure—such as Wi-Fi, Bluetooth Low Energy (BLE), ultra-wideband (UWB), radio-frequency identification (RFID), and emerging 5G positioning—are widely studied and deployed.”</w:t>
      </w:r>
    </w:p>
    <w:p w14:paraId="45193F0A" w14:textId="77777777" w:rsidR="00000000" w:rsidRDefault="00000000">
      <w:pPr>
        <w:pStyle w:val="rc"/>
        <w:numPr>
          <w:ilvl w:val="0"/>
          <w:numId w:val="3"/>
        </w:numPr>
        <w:spacing w:before="0" w:beforeAutospacing="0" w:line="276" w:lineRule="auto"/>
        <w:divId w:val="1499275216"/>
        <w:rPr>
          <w:rFonts w:ascii="Aptos" w:hAnsi="Aptos"/>
          <w:sz w:val="22"/>
          <w:szCs w:val="22"/>
          <w:lang w:val="en"/>
        </w:rPr>
      </w:pPr>
      <w:r>
        <w:rPr>
          <w:rFonts w:ascii="Aptos" w:hAnsi="Aptos"/>
          <w:sz w:val="22"/>
          <w:szCs w:val="22"/>
          <w:lang w:val="en"/>
        </w:rPr>
        <w:t>L51, left, page 2: “and” should be added before “silicon-photonics”.</w:t>
      </w:r>
    </w:p>
    <w:p w14:paraId="74944383" w14:textId="44571B29" w:rsidR="00000000" w:rsidRDefault="00000000">
      <w:pPr>
        <w:pStyle w:val="resp"/>
        <w:spacing w:before="0" w:beforeAutospacing="0" w:line="276" w:lineRule="auto"/>
        <w:divId w:val="1499275216"/>
        <w:rPr>
          <w:rFonts w:ascii="Aptos" w:hAnsi="Aptos"/>
          <w:color w:val="0000FF"/>
          <w:sz w:val="22"/>
          <w:szCs w:val="22"/>
          <w:lang w:val="en"/>
        </w:rPr>
      </w:pPr>
      <w:r w:rsidRPr="006A2374">
        <w:rPr>
          <w:rFonts w:ascii="Aptos" w:hAnsi="Aptos"/>
          <w:color w:val="0000FF"/>
          <w:sz w:val="22"/>
          <w:szCs w:val="22"/>
          <w:lang w:val="en"/>
        </w:rPr>
        <w:t>The sentence has been rewritten for clarity (see Section I, sixth paragraph)</w:t>
      </w:r>
      <w:r w:rsidR="006A2374">
        <w:rPr>
          <w:rFonts w:ascii="Aptos" w:hAnsi="Aptos"/>
          <w:color w:val="0000FF"/>
          <w:sz w:val="22"/>
          <w:szCs w:val="22"/>
          <w:lang w:val="en"/>
        </w:rPr>
        <w:t>.</w:t>
      </w:r>
    </w:p>
    <w:p w14:paraId="76EEF378" w14:textId="77777777" w:rsidR="00000000" w:rsidRDefault="00000000">
      <w:pPr>
        <w:pStyle w:val="rc"/>
        <w:numPr>
          <w:ilvl w:val="0"/>
          <w:numId w:val="3"/>
        </w:numPr>
        <w:spacing w:before="0" w:beforeAutospacing="0" w:line="276" w:lineRule="auto"/>
        <w:divId w:val="1499275216"/>
        <w:rPr>
          <w:rFonts w:ascii="Aptos" w:hAnsi="Aptos"/>
          <w:sz w:val="22"/>
          <w:szCs w:val="22"/>
          <w:lang w:val="en"/>
        </w:rPr>
      </w:pPr>
      <w:r>
        <w:rPr>
          <w:rFonts w:ascii="Aptos" w:hAnsi="Aptos"/>
          <w:sz w:val="22"/>
          <w:szCs w:val="22"/>
          <w:lang w:val="en"/>
        </w:rPr>
        <w:t>Table II: why do you use the z range of [0, 1.2] instead of a larger one such as [0, 2]? Which half-power semi-angle of the 3 values is selected in “optimization”?</w:t>
      </w:r>
    </w:p>
    <w:p w14:paraId="47FF3E9A" w14:textId="57E5AA0A"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Regarding the </w:t>
      </w:r>
      <m:oMath>
        <m:r>
          <m:rPr>
            <m:sty m:val="bi"/>
          </m:rPr>
          <w:rPr>
            <w:rStyle w:val="lev"/>
            <w:rFonts w:ascii="Cambria Math" w:hAnsi="Cambria Math"/>
            <w:sz w:val="22"/>
            <w:szCs w:val="22"/>
            <w:lang w:val="en"/>
          </w:rPr>
          <m:t>z</m:t>
        </m:r>
      </m:oMath>
      <w:r>
        <w:rPr>
          <w:rStyle w:val="lev"/>
          <w:rFonts w:ascii="Aptos" w:hAnsi="Aptos"/>
          <w:sz w:val="22"/>
          <w:szCs w:val="22"/>
          <w:lang w:val="en"/>
        </w:rPr>
        <w:t>-range</w:t>
      </w:r>
      <w:r>
        <w:rPr>
          <w:rFonts w:ascii="Aptos" w:hAnsi="Aptos"/>
          <w:sz w:val="22"/>
          <w:szCs w:val="22"/>
          <w:lang w:val="en"/>
        </w:rPr>
        <w:t xml:space="preserve">: The transmitter is ceiling-mounted at </w:t>
      </w:r>
      <m:oMath>
        <m:r>
          <w:rPr>
            <w:rFonts w:ascii="Cambria Math" w:hAnsi="Cambria Math"/>
            <w:sz w:val="22"/>
            <w:szCs w:val="22"/>
            <w:lang w:val="en"/>
          </w:rPr>
          <m:t>z</m:t>
        </m:r>
      </m:oMath>
      <w:r>
        <w:rPr>
          <w:rFonts w:ascii="Aptos" w:hAnsi="Aptos"/>
          <w:sz w:val="22"/>
          <w:szCs w:val="22"/>
          <w:lang w:val="en"/>
        </w:rPr>
        <w:t> </w:t>
      </w:r>
      <m:oMath>
        <m:r>
          <w:rPr>
            <w:rFonts w:ascii="Cambria Math" w:hAnsi="Cambria Math"/>
            <w:sz w:val="22"/>
            <w:szCs w:val="22"/>
            <w:lang w:val="en"/>
          </w:rPr>
          <m:t>=</m:t>
        </m:r>
      </m:oMath>
      <w:r>
        <w:rPr>
          <w:rFonts w:ascii="Aptos" w:hAnsi="Aptos"/>
          <w:sz w:val="22"/>
          <w:szCs w:val="22"/>
          <w:lang w:val="en"/>
        </w:rPr>
        <w:t> </w:t>
      </w:r>
      <m:oMath>
        <m:r>
          <w:rPr>
            <w:rFonts w:ascii="Cambria Math" w:hAnsi="Cambria Math"/>
            <w:sz w:val="22"/>
            <w:szCs w:val="22"/>
            <w:lang w:val="en"/>
          </w:rPr>
          <m:t>2</m:t>
        </m:r>
      </m:oMath>
      <w:r>
        <w:rPr>
          <w:rFonts w:ascii="Aptos" w:hAnsi="Aptos"/>
          <w:sz w:val="22"/>
          <w:szCs w:val="22"/>
          <w:lang w:val="en"/>
        </w:rPr>
        <w:t xml:space="preserve"> m, so </w:t>
      </w:r>
      <m:oMath>
        <m:r>
          <w:rPr>
            <w:rFonts w:ascii="Cambria Math" w:hAnsi="Cambria Math"/>
            <w:sz w:val="22"/>
            <w:szCs w:val="22"/>
            <w:lang w:val="en"/>
          </w:rPr>
          <m:t>z =</m:t>
        </m:r>
      </m:oMath>
      <w:r>
        <w:rPr>
          <w:rFonts w:ascii="Aptos" w:hAnsi="Aptos"/>
          <w:sz w:val="22"/>
          <w:szCs w:val="22"/>
          <w:lang w:val="en"/>
        </w:rPr>
        <w:t> </w:t>
      </w:r>
      <m:oMath>
        <m:r>
          <w:rPr>
            <w:rFonts w:ascii="Cambria Math" w:hAnsi="Cambria Math"/>
            <w:sz w:val="22"/>
            <w:szCs w:val="22"/>
            <w:lang w:val="en"/>
          </w:rPr>
          <m:t>0</m:t>
        </m:r>
      </m:oMath>
      <w:r>
        <w:rPr>
          <w:rFonts w:ascii="Aptos" w:hAnsi="Aptos"/>
          <w:sz w:val="22"/>
          <w:szCs w:val="22"/>
          <w:lang w:val="en"/>
        </w:rPr>
        <w:t xml:space="preserve"> corresponds to the floor and </w:t>
      </w:r>
      <m:oMath>
        <m:r>
          <w:rPr>
            <w:rFonts w:ascii="Cambria Math" w:hAnsi="Cambria Math"/>
            <w:sz w:val="22"/>
            <w:szCs w:val="22"/>
            <w:lang w:val="en"/>
          </w:rPr>
          <m:t>z =</m:t>
        </m:r>
      </m:oMath>
      <w:r>
        <w:rPr>
          <w:rFonts w:ascii="Aptos" w:hAnsi="Aptos"/>
          <w:sz w:val="22"/>
          <w:szCs w:val="22"/>
          <w:lang w:val="en"/>
        </w:rPr>
        <w:t> </w:t>
      </w:r>
      <m:oMath>
        <m:r>
          <w:rPr>
            <w:rFonts w:ascii="Cambria Math" w:hAnsi="Cambria Math"/>
            <w:sz w:val="22"/>
            <w:szCs w:val="22"/>
            <w:lang w:val="en"/>
          </w:rPr>
          <m:t>1.2</m:t>
        </m:r>
      </m:oMath>
      <w:r>
        <w:rPr>
          <w:rFonts w:ascii="Aptos" w:hAnsi="Aptos"/>
          <w:sz w:val="22"/>
          <w:szCs w:val="22"/>
          <w:lang w:val="en"/>
        </w:rPr>
        <w:t xml:space="preserve"> m corresponds to a receiver held at chest height. Extending the range to </w:t>
      </w:r>
      <m:oMath>
        <m:r>
          <w:rPr>
            <w:rFonts w:ascii="Cambria Math" w:hAnsi="Cambria Math"/>
            <w:sz w:val="22"/>
            <w:szCs w:val="22"/>
            <w:lang w:val="en"/>
          </w:rPr>
          <m:t>z =</m:t>
        </m:r>
      </m:oMath>
      <w:r>
        <w:rPr>
          <w:rFonts w:ascii="Aptos" w:hAnsi="Aptos"/>
          <w:sz w:val="22"/>
          <w:szCs w:val="22"/>
          <w:lang w:val="en"/>
        </w:rPr>
        <w:t> </w:t>
      </w:r>
      <m:oMath>
        <m:r>
          <w:rPr>
            <w:rFonts w:ascii="Cambria Math" w:hAnsi="Cambria Math"/>
            <w:sz w:val="22"/>
            <w:szCs w:val="22"/>
            <w:lang w:val="en"/>
          </w:rPr>
          <m:t>2</m:t>
        </m:r>
      </m:oMath>
      <w:r>
        <w:rPr>
          <w:rFonts w:ascii="Aptos" w:hAnsi="Aptos"/>
          <w:sz w:val="22"/>
          <w:szCs w:val="22"/>
          <w:lang w:val="en"/>
        </w:rPr>
        <w:t> m would place the receiver at the ceiling (transmitter height), which is physically unrealistic for a handheld or body-mounted device. Moreover, at very short transmitter–receiver separations (</w:t>
      </w:r>
      <m:oMath>
        <m:r>
          <w:rPr>
            <w:rFonts w:ascii="Cambria Math" w:hAnsi="Cambria Math"/>
            <w:sz w:val="22"/>
            <w:szCs w:val="22"/>
            <w:lang w:val="en"/>
          </w:rPr>
          <m:t>z</m:t>
        </m:r>
      </m:oMath>
      <w:r>
        <w:rPr>
          <w:rFonts w:ascii="Aptos" w:hAnsi="Aptos"/>
          <w:sz w:val="22"/>
          <w:szCs w:val="22"/>
          <w:lang w:val="en"/>
        </w:rPr>
        <w:t xml:space="preserve"> close to 2 m), the incidence angle </w:t>
      </w:r>
      <m:oMath>
        <m:r>
          <w:rPr>
            <w:rFonts w:ascii="Cambria Math" w:hAnsi="Cambria Math"/>
            <w:sz w:val="22"/>
            <w:szCs w:val="22"/>
            <w:lang w:val="en"/>
          </w:rPr>
          <m:t>ψ</m:t>
        </m:r>
      </m:oMath>
      <w:r>
        <w:rPr>
          <w:rFonts w:ascii="Aptos" w:hAnsi="Aptos"/>
          <w:sz w:val="22"/>
          <w:szCs w:val="22"/>
          <w:lang w:val="en"/>
        </w:rPr>
        <w:t xml:space="preserve"> approaches the field-of-view (FOV) limit, the Lambertian model becomes ill-conditioned, and the Fisher information matrix (FIM) degenerates. The range [0, 1.2] m therefore covers the practical receiver-height envelope for indoor pedestrian scenarios.</w:t>
      </w:r>
    </w:p>
    <w:p w14:paraId="2611651A" w14:textId="655E9B15"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Regarding the </w:t>
      </w:r>
      <w:r w:rsidR="00A33911" w:rsidRPr="00A33911">
        <w:rPr>
          <w:rFonts w:ascii="Aptos" w:hAnsi="Aptos"/>
          <w:b/>
          <w:bCs/>
          <w:sz w:val="22"/>
          <w:szCs w:val="22"/>
          <w:lang w:val="en"/>
        </w:rPr>
        <w:t xml:space="preserve">semi-angle at </w:t>
      </w:r>
      <w:r>
        <w:rPr>
          <w:rStyle w:val="lev"/>
          <w:rFonts w:ascii="Aptos" w:hAnsi="Aptos"/>
          <w:sz w:val="22"/>
          <w:szCs w:val="22"/>
          <w:lang w:val="en"/>
        </w:rPr>
        <w:t>half-power</w:t>
      </w:r>
      <w:r>
        <w:rPr>
          <w:rFonts w:ascii="Aptos" w:hAnsi="Aptos"/>
          <w:sz w:val="22"/>
          <w:szCs w:val="22"/>
          <w:lang w:val="en"/>
        </w:rPr>
        <w:t xml:space="preserve">: The genetic algorithm (GA) optimization was run independently for each of the three values </w:t>
      </w: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cs="Cambria Math"/>
            <w:sz w:val="22"/>
            <w:szCs w:val="22"/>
            <w:lang w:val="en"/>
          </w:rPr>
          <m:t>∈</m:t>
        </m:r>
        <m:r>
          <w:rPr>
            <w:rFonts w:ascii="Cambria Math" w:hAnsi="Cambria Math"/>
            <w:sz w:val="22"/>
            <w:szCs w:val="22"/>
            <w:lang w:val="en"/>
          </w:rPr>
          <m:t> {30°, 45°, 60°}</m:t>
        </m:r>
      </m:oMath>
      <w:r>
        <w:rPr>
          <w:rFonts w:ascii="Aptos" w:hAnsi="Aptos"/>
          <w:sz w:val="22"/>
          <w:szCs w:val="22"/>
          <w:lang w:val="en"/>
        </w:rPr>
        <w:t xml:space="preserve"> listed in Table II, producing three sets of DEB-optimized orientations. Table III then lists the resulting orientations when </w:t>
      </w:r>
      <m:oMath>
        <m:sSub>
          <m:sSubPr>
            <m:ctrlPr>
              <w:rPr>
                <w:rFonts w:ascii="Cambria Math" w:hAnsi="Cambria Math"/>
                <w:i/>
                <w:sz w:val="22"/>
                <w:szCs w:val="22"/>
                <w:lang w:val="en"/>
              </w:rPr>
            </m:ctrlPr>
          </m:sSubPr>
          <m:e>
            <m:r>
              <m:rPr>
                <m:sty m:val="p"/>
              </m:rPr>
              <w:rPr>
                <w:rFonts w:ascii="Cambria Math" w:hAnsi="Cambria Math"/>
                <w:sz w:val="22"/>
                <w:szCs w:val="22"/>
                <w:lang w:val="en"/>
              </w:rPr>
              <m:t>Φ</m:t>
            </m:r>
            <m:ctrlPr>
              <w:rPr>
                <w:rFonts w:ascii="Cambria Math" w:hAnsi="Cambria Math"/>
                <w:sz w:val="22"/>
                <w:szCs w:val="22"/>
                <w:lang w:val="en"/>
              </w:rPr>
            </m:ctrlPr>
          </m:e>
          <m:sub>
            <m:r>
              <w:rPr>
                <w:rFonts w:ascii="Cambria Math" w:hAnsi="Cambria Math"/>
                <w:sz w:val="22"/>
                <w:szCs w:val="22"/>
                <w:lang w:val="en"/>
              </w:rPr>
              <m:t>1/2</m:t>
            </m:r>
          </m:sub>
        </m:sSub>
        <m:r>
          <w:rPr>
            <w:rFonts w:ascii="Cambria Math" w:hAnsi="Cambria Math"/>
            <w:sz w:val="22"/>
            <w:szCs w:val="22"/>
            <w:lang w:val="en"/>
          </w:rPr>
          <m:t>=45°</m:t>
        </m:r>
      </m:oMath>
      <w:r>
        <w:rPr>
          <w:rFonts w:ascii="Aptos" w:hAnsi="Aptos"/>
          <w:sz w:val="22"/>
          <w:szCs w:val="22"/>
          <w:lang w:val="en"/>
        </w:rPr>
        <w:t xml:space="preserve">, whereas Fig. 4 (RMS-DEB/PEB vs. </w:t>
      </w:r>
      <m:oMath>
        <m:r>
          <w:rPr>
            <w:rFonts w:ascii="Cambria Math" w:hAnsi="Cambria Math"/>
            <w:sz w:val="22"/>
            <w:szCs w:val="22"/>
            <w:lang w:val="en"/>
          </w:rPr>
          <m:t>K</m:t>
        </m:r>
      </m:oMath>
      <w:r>
        <w:rPr>
          <w:rFonts w:ascii="Aptos" w:hAnsi="Aptos"/>
          <w:sz w:val="22"/>
          <w:szCs w:val="22"/>
          <w:lang w:val="en"/>
        </w:rPr>
        <w:t xml:space="preserve">) shows the results for all three. Based on this comparison, </w:t>
      </w: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sz w:val="22"/>
            <w:szCs w:val="22"/>
            <w:vertAlign w:val="subscript"/>
            <w:lang w:val="en"/>
          </w:rPr>
          <m:t>=</m:t>
        </m:r>
      </m:oMath>
      <w:r>
        <w:rPr>
          <w:rFonts w:ascii="Aptos" w:hAnsi="Aptos"/>
          <w:sz w:val="22"/>
          <w:szCs w:val="22"/>
          <w:lang w:val="en"/>
        </w:rPr>
        <w:t> </w:t>
      </w:r>
      <m:oMath>
        <m:r>
          <w:rPr>
            <w:rFonts w:ascii="Cambria Math" w:hAnsi="Cambria Math"/>
            <w:sz w:val="22"/>
            <w:szCs w:val="22"/>
            <w:lang w:val="en"/>
          </w:rPr>
          <m:t>45°</m:t>
        </m:r>
      </m:oMath>
      <w:r>
        <w:rPr>
          <w:rFonts w:ascii="Aptos" w:hAnsi="Aptos"/>
          <w:sz w:val="22"/>
          <w:szCs w:val="22"/>
          <w:lang w:val="en"/>
        </w:rPr>
        <w:t xml:space="preserve"> was selected for the subsequent simulations because it offers a favorable trade-off between DEB performance and widespread availability in commercial LEDs.</w:t>
      </w:r>
    </w:p>
    <w:p w14:paraId="0460510B"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lastRenderedPageBreak/>
        <w:t>The text accompanying Fig. 4 in Section IV now states: “</w:t>
      </w: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sz w:val="22"/>
            <w:szCs w:val="22"/>
            <w:vertAlign w:val="subscript"/>
            <w:lang w:val="en"/>
          </w:rPr>
          <m:t>=</m:t>
        </m:r>
      </m:oMath>
      <w:r>
        <w:rPr>
          <w:rFonts w:ascii="Aptos" w:hAnsi="Aptos"/>
          <w:sz w:val="22"/>
          <w:szCs w:val="22"/>
          <w:lang w:val="en"/>
        </w:rPr>
        <w:t> </w:t>
      </w:r>
      <m:oMath>
        <m:r>
          <w:rPr>
            <w:rFonts w:ascii="Cambria Math" w:hAnsi="Cambria Math"/>
            <w:sz w:val="22"/>
            <w:szCs w:val="22"/>
            <w:lang w:val="en"/>
          </w:rPr>
          <m:t>45°</m:t>
        </m:r>
      </m:oMath>
      <w:r>
        <w:rPr>
          <w:rFonts w:ascii="Aptos" w:hAnsi="Aptos"/>
          <w:sz w:val="22"/>
          <w:szCs w:val="22"/>
          <w:lang w:val="en"/>
        </w:rPr>
        <w:t xml:space="preserve"> achieves competitive performance starting at </w:t>
      </w:r>
      <m:oMath>
        <m:r>
          <w:rPr>
            <w:rFonts w:ascii="Cambria Math" w:hAnsi="Cambria Math"/>
            <w:sz w:val="22"/>
            <w:szCs w:val="22"/>
            <w:lang w:val="en"/>
          </w:rPr>
          <m:t>K = 3</m:t>
        </m:r>
      </m:oMath>
      <w:r>
        <w:rPr>
          <w:rFonts w:ascii="Aptos" w:hAnsi="Aptos"/>
          <w:sz w:val="22"/>
          <w:szCs w:val="22"/>
          <w:lang w:val="en"/>
        </w:rPr>
        <w:t xml:space="preserve"> and, given its widespread use in commercial LEDs, is adopted for the subsequent simulations”. The titles of Table III, Fig. 2 and Fig. 3 have also been modified to include the value of </w:t>
      </w: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oMath>
      <w:r>
        <w:rPr>
          <w:rFonts w:ascii="Aptos" w:hAnsi="Aptos"/>
          <w:sz w:val="22"/>
          <w:szCs w:val="22"/>
          <w:lang w:val="en"/>
        </w:rPr>
        <w:t xml:space="preserve"> it corresponds to (i.e. </w:t>
      </w: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sz w:val="22"/>
            <w:szCs w:val="22"/>
            <w:vertAlign w:val="subscript"/>
            <w:lang w:val="en"/>
          </w:rPr>
          <m:t>=45°</m:t>
        </m:r>
      </m:oMath>
      <w:r>
        <w:rPr>
          <w:rFonts w:ascii="Aptos" w:hAnsi="Aptos"/>
          <w:sz w:val="22"/>
          <w:szCs w:val="22"/>
          <w:lang w:val="en"/>
        </w:rPr>
        <w:t>), as well as the sentence introducing Table III in the main text (fourth paragraph of Section IV).</w:t>
      </w:r>
    </w:p>
    <w:p w14:paraId="7E11C81E" w14:textId="77777777" w:rsidR="00000000" w:rsidRDefault="00000000">
      <w:pPr>
        <w:pStyle w:val="rc"/>
        <w:numPr>
          <w:ilvl w:val="0"/>
          <w:numId w:val="3"/>
        </w:numPr>
        <w:spacing w:before="0" w:beforeAutospacing="0" w:line="276" w:lineRule="auto"/>
        <w:divId w:val="1499275216"/>
        <w:rPr>
          <w:rFonts w:ascii="Aptos" w:hAnsi="Aptos"/>
          <w:sz w:val="22"/>
          <w:szCs w:val="22"/>
          <w:lang w:val="en"/>
        </w:rPr>
      </w:pPr>
      <w:r>
        <w:rPr>
          <w:rFonts w:ascii="Aptos" w:hAnsi="Aptos"/>
          <w:sz w:val="22"/>
          <w:szCs w:val="22"/>
          <w:lang w:val="en"/>
        </w:rPr>
        <w:t>Fig 2: how many random orientation sets are used?</w:t>
      </w:r>
    </w:p>
    <w:p w14:paraId="0B371ECA" w14:textId="77777777" w:rsidR="00000000" w:rsidRDefault="00000000">
      <w:pPr>
        <w:pStyle w:val="resp"/>
        <w:spacing w:before="0" w:beforeAutospacing="0" w:line="276" w:lineRule="auto"/>
        <w:divId w:val="1499275216"/>
        <w:rPr>
          <w:rFonts w:ascii="Aptos" w:hAnsi="Aptos"/>
          <w:sz w:val="22"/>
          <w:szCs w:val="22"/>
          <w:lang w:val="en"/>
        </w:rPr>
      </w:pPr>
      <w:r>
        <w:rPr>
          <w:rStyle w:val="lev"/>
          <w:rFonts w:ascii="Aptos" w:hAnsi="Aptos"/>
          <w:sz w:val="22"/>
          <w:szCs w:val="22"/>
          <w:lang w:val="en"/>
        </w:rPr>
        <w:t>50 random orientation sets</w:t>
      </w:r>
      <w:r>
        <w:rPr>
          <w:rFonts w:ascii="Aptos" w:hAnsi="Aptos"/>
          <w:sz w:val="22"/>
          <w:szCs w:val="22"/>
          <w:lang w:val="en"/>
        </w:rPr>
        <w:t xml:space="preserve"> are generated per </w:t>
      </w:r>
      <m:oMath>
        <m:r>
          <w:rPr>
            <w:rFonts w:ascii="Cambria Math" w:hAnsi="Cambria Math"/>
            <w:sz w:val="22"/>
            <w:szCs w:val="22"/>
            <w:lang w:val="en"/>
          </w:rPr>
          <m:t>K</m:t>
        </m:r>
      </m:oMath>
      <w:r>
        <w:rPr>
          <w:rFonts w:ascii="Aptos" w:hAnsi="Aptos"/>
          <w:sz w:val="22"/>
          <w:szCs w:val="22"/>
          <w:lang w:val="en"/>
        </w:rPr>
        <w:t xml:space="preserve"> value. For each random set, the DEB is evaluated over all 1,792 testbed positions, and the resulting spatial distribution is aggregated into the orange violin/box plot. This number provides a statistically meaningful characterization of the random baseline while keeping computational cost manageable.</w:t>
      </w:r>
    </w:p>
    <w:p w14:paraId="5CA4D079"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The caption of Fig. 2 and the accompanying text in Section IV have been updated to explicitly state the number of random realizations. The caption now reads: “Green: GA-optimized orientation set; orange: randomly selected set”—the text below the figure clarifies that 50 random sets are used per </w:t>
      </w:r>
      <m:oMath>
        <m:r>
          <w:rPr>
            <w:rFonts w:ascii="Cambria Math" w:hAnsi="Cambria Math"/>
            <w:sz w:val="22"/>
            <w:szCs w:val="22"/>
            <w:lang w:val="en"/>
          </w:rPr>
          <m:t>K</m:t>
        </m:r>
      </m:oMath>
      <w:r>
        <w:rPr>
          <w:rFonts w:ascii="Aptos" w:hAnsi="Aptos"/>
          <w:sz w:val="22"/>
          <w:szCs w:val="22"/>
          <w:lang w:val="en"/>
        </w:rPr>
        <w:t>.</w:t>
      </w:r>
    </w:p>
    <w:p w14:paraId="39DE886D" w14:textId="77777777" w:rsidR="00000000" w:rsidRDefault="00000000">
      <w:pPr>
        <w:pStyle w:val="rc"/>
        <w:numPr>
          <w:ilvl w:val="0"/>
          <w:numId w:val="3"/>
        </w:numPr>
        <w:spacing w:before="0" w:beforeAutospacing="0" w:line="276" w:lineRule="auto"/>
        <w:divId w:val="1499275216"/>
        <w:rPr>
          <w:rFonts w:ascii="Aptos" w:hAnsi="Aptos"/>
          <w:sz w:val="22"/>
          <w:szCs w:val="22"/>
          <w:lang w:val="en"/>
        </w:rPr>
      </w:pPr>
      <w:r>
        <w:rPr>
          <w:rFonts w:ascii="Aptos" w:hAnsi="Aptos"/>
          <w:sz w:val="22"/>
          <w:szCs w:val="22"/>
          <w:lang w:val="en"/>
        </w:rPr>
        <w:t>Fig 3b: please clarify what you mean by “random configuration”. Is it one of the sets other than the optimized one? How do you select it?</w:t>
      </w:r>
    </w:p>
    <w:p w14:paraId="2924889A"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The “random configuration” in Fig. 3(b) is </w:t>
      </w:r>
      <w:r>
        <w:rPr>
          <w:rStyle w:val="lev"/>
          <w:rFonts w:ascii="Aptos" w:hAnsi="Aptos"/>
          <w:sz w:val="22"/>
          <w:szCs w:val="22"/>
          <w:lang w:val="en"/>
        </w:rPr>
        <w:t>one single randomly generated orientation set</w:t>
      </w:r>
      <w:r>
        <w:rPr>
          <w:rFonts w:ascii="Aptos" w:hAnsi="Aptos"/>
          <w:sz w:val="22"/>
          <w:szCs w:val="22"/>
          <w:lang w:val="en"/>
        </w:rPr>
        <w:t xml:space="preserve"> for </w:t>
      </w:r>
      <m:oMath>
        <m:r>
          <w:rPr>
            <w:rFonts w:ascii="Cambria Math" w:hAnsi="Cambria Math"/>
            <w:sz w:val="22"/>
            <w:szCs w:val="22"/>
            <w:lang w:val="en"/>
          </w:rPr>
          <m:t>K =</m:t>
        </m:r>
      </m:oMath>
      <w:r>
        <w:rPr>
          <w:rFonts w:ascii="Aptos" w:hAnsi="Aptos"/>
          <w:sz w:val="22"/>
          <w:szCs w:val="22"/>
          <w:lang w:val="en"/>
        </w:rPr>
        <w:t xml:space="preserve"> 5, where each tilt–azimuth pair </w:t>
      </w:r>
      <m:oMath>
        <m:r>
          <w:rPr>
            <w:rFonts w:ascii="Cambria Math" w:hAnsi="Cambria Math"/>
            <w:sz w:val="22"/>
            <w:szCs w:val="22"/>
            <w:lang w:val="en"/>
          </w:rPr>
          <m:t>(</m:t>
        </m:r>
        <m:sSub>
          <m:sSubPr>
            <m:ctrlPr>
              <w:rPr>
                <w:rFonts w:ascii="Cambria Math" w:hAnsi="Cambria Math"/>
                <w:i/>
                <w:sz w:val="22"/>
                <w:szCs w:val="22"/>
                <w:lang w:val="en"/>
              </w:rPr>
            </m:ctrlPr>
          </m:sSubPr>
          <m:e>
            <m:r>
              <w:rPr>
                <w:rFonts w:ascii="Cambria Math" w:hAnsi="Cambria Math"/>
                <w:sz w:val="22"/>
                <w:szCs w:val="22"/>
                <w:lang w:val="en"/>
              </w:rPr>
              <m:t>θ</m:t>
            </m:r>
          </m:e>
          <m:sub>
            <m:r>
              <w:rPr>
                <w:rFonts w:ascii="Cambria Math" w:hAnsi="Cambria Math"/>
                <w:sz w:val="22"/>
                <w:szCs w:val="22"/>
                <w:vertAlign w:val="subscript"/>
                <w:lang w:val="en"/>
              </w:rPr>
              <m:t>i</m:t>
            </m:r>
          </m:sub>
        </m:sSub>
        <m:r>
          <w:rPr>
            <w:rFonts w:ascii="Cambria Math" w:hAnsi="Cambria Math"/>
            <w:sz w:val="22"/>
            <w:szCs w:val="22"/>
            <w:lang w:val="en"/>
          </w:rPr>
          <m:t>, </m:t>
        </m:r>
        <m:sSub>
          <m:sSubPr>
            <m:ctrlPr>
              <w:rPr>
                <w:rFonts w:ascii="Cambria Math" w:hAnsi="Cambria Math"/>
                <w:i/>
                <w:sz w:val="22"/>
                <w:szCs w:val="22"/>
                <w:lang w:val="en"/>
              </w:rPr>
            </m:ctrlPr>
          </m:sSubPr>
          <m:e>
            <m:r>
              <w:rPr>
                <w:rFonts w:ascii="Cambria Math" w:hAnsi="Cambria Math"/>
                <w:sz w:val="22"/>
                <w:szCs w:val="22"/>
                <w:lang w:val="en"/>
              </w:rPr>
              <m:t>φ</m:t>
            </m:r>
          </m:e>
          <m:sub>
            <m:r>
              <w:rPr>
                <w:rFonts w:ascii="Cambria Math" w:hAnsi="Cambria Math"/>
                <w:sz w:val="22"/>
                <w:szCs w:val="22"/>
                <w:vertAlign w:val="subscript"/>
                <w:lang w:val="en"/>
              </w:rPr>
              <m:t>i</m:t>
            </m:r>
          </m:sub>
        </m:sSub>
        <m:r>
          <w:rPr>
            <w:rFonts w:ascii="Cambria Math" w:hAnsi="Cambria Math"/>
            <w:sz w:val="22"/>
            <w:szCs w:val="22"/>
            <w:lang w:val="en"/>
          </w:rPr>
          <m:t>)</m:t>
        </m:r>
      </m:oMath>
      <w:r>
        <w:rPr>
          <w:rFonts w:ascii="Aptos" w:hAnsi="Aptos"/>
          <w:sz w:val="22"/>
          <w:szCs w:val="22"/>
          <w:lang w:val="en"/>
        </w:rPr>
        <w:t xml:space="preserve"> is drawn uniformly from the same search range as the GA </w:t>
      </w:r>
      <m:oMath>
        <m:r>
          <w:rPr>
            <w:rFonts w:ascii="Cambria Math" w:hAnsi="Cambria Math"/>
            <w:sz w:val="22"/>
            <w:szCs w:val="22"/>
            <w:lang w:val="en"/>
          </w:rPr>
          <m:t>(</m:t>
        </m:r>
        <m:sSub>
          <m:sSubPr>
            <m:ctrlPr>
              <w:rPr>
                <w:rFonts w:ascii="Cambria Math" w:hAnsi="Cambria Math"/>
                <w:i/>
                <w:sz w:val="22"/>
                <w:szCs w:val="22"/>
                <w:lang w:val="en"/>
              </w:rPr>
            </m:ctrlPr>
          </m:sSubPr>
          <m:e>
            <m:r>
              <w:rPr>
                <w:rFonts w:ascii="Cambria Math" w:hAnsi="Cambria Math"/>
                <w:sz w:val="22"/>
                <w:szCs w:val="22"/>
                <w:lang w:val="en"/>
              </w:rPr>
              <m:t>θ</m:t>
            </m:r>
          </m:e>
          <m:sub>
            <m:r>
              <w:rPr>
                <w:rFonts w:ascii="Cambria Math" w:hAnsi="Cambria Math"/>
                <w:sz w:val="22"/>
                <w:szCs w:val="22"/>
                <w:vertAlign w:val="subscript"/>
                <w:lang w:val="en"/>
              </w:rPr>
              <m:t>i</m:t>
            </m:r>
          </m:sub>
        </m:sSub>
        <m:r>
          <w:rPr>
            <w:rFonts w:ascii="Cambria Math" w:hAnsi="Cambria Math"/>
            <w:sz w:val="22"/>
            <w:szCs w:val="22"/>
            <w:lang w:val="en"/>
          </w:rPr>
          <m:t> </m:t>
        </m:r>
        <m:r>
          <w:rPr>
            <w:rFonts w:ascii="Cambria Math" w:hAnsi="Cambria Math" w:cs="Cambria Math"/>
            <w:sz w:val="22"/>
            <w:szCs w:val="22"/>
            <w:lang w:val="en"/>
          </w:rPr>
          <m:t>∈</m:t>
        </m:r>
        <m:r>
          <w:rPr>
            <w:rFonts w:ascii="Cambria Math" w:hAnsi="Cambria Math"/>
            <w:sz w:val="22"/>
            <w:szCs w:val="22"/>
            <w:lang w:val="en"/>
          </w:rPr>
          <m:t xml:space="preserve"> [0°, 80°], </m:t>
        </m:r>
        <m:sSub>
          <m:sSubPr>
            <m:ctrlPr>
              <w:rPr>
                <w:rFonts w:ascii="Cambria Math" w:hAnsi="Cambria Math"/>
                <w:i/>
                <w:sz w:val="22"/>
                <w:szCs w:val="22"/>
                <w:lang w:val="en"/>
              </w:rPr>
            </m:ctrlPr>
          </m:sSubPr>
          <m:e>
            <m:r>
              <w:rPr>
                <w:rFonts w:ascii="Cambria Math" w:hAnsi="Cambria Math"/>
                <w:sz w:val="22"/>
                <w:szCs w:val="22"/>
                <w:lang w:val="en"/>
              </w:rPr>
              <m:t>φ</m:t>
            </m:r>
          </m:e>
          <m:sub>
            <m:r>
              <w:rPr>
                <w:rFonts w:ascii="Cambria Math" w:hAnsi="Cambria Math"/>
                <w:sz w:val="22"/>
                <w:szCs w:val="22"/>
                <w:vertAlign w:val="subscript"/>
                <w:lang w:val="en"/>
              </w:rPr>
              <m:t>i</m:t>
            </m:r>
          </m:sub>
        </m:sSub>
        <m:r>
          <w:rPr>
            <w:rFonts w:ascii="Cambria Math" w:hAnsi="Cambria Math"/>
            <w:sz w:val="22"/>
            <w:szCs w:val="22"/>
            <w:lang w:val="en"/>
          </w:rPr>
          <m:t> </m:t>
        </m:r>
        <m:r>
          <w:rPr>
            <w:rFonts w:ascii="Cambria Math" w:hAnsi="Cambria Math" w:cs="Cambria Math"/>
            <w:sz w:val="22"/>
            <w:szCs w:val="22"/>
            <w:lang w:val="en"/>
          </w:rPr>
          <m:t>∈</m:t>
        </m:r>
        <m:r>
          <w:rPr>
            <w:rFonts w:ascii="Cambria Math" w:hAnsi="Cambria Math"/>
            <w:sz w:val="22"/>
            <w:szCs w:val="22"/>
            <w:lang w:val="en"/>
          </w:rPr>
          <m:t> [0°, 360°])</m:t>
        </m:r>
      </m:oMath>
      <w:r>
        <w:rPr>
          <w:rFonts w:ascii="Aptos" w:hAnsi="Aptos"/>
          <w:sz w:val="22"/>
          <w:szCs w:val="22"/>
          <w:lang w:val="en"/>
        </w:rPr>
        <w:t>. It was selected to represent a typical (non-optimized) deployment for visual comparison with the GA-optimized set in Fig. 3(a). The purpose is to illustrate the spatial DEB pattern, not to provide a statistical comparison (which is done by Fig. 2 with 50 random sets).</w:t>
      </w:r>
    </w:p>
    <w:p w14:paraId="79994EF6"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The caption of Fig. 3 has been updated to clarify: “(b) randomly selected set” now explicitly indicates that this is a single set with uniformly drawn tilt–azimuth pairs.</w:t>
      </w:r>
    </w:p>
    <w:p w14:paraId="09773D77" w14:textId="77777777" w:rsidR="00000000" w:rsidRDefault="00000000">
      <w:pPr>
        <w:pStyle w:val="rc"/>
        <w:numPr>
          <w:ilvl w:val="0"/>
          <w:numId w:val="3"/>
        </w:numPr>
        <w:spacing w:before="0" w:beforeAutospacing="0" w:line="276" w:lineRule="auto"/>
        <w:divId w:val="1499275216"/>
        <w:rPr>
          <w:rFonts w:ascii="Aptos" w:hAnsi="Aptos"/>
          <w:sz w:val="22"/>
          <w:szCs w:val="22"/>
          <w:lang w:val="en"/>
        </w:rPr>
      </w:pPr>
      <w:r>
        <w:rPr>
          <w:rFonts w:ascii="Aptos" w:hAnsi="Aptos"/>
          <w:sz w:val="22"/>
          <w:szCs w:val="22"/>
          <w:lang w:val="en"/>
        </w:rPr>
        <w:t>Fig 4: I didn’t get why 60 deg half-power semi-angle has larger PEB. Doesn’t higher signal strength reduce PEB?</w:t>
      </w:r>
    </w:p>
    <w:p w14:paraId="3E7DA8B7"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 xml:space="preserve">This is an insightful question. The intuition that “more power </w:t>
      </w:r>
      <m:oMath>
        <m:r>
          <w:rPr>
            <w:rFonts w:ascii="Cambria Math" w:hAnsi="Cambria Math"/>
            <w:sz w:val="22"/>
            <w:szCs w:val="22"/>
            <w:lang w:val="en"/>
          </w:rPr>
          <m:t>→</m:t>
        </m:r>
      </m:oMath>
      <w:r>
        <w:rPr>
          <w:rFonts w:ascii="Aptos" w:hAnsi="Aptos"/>
          <w:sz w:val="22"/>
          <w:szCs w:val="22"/>
          <w:lang w:val="en"/>
        </w:rPr>
        <w:t xml:space="preserve"> lower PEB” holds for a </w:t>
      </w:r>
      <w:r>
        <w:rPr>
          <w:rStyle w:val="Accentuation"/>
          <w:rFonts w:ascii="Aptos" w:hAnsi="Aptos"/>
          <w:sz w:val="22"/>
          <w:szCs w:val="22"/>
          <w:lang w:val="en"/>
        </w:rPr>
        <w:t>fixed</w:t>
      </w:r>
      <w:r>
        <w:rPr>
          <w:rFonts w:ascii="Aptos" w:hAnsi="Aptos"/>
          <w:sz w:val="22"/>
          <w:szCs w:val="22"/>
          <w:lang w:val="en"/>
        </w:rPr>
        <w:t xml:space="preserve"> beam direction, but our system relies on </w:t>
      </w:r>
      <w:r>
        <w:rPr>
          <w:rStyle w:val="Accentuation"/>
          <w:rFonts w:ascii="Aptos" w:hAnsi="Aptos"/>
          <w:sz w:val="22"/>
          <w:szCs w:val="22"/>
          <w:lang w:val="en"/>
        </w:rPr>
        <w:t>angular discrimination</w:t>
      </w:r>
      <w:r>
        <w:rPr>
          <w:rFonts w:ascii="Aptos" w:hAnsi="Aptos"/>
          <w:sz w:val="22"/>
          <w:szCs w:val="22"/>
          <w:lang w:val="en"/>
        </w:rPr>
        <w:t xml:space="preserve"> between </w:t>
      </w:r>
      <m:oMath>
        <m:r>
          <w:rPr>
            <w:rFonts w:ascii="Cambria Math" w:hAnsi="Cambria Math"/>
            <w:sz w:val="22"/>
            <w:szCs w:val="22"/>
            <w:lang w:val="en"/>
          </w:rPr>
          <m:t>K</m:t>
        </m:r>
      </m:oMath>
      <w:r>
        <w:rPr>
          <w:rFonts w:ascii="Aptos" w:hAnsi="Aptos"/>
          <w:sz w:val="22"/>
          <w:szCs w:val="22"/>
          <w:lang w:val="en"/>
        </w:rPr>
        <w:t xml:space="preserve"> orientations. The key is the Lambertian order </w:t>
      </w:r>
      <m:oMath>
        <m:r>
          <w:rPr>
            <w:rStyle w:val="Accentuation"/>
            <w:rFonts w:ascii="Cambria Math" w:hAnsi="Cambria Math"/>
            <w:sz w:val="22"/>
            <w:szCs w:val="22"/>
            <w:lang w:val="en"/>
          </w:rPr>
          <m:t>m</m:t>
        </m:r>
      </m:oMath>
      <w:r>
        <w:rPr>
          <w:rFonts w:ascii="Aptos" w:hAnsi="Aptos"/>
          <w:sz w:val="22"/>
          <w:szCs w:val="22"/>
          <w:lang w:val="en"/>
        </w:rPr>
        <w:t>:</w:t>
      </w:r>
    </w:p>
    <w:p w14:paraId="75BE4DF1" w14:textId="77777777" w:rsidR="00000000" w:rsidRDefault="00000000">
      <w:pPr>
        <w:numPr>
          <w:ilvl w:val="0"/>
          <w:numId w:val="4"/>
        </w:numPr>
        <w:spacing w:after="80" w:line="276" w:lineRule="auto"/>
        <w:ind w:left="714" w:hanging="357"/>
        <w:jc w:val="both"/>
        <w:divId w:val="1499275216"/>
        <w:rPr>
          <w:rFonts w:ascii="Aptos" w:eastAsia="Times New Roman" w:hAnsi="Aptos"/>
          <w:sz w:val="22"/>
          <w:szCs w:val="22"/>
          <w:lang w:val="en"/>
        </w:rPr>
      </w:pP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sz w:val="22"/>
            <w:szCs w:val="22"/>
            <w:vertAlign w:val="subscript"/>
            <w:lang w:val="en"/>
          </w:rPr>
          <m:t>=</m:t>
        </m:r>
      </m:oMath>
      <w:r>
        <w:rPr>
          <w:rFonts w:ascii="Aptos" w:eastAsia="Times New Roman" w:hAnsi="Aptos"/>
          <w:sz w:val="22"/>
          <w:szCs w:val="22"/>
          <w:lang w:val="en"/>
        </w:rPr>
        <w:t xml:space="preserve"> 45° </w:t>
      </w:r>
      <m:oMath>
        <m:r>
          <w:rPr>
            <w:rFonts w:ascii="Cambria Math" w:eastAsia="Times New Roman" w:hAnsi="Cambria Math"/>
            <w:sz w:val="22"/>
            <w:szCs w:val="22"/>
            <w:lang w:val="en"/>
          </w:rPr>
          <m:t>→ m ≈</m:t>
        </m:r>
      </m:oMath>
      <w:r>
        <w:rPr>
          <w:rFonts w:ascii="Aptos" w:eastAsia="Times New Roman" w:hAnsi="Aptos"/>
          <w:sz w:val="22"/>
          <w:szCs w:val="22"/>
          <w:lang w:val="en"/>
        </w:rPr>
        <w:t> 2.0 (more directive beam),</w:t>
      </w:r>
    </w:p>
    <w:p w14:paraId="20C1121C" w14:textId="77777777" w:rsidR="00000000" w:rsidRDefault="00000000">
      <w:pPr>
        <w:numPr>
          <w:ilvl w:val="0"/>
          <w:numId w:val="4"/>
        </w:numPr>
        <w:spacing w:before="100" w:beforeAutospacing="1" w:after="160" w:line="276" w:lineRule="auto"/>
        <w:ind w:left="714" w:hanging="357"/>
        <w:jc w:val="both"/>
        <w:divId w:val="1499275216"/>
        <w:rPr>
          <w:rFonts w:ascii="Aptos" w:eastAsia="Times New Roman" w:hAnsi="Aptos"/>
          <w:sz w:val="22"/>
          <w:szCs w:val="22"/>
          <w:lang w:val="en"/>
        </w:rPr>
      </w:pP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sz w:val="22"/>
            <w:szCs w:val="22"/>
            <w:vertAlign w:val="subscript"/>
            <w:lang w:val="en"/>
          </w:rPr>
          <m:t>=</m:t>
        </m:r>
      </m:oMath>
      <w:r>
        <w:rPr>
          <w:rFonts w:ascii="Aptos" w:eastAsia="Times New Roman" w:hAnsi="Aptos"/>
          <w:sz w:val="22"/>
          <w:szCs w:val="22"/>
          <w:lang w:val="en"/>
        </w:rPr>
        <w:t xml:space="preserve"> 60° </w:t>
      </w:r>
      <m:oMath>
        <m:r>
          <w:rPr>
            <w:rFonts w:ascii="Cambria Math" w:eastAsia="Times New Roman" w:hAnsi="Cambria Math"/>
            <w:sz w:val="22"/>
            <w:szCs w:val="22"/>
            <w:lang w:val="en"/>
          </w:rPr>
          <m:t>→ m ≈</m:t>
        </m:r>
      </m:oMath>
      <w:r>
        <w:rPr>
          <w:rFonts w:ascii="Aptos" w:eastAsia="Times New Roman" w:hAnsi="Aptos"/>
          <w:sz w:val="22"/>
          <w:szCs w:val="22"/>
          <w:lang w:val="en"/>
        </w:rPr>
        <w:t> 1.0 (wider, less directive beam).</w:t>
      </w:r>
    </w:p>
    <w:p w14:paraId="29E083E1"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The DEB and PEB depend on the </w:t>
      </w:r>
      <w:r>
        <w:rPr>
          <w:rStyle w:val="lev"/>
          <w:rFonts w:ascii="Aptos" w:hAnsi="Aptos"/>
          <w:sz w:val="22"/>
          <w:szCs w:val="22"/>
          <w:lang w:val="en"/>
        </w:rPr>
        <w:t>gradient of the received power with respect to the direction</w:t>
      </w:r>
      <w:r>
        <w:rPr>
          <w:rFonts w:ascii="Aptos" w:hAnsi="Aptos"/>
          <w:sz w:val="22"/>
          <w:szCs w:val="22"/>
          <w:lang w:val="en"/>
        </w:rPr>
        <w:t xml:space="preserve">, which appears in the FIM as the term </w:t>
      </w:r>
      <m:oMath>
        <m:r>
          <w:rPr>
            <w:rFonts w:ascii="Cambria Math" w:hAnsi="Cambria Math"/>
            <w:sz w:val="22"/>
            <w:szCs w:val="22"/>
            <w:lang w:val="en"/>
          </w:rPr>
          <m:t>m·</m:t>
        </m:r>
        <m:sSubSup>
          <m:sSubSupPr>
            <m:ctrlPr>
              <w:rPr>
                <w:rFonts w:ascii="Cambria Math" w:hAnsi="Cambria Math"/>
                <w:i/>
                <w:sz w:val="22"/>
                <w:szCs w:val="22"/>
                <w:vertAlign w:val="superscript"/>
                <w:lang w:val="en"/>
              </w:rPr>
            </m:ctrlPr>
          </m:sSubSupPr>
          <m:e>
            <m:r>
              <w:rPr>
                <w:rFonts w:ascii="Cambria Math" w:hAnsi="Cambria Math"/>
                <w:sz w:val="22"/>
                <w:szCs w:val="22"/>
                <w:lang w:val="en"/>
              </w:rPr>
              <m:t>Q</m:t>
            </m:r>
            <m:ctrlPr>
              <w:rPr>
                <w:rFonts w:ascii="Cambria Math" w:hAnsi="Cambria Math"/>
                <w:i/>
                <w:sz w:val="22"/>
                <w:szCs w:val="22"/>
                <w:lang w:val="en"/>
              </w:rPr>
            </m:ctrlPr>
          </m:e>
          <m:sub>
            <m:r>
              <w:rPr>
                <w:rFonts w:ascii="Cambria Math" w:hAnsi="Cambria Math"/>
                <w:sz w:val="22"/>
                <w:szCs w:val="22"/>
                <w:vertAlign w:val="subscript"/>
                <w:lang w:val="en"/>
              </w:rPr>
              <m:t>i</m:t>
            </m:r>
            <m:ctrlPr>
              <w:rPr>
                <w:rFonts w:ascii="Cambria Math" w:hAnsi="Cambria Math"/>
                <w:i/>
                <w:sz w:val="22"/>
                <w:szCs w:val="22"/>
                <w:vertAlign w:val="subscript"/>
                <w:lang w:val="en"/>
              </w:rPr>
            </m:ctrlPr>
          </m:sub>
          <m:sup>
            <m:r>
              <w:rPr>
                <w:rFonts w:ascii="Cambria Math" w:hAnsi="Cambria Math"/>
                <w:sz w:val="22"/>
                <w:szCs w:val="22"/>
                <w:vertAlign w:val="superscript"/>
                <w:lang w:val="en"/>
              </w:rPr>
              <m:t>m-1</m:t>
            </m:r>
          </m:sup>
        </m:sSubSup>
      </m:oMath>
      <w:r>
        <w:rPr>
          <w:rFonts w:ascii="Aptos" w:hAnsi="Aptos"/>
          <w:sz w:val="22"/>
          <w:szCs w:val="22"/>
          <w:lang w:val="en"/>
        </w:rPr>
        <w:t xml:space="preserve"> in (16). A higher Lambertian order </w:t>
      </w:r>
      <m:oMath>
        <m:r>
          <w:rPr>
            <w:rStyle w:val="Accentuation"/>
            <w:rFonts w:ascii="Cambria Math" w:hAnsi="Cambria Math"/>
            <w:sz w:val="22"/>
            <w:szCs w:val="22"/>
            <w:lang w:val="en"/>
          </w:rPr>
          <m:t>m</m:t>
        </m:r>
      </m:oMath>
      <w:r>
        <w:rPr>
          <w:rFonts w:ascii="Aptos" w:hAnsi="Aptos"/>
          <w:sz w:val="22"/>
          <w:szCs w:val="22"/>
          <w:lang w:val="en"/>
        </w:rPr>
        <w:t xml:space="preserve"> (more directive beam) produces steeper power variations as the beam is steered, amplifying the contrast between orientations and thus increasing the Fisher information. A lower </w:t>
      </w:r>
      <m:oMath>
        <m:r>
          <w:rPr>
            <w:rStyle w:val="Accentuation"/>
            <w:rFonts w:ascii="Cambria Math" w:hAnsi="Cambria Math"/>
            <w:sz w:val="22"/>
            <w:szCs w:val="22"/>
            <w:lang w:val="en"/>
          </w:rPr>
          <m:t>m</m:t>
        </m:r>
      </m:oMath>
      <w:r>
        <w:rPr>
          <w:rFonts w:ascii="Aptos" w:hAnsi="Aptos"/>
          <w:sz w:val="22"/>
          <w:szCs w:val="22"/>
          <w:lang w:val="en"/>
        </w:rPr>
        <w:t xml:space="preserve"> (wider beam) flattens the power profile, reducing the angular sensitivity: the </w:t>
      </w:r>
      <m:oMath>
        <m:r>
          <w:rPr>
            <w:rFonts w:ascii="Cambria Math" w:hAnsi="Cambria Math"/>
            <w:sz w:val="22"/>
            <w:szCs w:val="22"/>
            <w:lang w:val="en"/>
          </w:rPr>
          <m:t>K</m:t>
        </m:r>
      </m:oMath>
      <w:r>
        <w:rPr>
          <w:rFonts w:ascii="Aptos" w:hAnsi="Aptos"/>
          <w:sz w:val="22"/>
          <w:szCs w:val="22"/>
          <w:lang w:val="en"/>
        </w:rPr>
        <w:t xml:space="preserve"> received powers become more similar regardless of the receiver direction, and the FIM shrinks.</w:t>
      </w:r>
    </w:p>
    <w:p w14:paraId="2530220F"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In other words, while a wider beam distributes </w:t>
      </w:r>
      <w:r>
        <w:rPr>
          <w:rStyle w:val="Accentuation"/>
          <w:rFonts w:ascii="Aptos" w:hAnsi="Aptos"/>
          <w:sz w:val="22"/>
          <w:szCs w:val="22"/>
          <w:lang w:val="en"/>
        </w:rPr>
        <w:t>more total power</w:t>
      </w:r>
      <w:r>
        <w:rPr>
          <w:rFonts w:ascii="Aptos" w:hAnsi="Aptos"/>
          <w:sz w:val="22"/>
          <w:szCs w:val="22"/>
          <w:lang w:val="en"/>
        </w:rPr>
        <w:t xml:space="preserve"> across the room, it provides </w:t>
      </w:r>
      <w:r>
        <w:rPr>
          <w:rStyle w:val="Accentuation"/>
          <w:rFonts w:ascii="Aptos" w:hAnsi="Aptos"/>
          <w:sz w:val="22"/>
          <w:szCs w:val="22"/>
          <w:lang w:val="en"/>
        </w:rPr>
        <w:t>less directional information</w:t>
      </w:r>
      <w:r>
        <w:rPr>
          <w:rFonts w:ascii="Aptos" w:hAnsi="Aptos"/>
          <w:sz w:val="22"/>
          <w:szCs w:val="22"/>
          <w:lang w:val="en"/>
        </w:rPr>
        <w:t xml:space="preserve"> per orientation. Since the DEB/PEB depends on the </w:t>
      </w:r>
      <w:r>
        <w:rPr>
          <w:rStyle w:val="Accentuation"/>
          <w:rFonts w:ascii="Aptos" w:hAnsi="Aptos"/>
          <w:sz w:val="22"/>
          <w:szCs w:val="22"/>
          <w:lang w:val="en"/>
        </w:rPr>
        <w:t>sensitivity</w:t>
      </w:r>
      <w:r>
        <w:rPr>
          <w:rFonts w:ascii="Aptos" w:hAnsi="Aptos"/>
          <w:sz w:val="22"/>
          <w:szCs w:val="22"/>
          <w:lang w:val="en"/>
        </w:rPr>
        <w:t xml:space="preserve"> of power to </w:t>
      </w:r>
      <w:r>
        <w:rPr>
          <w:rFonts w:ascii="Aptos" w:hAnsi="Aptos"/>
          <w:sz w:val="22"/>
          <w:szCs w:val="22"/>
          <w:lang w:val="en"/>
        </w:rPr>
        <w:lastRenderedPageBreak/>
        <w:t>direction (not on the absolute power level), a narrower beam (</w:t>
      </w: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sz w:val="22"/>
            <w:szCs w:val="22"/>
            <w:vertAlign w:val="subscript"/>
            <w:lang w:val="en"/>
          </w:rPr>
          <m:t>=</m:t>
        </m:r>
      </m:oMath>
      <w:r>
        <w:rPr>
          <w:rFonts w:ascii="Aptos" w:hAnsi="Aptos"/>
          <w:sz w:val="22"/>
          <w:szCs w:val="22"/>
          <w:lang w:val="en"/>
        </w:rPr>
        <w:t> 45°) outperforms a wider one (</w:t>
      </w: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sz w:val="22"/>
            <w:szCs w:val="22"/>
            <w:vertAlign w:val="subscript"/>
            <w:lang w:val="en"/>
          </w:rPr>
          <m:t>=</m:t>
        </m:r>
      </m:oMath>
      <w:r>
        <w:rPr>
          <w:rFonts w:ascii="Aptos" w:hAnsi="Aptos"/>
          <w:sz w:val="22"/>
          <w:szCs w:val="22"/>
          <w:lang w:val="en"/>
        </w:rPr>
        <w:t> 60°) for direction finding and positioning.</w:t>
      </w:r>
    </w:p>
    <w:p w14:paraId="429772B0"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The text accompanying Fig. 4 in Section IV now explains: “Wider beams (</w:t>
      </w:r>
      <m:oMath>
        <m:sSub>
          <m:sSubPr>
            <m:ctrlPr>
              <w:rPr>
                <w:rFonts w:ascii="Cambria Math" w:hAnsi="Cambria Math"/>
                <w:i/>
                <w:sz w:val="22"/>
                <w:szCs w:val="22"/>
                <w:vertAlign w:val="subscript"/>
                <w:lang w:val="en"/>
              </w:rPr>
            </m:ctrlPr>
          </m:sSubPr>
          <m:e>
            <m:r>
              <m:rPr>
                <m:sty m:val="p"/>
              </m:rPr>
              <w:rPr>
                <w:rFonts w:ascii="Cambria Math" w:hAnsi="Cambria Math"/>
                <w:sz w:val="22"/>
                <w:szCs w:val="22"/>
                <w:lang w:val="en"/>
              </w:rPr>
              <m:t>Φ</m:t>
            </m:r>
            <m:ctrlPr>
              <w:rPr>
                <w:rFonts w:ascii="Cambria Math" w:hAnsi="Cambria Math"/>
                <w:iCs/>
                <w:sz w:val="22"/>
                <w:szCs w:val="22"/>
                <w:lang w:val="en"/>
              </w:rPr>
            </m:ctrlPr>
          </m:e>
          <m:sub>
            <m:r>
              <w:rPr>
                <w:rFonts w:ascii="Cambria Math" w:hAnsi="Cambria Math"/>
                <w:sz w:val="22"/>
                <w:szCs w:val="22"/>
                <w:vertAlign w:val="subscript"/>
                <w:lang w:val="en"/>
              </w:rPr>
              <m:t>1/2</m:t>
            </m:r>
          </m:sub>
        </m:sSub>
        <m:r>
          <w:rPr>
            <w:rFonts w:ascii="Cambria Math" w:hAnsi="Cambria Math"/>
            <w:sz w:val="22"/>
            <w:szCs w:val="22"/>
            <w:vertAlign w:val="subscript"/>
            <w:lang w:val="en"/>
          </w:rPr>
          <m:t>=</m:t>
        </m:r>
      </m:oMath>
      <w:r>
        <w:rPr>
          <w:rFonts w:ascii="Aptos" w:hAnsi="Aptos"/>
          <w:sz w:val="22"/>
          <w:szCs w:val="22"/>
          <w:lang w:val="en"/>
        </w:rPr>
        <w:t xml:space="preserve"> 60°–75°) incur higher bounds due to the reduced Lambertian directivity”.</w:t>
      </w:r>
    </w:p>
    <w:p w14:paraId="4717B097" w14:textId="77777777" w:rsidR="00000000" w:rsidRDefault="00000000">
      <w:pPr>
        <w:pStyle w:val="rc"/>
        <w:numPr>
          <w:ilvl w:val="0"/>
          <w:numId w:val="3"/>
        </w:numPr>
        <w:spacing w:before="0" w:beforeAutospacing="0" w:line="276" w:lineRule="auto"/>
        <w:divId w:val="1499275216"/>
        <w:rPr>
          <w:rFonts w:ascii="Aptos" w:hAnsi="Aptos"/>
          <w:sz w:val="22"/>
          <w:szCs w:val="22"/>
          <w:lang w:val="en"/>
        </w:rPr>
      </w:pPr>
      <w:r>
        <w:rPr>
          <w:rFonts w:ascii="Aptos" w:hAnsi="Aptos"/>
          <w:sz w:val="22"/>
          <w:szCs w:val="22"/>
          <w:lang w:val="en"/>
        </w:rPr>
        <w:t>L49, left, page 10: correct the sentence “… apply the solves needed…”</w:t>
      </w:r>
    </w:p>
    <w:p w14:paraId="72DE64D9"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The section containing this sentence has been rewritten; the issue no longer exists in the revised manuscript.</w:t>
      </w:r>
    </w:p>
    <w:p w14:paraId="58CFCA6C" w14:textId="77777777" w:rsidR="00000000" w:rsidRDefault="00000000">
      <w:pPr>
        <w:pStyle w:val="NormalWeb"/>
        <w:spacing w:line="276" w:lineRule="auto"/>
        <w:jc w:val="center"/>
        <w:divId w:val="1499275216"/>
        <w:rPr>
          <w:rFonts w:ascii="Aptos" w:hAnsi="Aptos"/>
          <w:sz w:val="28"/>
          <w:szCs w:val="28"/>
          <w:lang w:val="en"/>
        </w:rPr>
      </w:pPr>
      <w:r>
        <w:rPr>
          <w:rFonts w:ascii="Aptos" w:eastAsia="Times New Roman" w:hAnsi="Aptos"/>
          <w:sz w:val="22"/>
          <w:szCs w:val="22"/>
          <w:lang w:val="en" w:eastAsia="es-PE"/>
        </w:rPr>
        <w:br w:type="page"/>
      </w:r>
      <w:r>
        <w:rPr>
          <w:rStyle w:val="lev"/>
          <w:rFonts w:ascii="Aptos" w:hAnsi="Aptos"/>
          <w:sz w:val="28"/>
          <w:szCs w:val="28"/>
          <w:lang w:val="en"/>
        </w:rPr>
        <w:lastRenderedPageBreak/>
        <w:t>Responses to Reviewer 2</w:t>
      </w:r>
    </w:p>
    <w:p w14:paraId="36957929" w14:textId="77777777" w:rsidR="00000000" w:rsidRDefault="00000000">
      <w:pPr>
        <w:pStyle w:val="rc"/>
        <w:spacing w:before="0" w:beforeAutospacing="0" w:line="276" w:lineRule="auto"/>
        <w:divId w:val="1499275216"/>
        <w:rPr>
          <w:rFonts w:ascii="Aptos" w:hAnsi="Aptos"/>
          <w:sz w:val="22"/>
          <w:szCs w:val="22"/>
          <w:lang w:val="en-US"/>
        </w:rPr>
      </w:pPr>
      <w:r>
        <w:rPr>
          <w:rFonts w:ascii="Aptos" w:hAnsi="Aptos"/>
          <w:sz w:val="22"/>
          <w:szCs w:val="22"/>
          <w:lang w:val="en-US"/>
        </w:rPr>
        <w:t>This paper presents a model-based 3D indoor positioning architecture that employs a single beam-steered LED and a single PD. Spatial hardware redundancy is replaced by temporal beam steering over K distinct orientations. The authors derive the PEB and attempt to optimize the orientation set using GA. Three estimators are then developed, namely the NL, an efficient GLS, and a lightweight WLS. Simulation results suggest that the proposed estimators can achieve reasonable performance. However, the paper contains several significant issues that prevent its acceptance in its current form.</w:t>
      </w:r>
    </w:p>
    <w:p w14:paraId="1F55F143" w14:textId="77777777" w:rsidR="00000000" w:rsidRDefault="00000000">
      <w:pPr>
        <w:pStyle w:val="resp"/>
        <w:spacing w:before="0" w:beforeAutospacing="0" w:line="276" w:lineRule="auto"/>
        <w:divId w:val="1499275216"/>
        <w:rPr>
          <w:rFonts w:ascii="Aptos" w:hAnsi="Aptos"/>
          <w:sz w:val="22"/>
          <w:szCs w:val="22"/>
          <w:lang w:val="en-US"/>
        </w:rPr>
      </w:pPr>
      <w:r>
        <w:rPr>
          <w:rFonts w:ascii="Aptos" w:hAnsi="Aptos"/>
          <w:sz w:val="22"/>
          <w:szCs w:val="22"/>
          <w:lang w:val="en"/>
        </w:rPr>
        <w:t>We sincerely thank the reviewer for the thorough evaluation of the whole paper, and for all the constructive comments below, which have helped us improving both the clarity and the quality of our work. We hope that the detailed responses and the corresponding revisions adequately address all of Reviewer 2’s concerns.</w:t>
      </w:r>
    </w:p>
    <w:p w14:paraId="3F15693D" w14:textId="77777777" w:rsidR="00000000" w:rsidRDefault="00000000">
      <w:pPr>
        <w:pStyle w:val="rc"/>
        <w:numPr>
          <w:ilvl w:val="3"/>
          <w:numId w:val="1"/>
        </w:numPr>
        <w:spacing w:before="0" w:beforeAutospacing="0" w:line="276" w:lineRule="auto"/>
        <w:ind w:left="714" w:hanging="357"/>
        <w:divId w:val="1499275216"/>
        <w:rPr>
          <w:rFonts w:ascii="Aptos" w:hAnsi="Aptos"/>
          <w:sz w:val="22"/>
          <w:szCs w:val="22"/>
          <w:lang w:val="en"/>
        </w:rPr>
      </w:pPr>
      <w:r>
        <w:rPr>
          <w:rFonts w:ascii="Aptos" w:hAnsi="Aptos"/>
          <w:sz w:val="22"/>
          <w:szCs w:val="22"/>
          <w:lang w:val="en"/>
        </w:rPr>
        <w:t>The motivation of the paper is not sufficiently clear. Although many related works are cited in the Introduction, the presentation lacks a clear logical flow, and the relationships among the cited works are not well established. The Introduction should be reorganized to clearly highlight the problem being addressed, the limitations of existing approaches, and the necessity of the proposed solution.</w:t>
      </w:r>
    </w:p>
    <w:p w14:paraId="33731118"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We have </w:t>
      </w:r>
      <w:r>
        <w:rPr>
          <w:rStyle w:val="lev"/>
          <w:rFonts w:ascii="Aptos" w:hAnsi="Aptos"/>
          <w:sz w:val="22"/>
          <w:szCs w:val="22"/>
          <w:lang w:val="en"/>
        </w:rPr>
        <w:t>completely rewritten</w:t>
      </w:r>
      <w:r>
        <w:rPr>
          <w:rFonts w:ascii="Aptos" w:hAnsi="Aptos"/>
          <w:sz w:val="22"/>
          <w:szCs w:val="22"/>
          <w:lang w:val="en"/>
        </w:rPr>
        <w:t xml:space="preserve"> Section I following a structured progression: (1) GNSS limitations indoors and the need for indoor positioning systems (IPS); (2) optical wireless positioning (OWP) advantages (spatial confinement, immunity to radio frequency interference, deterministic line of sight (LOS) channels); (3) model-based vs. data-driven paradigms; (4) multi-LED paradigm limitations (need for 3–4 visible LEDs, deployment cost); (5) single-LED state of the art via Table I showing all compensate at the receiver side; (6) beam steering as an alternative strategy shifting diversity to the transmitter; (7) core concept paragraph explaining our approach before listing contributions; (8) five numbered contributions and paper organization.</w:t>
      </w:r>
    </w:p>
    <w:p w14:paraId="60638794"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The revised Introduction now explicitly positions </w:t>
      </w:r>
      <w:r>
        <w:rPr>
          <w:rStyle w:val="lev"/>
          <w:rFonts w:ascii="Aptos" w:hAnsi="Aptos"/>
          <w:sz w:val="22"/>
          <w:szCs w:val="22"/>
          <w:lang w:val="en"/>
        </w:rPr>
        <w:t>direction finding as the primary contribution</w:t>
      </w:r>
      <w:r>
        <w:rPr>
          <w:rFonts w:ascii="Aptos" w:hAnsi="Aptos"/>
          <w:sz w:val="22"/>
          <w:szCs w:val="22"/>
          <w:lang w:val="en"/>
        </w:rPr>
        <w:t>, with five clearly delineated items: (</w:t>
      </w:r>
      <w:proofErr w:type="spellStart"/>
      <w:r>
        <w:rPr>
          <w:rFonts w:ascii="Aptos" w:hAnsi="Aptos"/>
          <w:sz w:val="22"/>
          <w:szCs w:val="22"/>
          <w:lang w:val="en"/>
        </w:rPr>
        <w:t>i</w:t>
      </w:r>
      <w:proofErr w:type="spellEnd"/>
      <w:r>
        <w:rPr>
          <w:rFonts w:ascii="Aptos" w:hAnsi="Aptos"/>
          <w:sz w:val="22"/>
          <w:szCs w:val="22"/>
          <w:lang w:val="en"/>
        </w:rPr>
        <w:t xml:space="preserve">) the single-LED/single-photodiode (PD) framework with </w:t>
      </w:r>
      <m:oMath>
        <m:sSub>
          <m:sSubPr>
            <m:ctrlPr>
              <w:rPr>
                <w:rFonts w:ascii="Cambria Math" w:hAnsi="Cambria Math"/>
                <w:i/>
                <w:sz w:val="22"/>
                <w:szCs w:val="22"/>
                <w:lang w:val="en"/>
              </w:rPr>
            </m:ctrlPr>
          </m:sSubPr>
          <m:e>
            <m:r>
              <m:rPr>
                <m:sty m:val="b"/>
              </m:rPr>
              <w:rPr>
                <w:rFonts w:ascii="Cambria Math" w:hAnsi="Cambria Math"/>
                <w:sz w:val="22"/>
                <w:szCs w:val="22"/>
                <w:lang w:val="en"/>
              </w:rPr>
              <m:t>n</m:t>
            </m:r>
          </m:e>
          <m:sub>
            <m:r>
              <w:rPr>
                <w:rFonts w:ascii="Cambria Math" w:hAnsi="Cambria Math"/>
                <w:sz w:val="22"/>
                <w:szCs w:val="22"/>
                <w:vertAlign w:val="subscript"/>
                <w:lang w:val="en"/>
              </w:rPr>
              <m:t>r</m:t>
            </m:r>
          </m:sub>
        </m:sSub>
      </m:oMath>
      <w:r>
        <w:rPr>
          <w:rFonts w:ascii="Aptos" w:hAnsi="Aptos"/>
          <w:sz w:val="22"/>
          <w:szCs w:val="22"/>
          <w:lang w:val="en"/>
        </w:rPr>
        <w:t>-independence; (ii) DEB and PEB analysis with identifiability conditions; (iii) GA-based orientation-set design; (iv) closed-form GLS/WLS estimators; and (v) the NLS estimator. These contributions are supported by nine new figures (Figs. 2–10), three new tables (Tables III–IV), and Monte Carlo campaigns totaling nearly 1.8 million evaluations per estimator.</w:t>
      </w:r>
    </w:p>
    <w:p w14:paraId="65552C01"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The entire Introduction (Section I) has been rewritten in the revised manuscript with the logical flow and contribution structure described above.</w:t>
      </w:r>
    </w:p>
    <w:p w14:paraId="0F860A24" w14:textId="77777777" w:rsidR="00000000" w:rsidRDefault="00000000">
      <w:pPr>
        <w:pStyle w:val="rc"/>
        <w:numPr>
          <w:ilvl w:val="3"/>
          <w:numId w:val="1"/>
        </w:numPr>
        <w:spacing w:before="0" w:beforeAutospacing="0" w:line="276" w:lineRule="auto"/>
        <w:ind w:left="714" w:hanging="357"/>
        <w:divId w:val="1499275216"/>
        <w:rPr>
          <w:rFonts w:ascii="Aptos" w:hAnsi="Aptos"/>
          <w:sz w:val="22"/>
          <w:szCs w:val="22"/>
          <w:lang w:val="en"/>
        </w:rPr>
      </w:pPr>
      <w:r>
        <w:rPr>
          <w:rFonts w:ascii="Aptos" w:hAnsi="Aptos"/>
          <w:sz w:val="22"/>
          <w:szCs w:val="22"/>
          <w:lang w:val="en"/>
        </w:rPr>
        <w:t>The core concept and steps of the proposed method are not adequately explained before listing the contributions.</w:t>
      </w:r>
    </w:p>
    <w:p w14:paraId="243FD083"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We agree. In the revised manuscript, two paragraphs immediately before the contributions list explain: (</w:t>
      </w:r>
      <w:proofErr w:type="spellStart"/>
      <w:r>
        <w:rPr>
          <w:rFonts w:ascii="Aptos" w:hAnsi="Aptos"/>
          <w:sz w:val="22"/>
          <w:szCs w:val="22"/>
          <w:lang w:val="en"/>
        </w:rPr>
        <w:t>i</w:t>
      </w:r>
      <w:proofErr w:type="spellEnd"/>
      <w:r>
        <w:rPr>
          <w:rFonts w:ascii="Aptos" w:hAnsi="Aptos"/>
          <w:sz w:val="22"/>
          <w:szCs w:val="22"/>
          <w:lang w:val="en"/>
        </w:rPr>
        <w:t xml:space="preserve">) the core idea of steering a single LED through </w:t>
      </w:r>
      <m:oMath>
        <m:r>
          <w:rPr>
            <w:rFonts w:ascii="Cambria Math" w:hAnsi="Cambria Math"/>
            <w:sz w:val="22"/>
            <w:szCs w:val="22"/>
            <w:lang w:val="en"/>
          </w:rPr>
          <m:t>K</m:t>
        </m:r>
      </m:oMath>
      <w:r>
        <w:rPr>
          <w:rFonts w:ascii="Aptos" w:hAnsi="Aptos"/>
          <w:sz w:val="22"/>
          <w:szCs w:val="22"/>
          <w:lang w:val="en"/>
        </w:rPr>
        <w:t xml:space="preserve"> orientations while a PD at an arbitrary fixed orientation collects </w:t>
      </w:r>
      <m:oMath>
        <m:r>
          <w:rPr>
            <w:rFonts w:ascii="Cambria Math" w:hAnsi="Cambria Math"/>
            <w:sz w:val="22"/>
            <w:szCs w:val="22"/>
            <w:lang w:val="en"/>
          </w:rPr>
          <m:t>K</m:t>
        </m:r>
      </m:oMath>
      <w:r>
        <w:rPr>
          <w:rFonts w:ascii="Aptos" w:hAnsi="Aptos"/>
          <w:sz w:val="22"/>
          <w:szCs w:val="22"/>
          <w:lang w:val="en"/>
        </w:rPr>
        <w:t xml:space="preserve"> RSS measurements; (ii) the ratio-based formulation that cancels unknown distance, transmitted power, and all receiver-orientation-dependent terms; (iii) that direction finding is mathematically independent of </w:t>
      </w:r>
      <m:oMath>
        <m:sSub>
          <m:sSubPr>
            <m:ctrlPr>
              <w:rPr>
                <w:rFonts w:ascii="Cambria Math" w:hAnsi="Cambria Math"/>
                <w:i/>
                <w:sz w:val="22"/>
                <w:szCs w:val="22"/>
                <w:lang w:val="en"/>
              </w:rPr>
            </m:ctrlPr>
          </m:sSubPr>
          <m:e>
            <m:r>
              <m:rPr>
                <m:sty m:val="b"/>
              </m:rPr>
              <w:rPr>
                <w:rStyle w:val="lev"/>
                <w:rFonts w:ascii="Cambria Math" w:hAnsi="Cambria Math"/>
                <w:sz w:val="22"/>
                <w:szCs w:val="22"/>
                <w:lang w:val="en"/>
              </w:rPr>
              <m:t>n</m:t>
            </m:r>
          </m:e>
          <m:sub>
            <m:r>
              <w:rPr>
                <w:rFonts w:ascii="Cambria Math" w:hAnsi="Cambria Math"/>
                <w:sz w:val="22"/>
                <w:szCs w:val="22"/>
                <w:vertAlign w:val="subscript"/>
                <w:lang w:val="en"/>
              </w:rPr>
              <m:t>r</m:t>
            </m:r>
          </m:sub>
        </m:sSub>
      </m:oMath>
      <w:r>
        <w:rPr>
          <w:rFonts w:ascii="Aptos" w:hAnsi="Aptos"/>
          <w:sz w:val="22"/>
          <w:szCs w:val="22"/>
          <w:lang w:val="en"/>
        </w:rPr>
        <w:t xml:space="preserve">; (iv) the extension to 3D via cooperative </w:t>
      </w:r>
      <w:r>
        <w:rPr>
          <w:rFonts w:ascii="Aptos" w:hAnsi="Aptos"/>
          <w:sz w:val="22"/>
          <w:szCs w:val="22"/>
          <w:lang w:val="en"/>
        </w:rPr>
        <w:lastRenderedPageBreak/>
        <w:t>distance recovery. A second paragraph clarifies that direction finding is the primary contribution enabling beam alignment for subsequent communication or ranging.</w:t>
      </w:r>
    </w:p>
    <w:p w14:paraId="3F2EE55E"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Two new paragraphs added in Section I before the contributions list (beginning “Building on these observations...”).</w:t>
      </w:r>
    </w:p>
    <w:p w14:paraId="05220E56" w14:textId="77777777" w:rsidR="00000000" w:rsidRDefault="00000000">
      <w:pPr>
        <w:pStyle w:val="rc"/>
        <w:numPr>
          <w:ilvl w:val="3"/>
          <w:numId w:val="1"/>
        </w:numPr>
        <w:spacing w:before="0" w:beforeAutospacing="0" w:line="276" w:lineRule="auto"/>
        <w:ind w:left="714" w:hanging="357"/>
        <w:divId w:val="1499275216"/>
        <w:rPr>
          <w:rFonts w:ascii="Aptos" w:hAnsi="Aptos"/>
          <w:sz w:val="22"/>
          <w:szCs w:val="22"/>
          <w:lang w:val="en"/>
        </w:rPr>
      </w:pPr>
      <w:r>
        <w:rPr>
          <w:rFonts w:ascii="Aptos" w:hAnsi="Aptos"/>
          <w:sz w:val="22"/>
          <w:szCs w:val="22"/>
          <w:lang w:val="en"/>
        </w:rPr>
        <w:t xml:space="preserve">The description of the "Distance Recovery" stage in Section II-B2 is confusing, particularly with respect to the so-called "beam-forming symmetry." The discussion appears to imply that the receiver must also be oriented as </w:t>
      </w:r>
      <m:oMath>
        <m:sSub>
          <m:sSubPr>
            <m:ctrlPr>
              <w:rPr>
                <w:rFonts w:ascii="Cambria Math" w:hAnsi="Cambria Math"/>
                <w:sz w:val="22"/>
                <w:szCs w:val="22"/>
                <w:lang w:val="en"/>
              </w:rPr>
            </m:ctrlPr>
          </m:sSubPr>
          <m:e>
            <m:r>
              <m:rPr>
                <m:sty m:val="b"/>
              </m:rPr>
              <w:rPr>
                <w:rFonts w:ascii="Cambria Math" w:hAnsi="Cambria Math"/>
                <w:sz w:val="22"/>
                <w:szCs w:val="22"/>
                <w:lang w:val="en"/>
              </w:rPr>
              <m:t>n</m:t>
            </m:r>
          </m:e>
          <m:sub>
            <m:r>
              <w:rPr>
                <w:rFonts w:ascii="Cambria Math" w:hAnsi="Cambria Math"/>
                <w:sz w:val="22"/>
                <w:szCs w:val="22"/>
                <w:vertAlign w:val="subscript"/>
                <w:lang w:val="en"/>
              </w:rPr>
              <m:t>r</m:t>
            </m:r>
          </m:sub>
        </m:sSub>
        <m:r>
          <w:rPr>
            <w:rFonts w:ascii="Cambria Math" w:hAnsi="Cambria Math"/>
            <w:sz w:val="22"/>
            <w:szCs w:val="22"/>
            <w:lang w:val="en"/>
          </w:rPr>
          <m:t>=-</m:t>
        </m:r>
        <m:sSub>
          <m:sSubPr>
            <m:ctrlPr>
              <w:rPr>
                <w:rFonts w:ascii="Cambria Math" w:hAnsi="Cambria Math"/>
                <w:sz w:val="22"/>
                <w:szCs w:val="22"/>
                <w:vertAlign w:val="subscript"/>
                <w:lang w:val="en"/>
              </w:rPr>
            </m:ctrlPr>
          </m:sSubPr>
          <m:e>
            <m:acc>
              <m:accPr>
                <m:ctrlPr>
                  <w:rPr>
                    <w:rFonts w:ascii="Cambria Math" w:hAnsi="Cambria Math"/>
                    <w:b/>
                    <w:bCs/>
                    <w:sz w:val="22"/>
                    <w:szCs w:val="22"/>
                    <w:lang w:val="en"/>
                  </w:rPr>
                </m:ctrlPr>
              </m:accPr>
              <m:e>
                <m:r>
                  <m:rPr>
                    <m:sty m:val="b"/>
                  </m:rPr>
                  <w:rPr>
                    <w:rFonts w:ascii="Cambria Math" w:hAnsi="Cambria Math"/>
                    <w:sz w:val="22"/>
                    <w:szCs w:val="22"/>
                    <w:lang w:val="en"/>
                  </w:rPr>
                  <m:t>n</m:t>
                </m:r>
                <m:ctrlPr>
                  <w:rPr>
                    <w:rFonts w:ascii="Cambria Math" w:hAnsi="Cambria Math"/>
                    <w:sz w:val="22"/>
                    <w:szCs w:val="22"/>
                    <w:lang w:val="en"/>
                  </w:rPr>
                </m:ctrlPr>
              </m:e>
            </m:acc>
            <m:ctrlPr>
              <w:rPr>
                <w:rFonts w:ascii="Cambria Math" w:hAnsi="Cambria Math"/>
                <w:sz w:val="22"/>
                <w:szCs w:val="22"/>
                <w:lang w:val="en"/>
              </w:rPr>
            </m:ctrlPr>
          </m:e>
          <m:sub>
            <m:r>
              <w:rPr>
                <w:rFonts w:ascii="Cambria Math" w:hAnsi="Cambria Math"/>
                <w:sz w:val="22"/>
                <w:szCs w:val="22"/>
                <w:vertAlign w:val="subscript"/>
                <w:lang w:val="en"/>
              </w:rPr>
              <m:t>d</m:t>
            </m:r>
          </m:sub>
        </m:sSub>
      </m:oMath>
      <w:r>
        <w:rPr>
          <w:rFonts w:ascii="Aptos" w:hAnsi="Aptos"/>
          <w:sz w:val="22"/>
          <w:szCs w:val="22"/>
          <w:lang w:val="en"/>
        </w:rPr>
        <w:t>, which contradicts the claim in the Abstract that the system uses a single PD without receiver rotation.</w:t>
      </w:r>
    </w:p>
    <w:p w14:paraId="068C9BCA" w14:textId="77777777" w:rsidR="00000000" w:rsidRDefault="00000000">
      <w:pPr>
        <w:pStyle w:val="resp"/>
        <w:spacing w:before="0" w:beforeAutospacing="0" w:after="80" w:line="276" w:lineRule="auto"/>
        <w:divId w:val="1499275216"/>
        <w:rPr>
          <w:rFonts w:ascii="Aptos" w:hAnsi="Aptos"/>
          <w:sz w:val="22"/>
          <w:szCs w:val="22"/>
          <w:lang w:val="en"/>
        </w:rPr>
      </w:pPr>
      <w:r w:rsidRPr="00A33911">
        <w:rPr>
          <w:rFonts w:ascii="Aptos" w:hAnsi="Aptos"/>
          <w:sz w:val="22"/>
          <w:szCs w:val="22"/>
          <w:lang w:val="en"/>
        </w:rPr>
        <w:t>We would like to thank the reviewer for this comment, which highlights an ambiguity that was indeed present in the original version of the article and which, we hope, has now been resolved.</w:t>
      </w:r>
      <w:r>
        <w:rPr>
          <w:rFonts w:ascii="Aptos" w:hAnsi="Aptos"/>
          <w:sz w:val="22"/>
          <w:szCs w:val="22"/>
          <w:lang w:val="en"/>
        </w:rPr>
        <w:t xml:space="preserve"> More precisely, the original manuscript did not adequately distinguish the two stages:</w:t>
      </w:r>
    </w:p>
    <w:p w14:paraId="5B413DBE" w14:textId="77777777" w:rsidR="00000000" w:rsidRDefault="00000000">
      <w:pPr>
        <w:numPr>
          <w:ilvl w:val="0"/>
          <w:numId w:val="5"/>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Stage 1 (Direction Finding):</w:t>
      </w:r>
      <w:r>
        <w:rPr>
          <w:rFonts w:ascii="Aptos" w:eastAsia="Times New Roman" w:hAnsi="Aptos"/>
          <w:sz w:val="22"/>
          <w:szCs w:val="22"/>
          <w:lang w:val="en"/>
        </w:rPr>
        <w:t xml:space="preserve"> The PD remains at an arbitrary fixed orientation throughout </w:t>
      </w:r>
      <m:oMath>
        <m:r>
          <w:rPr>
            <w:rFonts w:ascii="Cambria Math" w:eastAsia="Times New Roman" w:hAnsi="Cambria Math"/>
            <w:sz w:val="22"/>
            <w:szCs w:val="22"/>
            <w:lang w:val="en"/>
          </w:rPr>
          <m:t>K</m:t>
        </m:r>
      </m:oMath>
      <w:r>
        <w:rPr>
          <w:rFonts w:ascii="Aptos" w:eastAsia="Times New Roman" w:hAnsi="Aptos"/>
          <w:sz w:val="22"/>
          <w:szCs w:val="22"/>
          <w:lang w:val="en"/>
        </w:rPr>
        <w:t xml:space="preserve"> measurements. All estimators are therefore </w:t>
      </w:r>
      <m:oMath>
        <m:sSub>
          <m:sSubPr>
            <m:ctrlPr>
              <w:rPr>
                <w:rFonts w:ascii="Cambria Math" w:eastAsia="Times New Roman" w:hAnsi="Cambria Math"/>
                <w:b/>
                <w:bCs/>
                <w:i/>
                <w:sz w:val="22"/>
                <w:szCs w:val="22"/>
                <w:lang w:val="en"/>
              </w:rPr>
            </m:ctrlPr>
          </m:sSubPr>
          <m:e>
            <m:r>
              <m:rPr>
                <m:sty m:val="b"/>
              </m:rPr>
              <w:rPr>
                <w:rFonts w:ascii="Cambria Math" w:eastAsia="Times New Roman" w:hAnsi="Cambria Math"/>
                <w:sz w:val="22"/>
                <w:szCs w:val="22"/>
                <w:lang w:val="en"/>
              </w:rPr>
              <m:t>n</m:t>
            </m:r>
          </m:e>
          <m:sub>
            <m:r>
              <w:rPr>
                <w:rFonts w:ascii="Cambria Math" w:eastAsia="Times New Roman" w:hAnsi="Cambria Math"/>
                <w:sz w:val="22"/>
                <w:szCs w:val="22"/>
                <w:vertAlign w:val="subscript"/>
                <w:lang w:val="en"/>
              </w:rPr>
              <m:t>r</m:t>
            </m:r>
          </m:sub>
        </m:sSub>
      </m:oMath>
      <w:r>
        <w:rPr>
          <w:rFonts w:ascii="Aptos" w:eastAsia="Times New Roman" w:hAnsi="Aptos"/>
          <w:sz w:val="22"/>
          <w:szCs w:val="22"/>
          <w:lang w:val="en"/>
        </w:rPr>
        <w:t>-independent (as proven in Section VI-C), no receiver movement is required. The claim that no receiver rotation is needed was thus referring to this first stage.</w:t>
      </w:r>
    </w:p>
    <w:p w14:paraId="70EA860D" w14:textId="77777777" w:rsidR="00000000" w:rsidRDefault="00000000">
      <w:pPr>
        <w:numPr>
          <w:ilvl w:val="0"/>
          <w:numId w:val="5"/>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Stage 2 (Distance Recovery):</w:t>
      </w:r>
      <w:r>
        <w:rPr>
          <w:rFonts w:ascii="Aptos" w:eastAsia="Times New Roman" w:hAnsi="Aptos"/>
          <w:sz w:val="22"/>
          <w:szCs w:val="22"/>
          <w:lang w:val="en"/>
        </w:rPr>
        <w:t xml:space="preserve"> After direction finding, one single cooperative reorientation (</w:t>
      </w:r>
      <m:oMath>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n</m:t>
            </m:r>
          </m:e>
          <m:sub>
            <m:r>
              <w:rPr>
                <w:rFonts w:ascii="Cambria Math" w:eastAsia="Times New Roman" w:hAnsi="Cambria Math"/>
                <w:sz w:val="22"/>
                <w:szCs w:val="22"/>
                <w:vertAlign w:val="subscript"/>
                <w:lang w:val="en"/>
              </w:rPr>
              <m:t>r</m:t>
            </m:r>
          </m:sub>
        </m:sSub>
        <m:r>
          <w:rPr>
            <w:rFonts w:ascii="Cambria Math" w:eastAsia="Times New Roman" w:hAnsi="Cambria Math"/>
            <w:sz w:val="22"/>
            <w:szCs w:val="22"/>
            <w:lang w:val="en"/>
          </w:rPr>
          <m:t xml:space="preserve"> = -</m:t>
        </m:r>
        <m:sSub>
          <m:sSubPr>
            <m:ctrlPr>
              <w:rPr>
                <w:rFonts w:ascii="Cambria Math" w:eastAsia="Times New Roman" w:hAnsi="Cambria Math"/>
                <w:i/>
                <w:sz w:val="22"/>
                <w:szCs w:val="22"/>
                <w:lang w:val="en"/>
              </w:rPr>
            </m:ctrlPr>
          </m:sSubPr>
          <m:e>
            <m:acc>
              <m:accPr>
                <m:ctrlPr>
                  <w:rPr>
                    <w:rFonts w:ascii="Cambria Math" w:eastAsia="Times New Roman" w:hAnsi="Cambria Math"/>
                    <w:b/>
                    <w:bCs/>
                    <w:i/>
                    <w:sz w:val="22"/>
                    <w:szCs w:val="22"/>
                    <w:lang w:val="en"/>
                  </w:rPr>
                </m:ctrlPr>
              </m:accPr>
              <m:e>
                <m:r>
                  <m:rPr>
                    <m:sty m:val="bi"/>
                  </m:rPr>
                  <w:rPr>
                    <w:rFonts w:ascii="Cambria Math" w:eastAsia="Times New Roman" w:hAnsi="Cambria Math"/>
                    <w:sz w:val="22"/>
                    <w:szCs w:val="22"/>
                    <w:lang w:val="en"/>
                  </w:rPr>
                  <m:t>n</m:t>
                </m:r>
              </m:e>
            </m:acc>
          </m:e>
          <m:sub>
            <m:r>
              <w:rPr>
                <w:rFonts w:ascii="Cambria Math" w:eastAsia="Times New Roman" w:hAnsi="Cambria Math"/>
                <w:sz w:val="22"/>
                <w:szCs w:val="22"/>
                <w:vertAlign w:val="subscript"/>
                <w:lang w:val="en"/>
              </w:rPr>
              <m:t>d</m:t>
            </m:r>
          </m:sub>
        </m:sSub>
      </m:oMath>
      <w:r>
        <w:rPr>
          <w:rFonts w:ascii="Aptos" w:eastAsia="Times New Roman" w:hAnsi="Aptos"/>
          <w:sz w:val="22"/>
          <w:szCs w:val="22"/>
          <w:lang w:val="en"/>
        </w:rPr>
        <w:t>) is indeed required to perform ranging while maximizing SNR. It may be noted that this is a single discrete reorientation, and not a continuous rotation as in [20], [24], [27]. The reviewer is therefore right to note that this second stage contradicts the initial “no receiver rotation” claim.</w:t>
      </w:r>
    </w:p>
    <w:p w14:paraId="70258D5E"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To avoid any ambiguity, the revised Abstract now explicitly describes the two-stage process: the system </w:t>
      </w:r>
      <w:r>
        <w:rPr>
          <w:rFonts w:ascii="Aptos" w:hAnsi="Aptos"/>
          <w:color w:val="0000FF"/>
          <w:sz w:val="22"/>
          <w:szCs w:val="22"/>
          <w:lang w:val="en"/>
        </w:rPr>
        <w:t>“first estimate[s] the LED-to-PD direction, and then recover[s] the distance from a single cooperative beam-aligned measurement”</w:t>
      </w:r>
      <w:r>
        <w:rPr>
          <w:rFonts w:ascii="Aptos" w:hAnsi="Aptos"/>
          <w:sz w:val="22"/>
          <w:szCs w:val="22"/>
          <w:lang w:val="en"/>
        </w:rPr>
        <w:t xml:space="preserve">. This transparent wording makes clear that the direction-finding stage requires zero receiver movement, while the distance-recovery step involves one cooperative reorientation. The Introduction (Section I) further states </w:t>
      </w:r>
      <w:r>
        <w:rPr>
          <w:rFonts w:ascii="Aptos" w:hAnsi="Aptos"/>
          <w:color w:val="0000FF"/>
          <w:sz w:val="22"/>
          <w:szCs w:val="22"/>
          <w:lang w:val="en"/>
        </w:rPr>
        <w:t>“the direction-finding stage requires zero receiver movement, and the entire beam-steering complexity resides in the infrastructure”</w:t>
      </w:r>
      <w:r>
        <w:rPr>
          <w:rFonts w:ascii="Aptos" w:hAnsi="Aptos"/>
          <w:sz w:val="22"/>
          <w:szCs w:val="22"/>
          <w:lang w:val="en"/>
        </w:rPr>
        <w:t>. The former reference to "beam-forming symmetry" has been replaced by a transparent description of cooperative alignment.</w:t>
      </w:r>
    </w:p>
    <w:p w14:paraId="6BAD37AC"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Section II-B2 has therefore been rewritten, and a new paragraph after (9) explicitly describes the single cooperative reorientation. Table I has also been updated with two-row entry (Arbitrary/Controlled) and an explanatory footnote.</w:t>
      </w:r>
    </w:p>
    <w:p w14:paraId="6F3DAA4E" w14:textId="77777777" w:rsidR="00000000" w:rsidRDefault="00000000">
      <w:pPr>
        <w:pStyle w:val="rc"/>
        <w:numPr>
          <w:ilvl w:val="0"/>
          <w:numId w:val="1"/>
        </w:numPr>
        <w:spacing w:before="0" w:beforeAutospacing="0" w:line="276" w:lineRule="auto"/>
        <w:divId w:val="1499275216"/>
        <w:rPr>
          <w:rFonts w:ascii="Aptos" w:hAnsi="Aptos"/>
          <w:sz w:val="22"/>
          <w:szCs w:val="22"/>
          <w:lang w:val="en"/>
        </w:rPr>
      </w:pPr>
      <w:r>
        <w:rPr>
          <w:rFonts w:ascii="Aptos" w:hAnsi="Aptos"/>
          <w:sz w:val="22"/>
          <w:szCs w:val="22"/>
          <w:lang w:val="en-US"/>
        </w:rPr>
        <w:t>Several symbols and derivations lack clarity:</w:t>
      </w:r>
    </w:p>
    <w:p w14:paraId="2BBB7709" w14:textId="77777777" w:rsidR="00000000" w:rsidRDefault="00000000">
      <w:pPr>
        <w:pStyle w:val="rc"/>
        <w:numPr>
          <w:ilvl w:val="0"/>
          <w:numId w:val="6"/>
        </w:numPr>
        <w:spacing w:before="0" w:beforeAutospacing="0" w:line="276" w:lineRule="auto"/>
        <w:divId w:val="1499275216"/>
        <w:rPr>
          <w:rFonts w:ascii="Aptos" w:hAnsi="Aptos"/>
          <w:sz w:val="22"/>
          <w:szCs w:val="22"/>
          <w:lang w:val="en"/>
        </w:rPr>
      </w:pPr>
      <w:r>
        <w:rPr>
          <w:rFonts w:ascii="Aptos" w:hAnsi="Aptos"/>
          <w:sz w:val="22"/>
          <w:szCs w:val="22"/>
          <w:lang w:val="en"/>
        </w:rPr>
        <w:t xml:space="preserve">In </w:t>
      </w:r>
      <m:oMath>
        <m:sSub>
          <m:sSubPr>
            <m:ctrlPr>
              <w:rPr>
                <w:rFonts w:ascii="Cambria Math" w:hAnsi="Cambria Math"/>
                <w:sz w:val="22"/>
                <w:szCs w:val="22"/>
                <w:lang w:val="en"/>
              </w:rPr>
            </m:ctrlPr>
          </m:sSubPr>
          <m:e>
            <m:r>
              <w:rPr>
                <w:rFonts w:ascii="Cambria Math" w:hAnsi="Cambria Math"/>
                <w:sz w:val="22"/>
                <w:szCs w:val="22"/>
                <w:lang w:val="en"/>
              </w:rPr>
              <m:t>μ</m:t>
            </m:r>
          </m:e>
          <m:sub>
            <m:r>
              <w:rPr>
                <w:rFonts w:ascii="Cambria Math" w:hAnsi="Cambria Math"/>
                <w:sz w:val="22"/>
                <w:szCs w:val="22"/>
                <w:vertAlign w:val="subscript"/>
                <w:lang w:val="en"/>
              </w:rPr>
              <m:t>i</m:t>
            </m:r>
          </m:sub>
        </m:sSub>
        <m:r>
          <w:rPr>
            <w:rFonts w:ascii="Cambria Math" w:hAnsi="Cambria Math"/>
            <w:sz w:val="22"/>
            <w:szCs w:val="22"/>
            <w:lang w:val="en"/>
          </w:rPr>
          <m:t>(r)</m:t>
        </m:r>
      </m:oMath>
      <w:r>
        <w:rPr>
          <w:rFonts w:ascii="Aptos" w:hAnsi="Aptos"/>
          <w:sz w:val="22"/>
          <w:szCs w:val="22"/>
          <w:lang w:val="en"/>
        </w:rPr>
        <w:t xml:space="preserve"> under (10), the dependence of </w:t>
      </w:r>
      <m:oMath>
        <m:sSub>
          <m:sSubPr>
            <m:ctrlPr>
              <w:rPr>
                <w:rFonts w:ascii="Cambria Math" w:hAnsi="Cambria Math"/>
                <w:sz w:val="22"/>
                <w:szCs w:val="22"/>
                <w:lang w:val="en"/>
              </w:rPr>
            </m:ctrlPr>
          </m:sSubPr>
          <m:e>
            <m:r>
              <w:rPr>
                <w:rFonts w:ascii="Cambria Math" w:hAnsi="Cambria Math"/>
                <w:sz w:val="22"/>
                <w:szCs w:val="22"/>
                <w:lang w:val="en"/>
              </w:rPr>
              <m:t>h</m:t>
            </m:r>
          </m:e>
          <m:sub>
            <m:r>
              <w:rPr>
                <w:rFonts w:ascii="Cambria Math" w:hAnsi="Cambria Math"/>
                <w:sz w:val="22"/>
                <w:szCs w:val="22"/>
                <w:vertAlign w:val="subscript"/>
                <w:lang w:val="en"/>
              </w:rPr>
              <m:t>LOS,i</m:t>
            </m:r>
          </m:sub>
        </m:sSub>
        <m:r>
          <w:rPr>
            <w:rFonts w:ascii="Cambria Math" w:hAnsi="Cambria Math"/>
            <w:sz w:val="22"/>
            <w:szCs w:val="22"/>
            <w:lang w:val="en"/>
          </w:rPr>
          <m:t>(r)</m:t>
        </m:r>
      </m:oMath>
      <w:r>
        <w:rPr>
          <w:rFonts w:ascii="Aptos" w:hAnsi="Aptos"/>
          <w:sz w:val="22"/>
          <w:szCs w:val="22"/>
          <w:lang w:val="en"/>
        </w:rPr>
        <w:t xml:space="preserve"> on </w:t>
      </w:r>
      <m:oMath>
        <m:r>
          <w:rPr>
            <w:rFonts w:ascii="Cambria Math" w:hAnsi="Cambria Math"/>
            <w:sz w:val="22"/>
            <w:szCs w:val="22"/>
            <w:lang w:val="en"/>
          </w:rPr>
          <m:t>r</m:t>
        </m:r>
      </m:oMath>
      <w:r>
        <w:rPr>
          <w:rFonts w:ascii="Aptos" w:hAnsi="Aptos"/>
          <w:sz w:val="22"/>
          <w:szCs w:val="22"/>
          <w:lang w:val="en"/>
        </w:rPr>
        <w:t xml:space="preserve"> is unclear, since Eqs. (2) and (3) do not explicitly involve </w:t>
      </w:r>
      <m:oMath>
        <m:r>
          <w:rPr>
            <w:rFonts w:ascii="Cambria Math" w:hAnsi="Cambria Math"/>
            <w:sz w:val="22"/>
            <w:szCs w:val="22"/>
            <w:lang w:val="en"/>
          </w:rPr>
          <m:t>r</m:t>
        </m:r>
      </m:oMath>
      <w:r>
        <w:rPr>
          <w:rFonts w:ascii="Aptos" w:hAnsi="Aptos"/>
          <w:sz w:val="22"/>
          <w:szCs w:val="22"/>
          <w:lang w:val="en"/>
        </w:rPr>
        <w:t>.</w:t>
      </w:r>
    </w:p>
    <w:p w14:paraId="51D2621F"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While (2)-(3) express the channel gain via </w:t>
      </w:r>
      <m:oMath>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sSub>
              <m:sSubPr>
                <m:ctrlPr>
                  <w:rPr>
                    <w:rFonts w:ascii="Cambria Math" w:hAnsi="Cambria Math"/>
                    <w:i/>
                    <w:sz w:val="22"/>
                    <w:szCs w:val="22"/>
                    <w:lang w:val="en"/>
                  </w:rPr>
                </m:ctrlPr>
              </m:sSubPr>
              <m:e>
                <m:r>
                  <w:rPr>
                    <w:rFonts w:ascii="Cambria Math" w:hAnsi="Cambria Math"/>
                    <w:sz w:val="22"/>
                    <w:szCs w:val="22"/>
                    <w:lang w:val="en"/>
                  </w:rPr>
                  <m:t>ϕ</m:t>
                </m:r>
              </m:e>
              <m:sub>
                <m:r>
                  <w:rPr>
                    <w:rFonts w:ascii="Cambria Math" w:hAnsi="Cambria Math"/>
                    <w:sz w:val="22"/>
                    <w:szCs w:val="22"/>
                    <w:lang w:val="en"/>
                  </w:rPr>
                  <m:t>i</m:t>
                </m:r>
              </m:sub>
            </m:sSub>
          </m:e>
        </m:func>
      </m:oMath>
      <w:r>
        <w:rPr>
          <w:rFonts w:ascii="Aptos" w:hAnsi="Aptos"/>
          <w:sz w:val="22"/>
          <w:szCs w:val="22"/>
          <w:lang w:val="en"/>
        </w:rPr>
        <w:t xml:space="preserve">, </w:t>
      </w:r>
      <m:oMath>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r>
              <w:rPr>
                <w:rFonts w:ascii="Cambria Math" w:hAnsi="Cambria Math"/>
                <w:sz w:val="22"/>
                <w:szCs w:val="22"/>
                <w:lang w:val="en"/>
              </w:rPr>
              <m:t>ψ</m:t>
            </m:r>
          </m:e>
        </m:func>
      </m:oMath>
      <w:r>
        <w:rPr>
          <w:rFonts w:ascii="Aptos" w:hAnsi="Aptos"/>
          <w:sz w:val="22"/>
          <w:szCs w:val="22"/>
          <w:lang w:val="en"/>
        </w:rPr>
        <w:t xml:space="preserve">, and </w:t>
      </w:r>
      <m:oMath>
        <m:r>
          <w:rPr>
            <w:rFonts w:ascii="Cambria Math" w:hAnsi="Cambria Math"/>
            <w:sz w:val="22"/>
            <w:szCs w:val="22"/>
            <w:lang w:val="en"/>
          </w:rPr>
          <m:t>d</m:t>
        </m:r>
      </m:oMath>
      <w:r>
        <w:rPr>
          <w:rFonts w:ascii="Aptos" w:hAnsi="Aptos"/>
          <w:sz w:val="22"/>
          <w:szCs w:val="22"/>
          <w:lang w:val="en"/>
        </w:rPr>
        <w:t xml:space="preserve">, all depend on </w:t>
      </w:r>
      <m:oMath>
        <m:r>
          <m:rPr>
            <m:sty m:val="b"/>
          </m:rPr>
          <w:rPr>
            <w:rStyle w:val="lev"/>
            <w:rFonts w:ascii="Cambria Math" w:hAnsi="Cambria Math"/>
            <w:sz w:val="22"/>
            <w:szCs w:val="22"/>
            <w:lang w:val="en"/>
          </w:rPr>
          <m:t>r</m:t>
        </m:r>
      </m:oMath>
      <w:r>
        <w:rPr>
          <w:rFonts w:ascii="Aptos" w:hAnsi="Aptos"/>
          <w:sz w:val="22"/>
          <w:szCs w:val="22"/>
          <w:lang w:val="en"/>
        </w:rPr>
        <w:t xml:space="preserve"> through </w:t>
      </w:r>
      <m:oMath>
        <m:r>
          <m:rPr>
            <m:sty m:val="b"/>
          </m:rPr>
          <w:rPr>
            <w:rStyle w:val="lev"/>
            <w:rFonts w:ascii="Cambria Math" w:hAnsi="Cambria Math"/>
            <w:sz w:val="22"/>
            <w:szCs w:val="22"/>
            <w:lang w:val="en"/>
          </w:rPr>
          <m:t>d</m:t>
        </m:r>
        <m:r>
          <w:rPr>
            <w:rFonts w:ascii="Cambria Math" w:hAnsi="Cambria Math"/>
            <w:sz w:val="22"/>
            <w:szCs w:val="22"/>
            <w:lang w:val="en"/>
          </w:rPr>
          <m:t>=</m:t>
        </m:r>
        <m:r>
          <m:rPr>
            <m:sty m:val="b"/>
          </m:rPr>
          <w:rPr>
            <w:rStyle w:val="lev"/>
            <w:rFonts w:ascii="Cambria Math" w:hAnsi="Cambria Math"/>
            <w:sz w:val="22"/>
            <w:szCs w:val="22"/>
            <w:lang w:val="en"/>
          </w:rPr>
          <m:t>r</m:t>
        </m:r>
        <m:r>
          <w:rPr>
            <w:rFonts w:ascii="Cambria Math" w:hAnsi="Cambria Math"/>
            <w:sz w:val="22"/>
            <w:szCs w:val="22"/>
            <w:lang w:val="en"/>
          </w:rPr>
          <m:t>-</m:t>
        </m:r>
        <m:r>
          <m:rPr>
            <m:sty m:val="b"/>
          </m:rPr>
          <w:rPr>
            <w:rStyle w:val="lev"/>
            <w:rFonts w:ascii="Cambria Math" w:hAnsi="Cambria Math"/>
            <w:sz w:val="22"/>
            <w:szCs w:val="22"/>
            <w:lang w:val="en"/>
          </w:rPr>
          <m:t>t</m:t>
        </m:r>
      </m:oMath>
      <w:r>
        <w:rPr>
          <w:rFonts w:ascii="Aptos" w:hAnsi="Aptos"/>
          <w:sz w:val="22"/>
          <w:szCs w:val="22"/>
          <w:lang w:val="en"/>
        </w:rPr>
        <w:t xml:space="preserve">. We added Section III-A (“Direction-Finding Observation Model”) showing explicitly that </w:t>
      </w:r>
      <m:oMath>
        <m:sSub>
          <m:sSubPr>
            <m:ctrlPr>
              <w:rPr>
                <w:rFonts w:ascii="Cambria Math" w:hAnsi="Cambria Math"/>
                <w:i/>
                <w:sz w:val="22"/>
                <w:szCs w:val="22"/>
                <w:lang w:val="en"/>
              </w:rPr>
            </m:ctrlPr>
          </m:sSubPr>
          <m:e>
            <m:r>
              <w:rPr>
                <w:rFonts w:ascii="Cambria Math" w:hAnsi="Cambria Math"/>
                <w:sz w:val="22"/>
                <w:szCs w:val="22"/>
                <w:lang w:val="en"/>
              </w:rPr>
              <m:t>μ</m:t>
            </m:r>
          </m:e>
          <m:sub>
            <m:r>
              <w:rPr>
                <w:rFonts w:ascii="Cambria Math" w:hAnsi="Cambria Math"/>
                <w:sz w:val="22"/>
                <w:szCs w:val="22"/>
                <w:vertAlign w:val="subscript"/>
                <w:lang w:val="en"/>
              </w:rPr>
              <m:t>i</m:t>
            </m:r>
          </m:sub>
        </m:sSub>
        <m:r>
          <w:rPr>
            <w:rFonts w:ascii="Cambria Math" w:hAnsi="Cambria Math"/>
            <w:sz w:val="22"/>
            <w:szCs w:val="22"/>
            <w:lang w:val="en"/>
          </w:rPr>
          <m:t xml:space="preserve"> = η·</m:t>
        </m:r>
        <m:sSubSup>
          <m:sSubSupPr>
            <m:ctrlPr>
              <w:rPr>
                <w:rFonts w:ascii="Cambria Math" w:hAnsi="Cambria Math"/>
                <w:i/>
                <w:sz w:val="22"/>
                <w:szCs w:val="22"/>
                <w:vertAlign w:val="superscript"/>
                <w:lang w:val="en"/>
              </w:rPr>
            </m:ctrlPr>
          </m:sSubSupPr>
          <m:e>
            <m:r>
              <w:rPr>
                <w:rFonts w:ascii="Cambria Math" w:hAnsi="Cambria Math"/>
                <w:sz w:val="22"/>
                <w:szCs w:val="22"/>
                <w:lang w:val="en"/>
              </w:rPr>
              <m:t>Q</m:t>
            </m:r>
            <m:ctrlPr>
              <w:rPr>
                <w:rFonts w:ascii="Cambria Math" w:hAnsi="Cambria Math"/>
                <w:i/>
                <w:sz w:val="22"/>
                <w:szCs w:val="22"/>
                <w:lang w:val="en"/>
              </w:rPr>
            </m:ctrlPr>
          </m:e>
          <m:sub>
            <m:r>
              <w:rPr>
                <w:rFonts w:ascii="Cambria Math" w:hAnsi="Cambria Math"/>
                <w:sz w:val="22"/>
                <w:szCs w:val="22"/>
                <w:vertAlign w:val="subscript"/>
                <w:lang w:val="en"/>
              </w:rPr>
              <m:t>i</m:t>
            </m:r>
            <m:ctrlPr>
              <w:rPr>
                <w:rFonts w:ascii="Cambria Math" w:hAnsi="Cambria Math"/>
                <w:i/>
                <w:sz w:val="22"/>
                <w:szCs w:val="22"/>
                <w:vertAlign w:val="subscript"/>
                <w:lang w:val="en"/>
              </w:rPr>
            </m:ctrlPr>
          </m:sub>
          <m:sup>
            <m:r>
              <w:rPr>
                <w:rFonts w:ascii="Cambria Math" w:hAnsi="Cambria Math"/>
                <w:sz w:val="22"/>
                <w:szCs w:val="22"/>
                <w:vertAlign w:val="superscript"/>
                <w:lang w:val="en"/>
              </w:rPr>
              <m:t>m</m:t>
            </m:r>
          </m:sup>
        </m:sSubSup>
      </m:oMath>
      <w:r>
        <w:rPr>
          <w:rFonts w:ascii="Aptos" w:hAnsi="Aptos"/>
          <w:sz w:val="22"/>
          <w:szCs w:val="22"/>
          <w:lang w:val="en"/>
        </w:rPr>
        <w:t xml:space="preserve"> (11), where </w:t>
      </w:r>
      <m:oMath>
        <m:sSub>
          <m:sSubPr>
            <m:ctrlPr>
              <w:rPr>
                <w:rFonts w:ascii="Cambria Math" w:hAnsi="Cambria Math"/>
                <w:i/>
                <w:sz w:val="22"/>
                <w:szCs w:val="22"/>
                <w:lang w:val="en"/>
              </w:rPr>
            </m:ctrlPr>
          </m:sSubPr>
          <m:e>
            <m:r>
              <w:rPr>
                <w:rFonts w:ascii="Cambria Math" w:hAnsi="Cambria Math"/>
                <w:sz w:val="22"/>
                <w:szCs w:val="22"/>
                <w:lang w:val="en"/>
              </w:rPr>
              <m:t>Q</m:t>
            </m:r>
          </m:e>
          <m:sub>
            <m:r>
              <w:rPr>
                <w:rFonts w:ascii="Cambria Math" w:hAnsi="Cambria Math"/>
                <w:sz w:val="22"/>
                <w:szCs w:val="22"/>
                <w:vertAlign w:val="subscript"/>
                <w:lang w:val="en"/>
              </w:rPr>
              <m:t>i</m:t>
            </m:r>
          </m:sub>
        </m:sSub>
        <m:r>
          <w:rPr>
            <w:rFonts w:ascii="Cambria Math" w:hAnsi="Cambria Math"/>
            <w:sz w:val="22"/>
            <w:szCs w:val="22"/>
            <w:lang w:val="en"/>
          </w:rPr>
          <m:t>=</m:t>
        </m:r>
        <m:sSub>
          <m:sSubPr>
            <m:ctrlPr>
              <w:rPr>
                <w:rFonts w:ascii="Cambria Math" w:hAnsi="Cambria Math"/>
                <w:i/>
                <w:sz w:val="22"/>
                <w:szCs w:val="22"/>
                <w:lang w:val="en"/>
              </w:rPr>
            </m:ctrlPr>
          </m:sSubPr>
          <m:e>
            <m:r>
              <m:rPr>
                <m:sty m:val="b"/>
              </m:rPr>
              <w:rPr>
                <w:rStyle w:val="lev"/>
                <w:rFonts w:ascii="Cambria Math" w:hAnsi="Cambria Math"/>
                <w:sz w:val="22"/>
                <w:szCs w:val="22"/>
                <w:lang w:val="en"/>
              </w:rPr>
              <m:t>n</m:t>
            </m:r>
          </m:e>
          <m:sub>
            <m:r>
              <w:rPr>
                <w:rFonts w:ascii="Cambria Math" w:hAnsi="Cambria Math"/>
                <w:sz w:val="22"/>
                <w:szCs w:val="22"/>
                <w:vertAlign w:val="subscript"/>
                <w:lang w:val="en"/>
              </w:rPr>
              <m:t>t,i</m:t>
            </m:r>
          </m:sub>
        </m:sSub>
        <m:r>
          <w:rPr>
            <w:rFonts w:ascii="Cambria Math" w:hAnsi="Cambria Math"/>
            <w:sz w:val="22"/>
            <w:szCs w:val="22"/>
            <w:lang w:val="en"/>
          </w:rPr>
          <m:t>·</m:t>
        </m:r>
        <m:sSub>
          <m:sSubPr>
            <m:ctrlPr>
              <w:rPr>
                <w:rFonts w:ascii="Cambria Math" w:hAnsi="Cambria Math"/>
                <w:i/>
                <w:sz w:val="22"/>
                <w:szCs w:val="22"/>
                <w:vertAlign w:val="subscript"/>
                <w:lang w:val="en"/>
              </w:rPr>
            </m:ctrlPr>
          </m:sSubPr>
          <m:e>
            <m:r>
              <m:rPr>
                <m:sty m:val="b"/>
              </m:rPr>
              <w:rPr>
                <w:rStyle w:val="lev"/>
                <w:rFonts w:ascii="Cambria Math" w:hAnsi="Cambria Math"/>
                <w:sz w:val="22"/>
                <w:szCs w:val="22"/>
                <w:lang w:val="en"/>
              </w:rPr>
              <m:t>n</m:t>
            </m:r>
            <m:ctrlPr>
              <w:rPr>
                <w:rFonts w:ascii="Cambria Math" w:hAnsi="Cambria Math"/>
                <w:iCs/>
                <w:sz w:val="22"/>
                <w:szCs w:val="22"/>
                <w:lang w:val="en"/>
              </w:rPr>
            </m:ctrlPr>
          </m:e>
          <m:sub>
            <m:r>
              <w:rPr>
                <w:rFonts w:ascii="Cambria Math" w:hAnsi="Cambria Math"/>
                <w:sz w:val="22"/>
                <w:szCs w:val="22"/>
                <w:vertAlign w:val="subscript"/>
                <w:lang w:val="en"/>
              </w:rPr>
              <m:t>d</m:t>
            </m:r>
          </m:sub>
        </m:sSub>
      </m:oMath>
      <w:r>
        <w:rPr>
          <w:rFonts w:ascii="Aptos" w:hAnsi="Aptos"/>
          <w:sz w:val="22"/>
          <w:szCs w:val="22"/>
          <w:lang w:val="en"/>
        </w:rPr>
        <w:t xml:space="preserve"> depends on </w:t>
      </w:r>
      <m:oMath>
        <m:r>
          <m:rPr>
            <m:sty m:val="b"/>
          </m:rPr>
          <w:rPr>
            <w:rStyle w:val="lev"/>
            <w:rFonts w:ascii="Cambria Math" w:hAnsi="Cambria Math"/>
            <w:sz w:val="22"/>
            <w:szCs w:val="22"/>
            <w:lang w:val="en"/>
          </w:rPr>
          <m:t>r</m:t>
        </m:r>
      </m:oMath>
      <w:r>
        <w:rPr>
          <w:rFonts w:ascii="Aptos" w:hAnsi="Aptos"/>
          <w:sz w:val="22"/>
          <w:szCs w:val="22"/>
          <w:lang w:val="en"/>
        </w:rPr>
        <w:t xml:space="preserve"> through </w:t>
      </w:r>
      <m:oMath>
        <m:sSub>
          <m:sSubPr>
            <m:ctrlPr>
              <w:rPr>
                <w:rFonts w:ascii="Cambria Math" w:hAnsi="Cambria Math"/>
                <w:i/>
                <w:sz w:val="22"/>
                <w:szCs w:val="22"/>
                <w:vertAlign w:val="subscript"/>
                <w:lang w:val="en"/>
              </w:rPr>
            </m:ctrlPr>
          </m:sSubPr>
          <m:e>
            <m:r>
              <m:rPr>
                <m:sty m:val="b"/>
              </m:rPr>
              <w:rPr>
                <w:rStyle w:val="lev"/>
                <w:rFonts w:ascii="Cambria Math" w:hAnsi="Cambria Math"/>
                <w:sz w:val="22"/>
                <w:szCs w:val="22"/>
                <w:lang w:val="en"/>
              </w:rPr>
              <m:t>n</m:t>
            </m:r>
            <m:ctrlPr>
              <w:rPr>
                <w:rFonts w:ascii="Cambria Math" w:hAnsi="Cambria Math"/>
                <w:iCs/>
                <w:sz w:val="22"/>
                <w:szCs w:val="22"/>
                <w:lang w:val="en"/>
              </w:rPr>
            </m:ctrlPr>
          </m:e>
          <m:sub>
            <m:r>
              <w:rPr>
                <w:rFonts w:ascii="Cambria Math" w:hAnsi="Cambria Math"/>
                <w:sz w:val="22"/>
                <w:szCs w:val="22"/>
                <w:vertAlign w:val="subscript"/>
                <w:lang w:val="en"/>
              </w:rPr>
              <m:t>d</m:t>
            </m:r>
          </m:sub>
        </m:sSub>
        <m:r>
          <w:rPr>
            <w:rFonts w:ascii="Cambria Math" w:hAnsi="Cambria Math"/>
            <w:sz w:val="22"/>
            <w:szCs w:val="22"/>
            <w:lang w:val="en"/>
          </w:rPr>
          <m:t>=(</m:t>
        </m:r>
        <m:r>
          <m:rPr>
            <m:sty m:val="b"/>
          </m:rPr>
          <w:rPr>
            <w:rStyle w:val="lev"/>
            <w:rFonts w:ascii="Cambria Math" w:hAnsi="Cambria Math"/>
            <w:sz w:val="22"/>
            <w:szCs w:val="22"/>
            <w:lang w:val="en"/>
          </w:rPr>
          <m:t>r</m:t>
        </m:r>
        <m:r>
          <w:rPr>
            <w:rFonts w:ascii="Cambria Math" w:hAnsi="Cambria Math"/>
            <w:sz w:val="22"/>
            <w:szCs w:val="22"/>
            <w:lang w:val="en"/>
          </w:rPr>
          <m:t>-</m:t>
        </m:r>
        <m:r>
          <m:rPr>
            <m:sty m:val="b"/>
          </m:rPr>
          <w:rPr>
            <w:rStyle w:val="lev"/>
            <w:rFonts w:ascii="Cambria Math" w:hAnsi="Cambria Math"/>
            <w:sz w:val="22"/>
            <w:szCs w:val="22"/>
            <w:lang w:val="en"/>
          </w:rPr>
          <m:t>t</m:t>
        </m:r>
        <m:r>
          <w:rPr>
            <w:rFonts w:ascii="Cambria Math" w:hAnsi="Cambria Math"/>
            <w:sz w:val="22"/>
            <w:szCs w:val="22"/>
            <w:lang w:val="en"/>
          </w:rPr>
          <m:t>)/||</m:t>
        </m:r>
        <m:r>
          <m:rPr>
            <m:sty m:val="b"/>
          </m:rPr>
          <w:rPr>
            <w:rStyle w:val="lev"/>
            <w:rFonts w:ascii="Cambria Math" w:hAnsi="Cambria Math"/>
            <w:sz w:val="22"/>
            <w:szCs w:val="22"/>
            <w:lang w:val="en"/>
          </w:rPr>
          <m:t>r</m:t>
        </m:r>
        <m:r>
          <w:rPr>
            <w:rFonts w:ascii="Cambria Math" w:hAnsi="Cambria Math"/>
            <w:sz w:val="22"/>
            <w:szCs w:val="22"/>
            <w:lang w:val="en"/>
          </w:rPr>
          <m:t>-</m:t>
        </m:r>
        <m:r>
          <m:rPr>
            <m:sty m:val="b"/>
          </m:rPr>
          <w:rPr>
            <w:rStyle w:val="lev"/>
            <w:rFonts w:ascii="Cambria Math" w:hAnsi="Cambria Math"/>
            <w:sz w:val="22"/>
            <w:szCs w:val="22"/>
            <w:lang w:val="en"/>
          </w:rPr>
          <m:t>t</m:t>
        </m:r>
        <m:r>
          <w:rPr>
            <w:rFonts w:ascii="Cambria Math" w:hAnsi="Cambria Math"/>
            <w:sz w:val="22"/>
            <w:szCs w:val="22"/>
            <w:lang w:val="en"/>
          </w:rPr>
          <m:t>||</m:t>
        </m:r>
      </m:oMath>
      <w:r>
        <w:rPr>
          <w:rFonts w:ascii="Aptos" w:hAnsi="Aptos"/>
          <w:sz w:val="22"/>
          <w:szCs w:val="22"/>
          <w:lang w:val="en"/>
        </w:rPr>
        <w:t xml:space="preserve">, and </w:t>
      </w:r>
      <m:oMath>
        <m:r>
          <w:rPr>
            <w:rFonts w:ascii="Cambria Math" w:hAnsi="Cambria Math"/>
            <w:sz w:val="22"/>
            <w:szCs w:val="22"/>
            <w:lang w:val="en"/>
          </w:rPr>
          <m:t>η=C·</m:t>
        </m:r>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r>
              <w:rPr>
                <w:rFonts w:ascii="Cambria Math" w:hAnsi="Cambria Math"/>
                <w:sz w:val="22"/>
                <w:szCs w:val="22"/>
                <w:lang w:val="en"/>
              </w:rPr>
              <m:t>ψ</m:t>
            </m:r>
          </m:e>
        </m:func>
        <m:r>
          <w:rPr>
            <w:rFonts w:ascii="Cambria Math" w:hAnsi="Cambria Math"/>
            <w:sz w:val="22"/>
            <w:szCs w:val="22"/>
            <w:lang w:val="en"/>
          </w:rPr>
          <m:t>/d²</m:t>
        </m:r>
      </m:oMath>
      <w:r>
        <w:rPr>
          <w:rFonts w:ascii="Aptos" w:hAnsi="Aptos"/>
          <w:sz w:val="22"/>
          <w:szCs w:val="22"/>
          <w:lang w:val="en"/>
        </w:rPr>
        <w:t xml:space="preserve"> depends on </w:t>
      </w:r>
      <m:oMath>
        <m:r>
          <m:rPr>
            <m:sty m:val="b"/>
          </m:rPr>
          <w:rPr>
            <w:rStyle w:val="lev"/>
            <w:rFonts w:ascii="Cambria Math" w:hAnsi="Cambria Math"/>
            <w:sz w:val="22"/>
            <w:szCs w:val="22"/>
            <w:lang w:val="en"/>
          </w:rPr>
          <m:t>r</m:t>
        </m:r>
      </m:oMath>
      <w:r>
        <w:rPr>
          <w:rFonts w:ascii="Aptos" w:hAnsi="Aptos"/>
          <w:sz w:val="22"/>
          <w:szCs w:val="22"/>
          <w:lang w:val="en"/>
        </w:rPr>
        <w:t xml:space="preserve"> through </w:t>
      </w:r>
      <m:oMath>
        <m:r>
          <w:rPr>
            <w:rFonts w:ascii="Cambria Math" w:hAnsi="Cambria Math"/>
            <w:sz w:val="22"/>
            <w:szCs w:val="22"/>
            <w:lang w:val="en"/>
          </w:rPr>
          <m:t>d</m:t>
        </m:r>
      </m:oMath>
      <w:r>
        <w:rPr>
          <w:rFonts w:ascii="Aptos" w:hAnsi="Aptos"/>
          <w:sz w:val="22"/>
          <w:szCs w:val="22"/>
          <w:lang w:val="en"/>
        </w:rPr>
        <w:t xml:space="preserve"> and </w:t>
      </w:r>
      <m:oMath>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r>
              <w:rPr>
                <w:rFonts w:ascii="Cambria Math" w:hAnsi="Cambria Math"/>
                <w:sz w:val="22"/>
                <w:szCs w:val="22"/>
                <w:lang w:val="en"/>
              </w:rPr>
              <m:t>ψ</m:t>
            </m:r>
          </m:e>
        </m:func>
      </m:oMath>
      <w:r>
        <w:rPr>
          <w:rFonts w:ascii="Aptos" w:hAnsi="Aptos"/>
          <w:sz w:val="22"/>
          <w:szCs w:val="22"/>
          <w:lang w:val="en"/>
        </w:rPr>
        <w:t>.</w:t>
      </w:r>
    </w:p>
    <w:p w14:paraId="0F0B0E8A"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A new Section III-A has therefore been added with (10)-(13) tracing all dependencies on </w:t>
      </w:r>
      <m:oMath>
        <m:r>
          <m:rPr>
            <m:sty m:val="b"/>
          </m:rPr>
          <w:rPr>
            <w:rStyle w:val="lev"/>
            <w:rFonts w:ascii="Cambria Math" w:hAnsi="Cambria Math"/>
            <w:sz w:val="22"/>
            <w:szCs w:val="22"/>
            <w:lang w:val="en"/>
          </w:rPr>
          <m:t>r</m:t>
        </m:r>
      </m:oMath>
      <w:r>
        <w:rPr>
          <w:rFonts w:ascii="Aptos" w:hAnsi="Aptos"/>
          <w:sz w:val="22"/>
          <w:szCs w:val="22"/>
          <w:lang w:val="en"/>
        </w:rPr>
        <w:t>.</w:t>
      </w:r>
    </w:p>
    <w:p w14:paraId="36397E5A" w14:textId="77777777" w:rsidR="00000000" w:rsidRDefault="00000000">
      <w:pPr>
        <w:pStyle w:val="rc"/>
        <w:numPr>
          <w:ilvl w:val="0"/>
          <w:numId w:val="6"/>
        </w:numPr>
        <w:spacing w:before="0" w:beforeAutospacing="0" w:line="276" w:lineRule="auto"/>
        <w:divId w:val="1499275216"/>
        <w:rPr>
          <w:rFonts w:ascii="Aptos" w:hAnsi="Aptos"/>
          <w:sz w:val="22"/>
          <w:szCs w:val="22"/>
          <w:lang w:val="en"/>
        </w:rPr>
      </w:pPr>
      <w:r>
        <w:rPr>
          <w:rFonts w:ascii="Aptos" w:hAnsi="Aptos"/>
          <w:sz w:val="22"/>
          <w:szCs w:val="22"/>
          <w:lang w:val="en"/>
        </w:rPr>
        <w:lastRenderedPageBreak/>
        <w:t>Under the Gaussian noise assumption, the FIM can be directly written in the form of (16) following standard results (e.g., Kay). Therefore, Sections III-A and III-B appear unnecessary.</w:t>
      </w:r>
    </w:p>
    <w:p w14:paraId="56B121B4"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We agree and have streamlined the derivation. We now directly apply the Slepian-Bangs formula (citing Kay [42]) to write the FIM in (15). The intermediate log-likelihood/score steps have been removed. The current Sections III-A and III-B are concise: Section III-A introduces the observation model and nuisance parameter </w:t>
      </w:r>
      <m:oMath>
        <m:r>
          <w:rPr>
            <w:rFonts w:ascii="Cambria Math" w:hAnsi="Cambria Math"/>
            <w:sz w:val="22"/>
            <w:szCs w:val="22"/>
            <w:lang w:val="en"/>
          </w:rPr>
          <m:t>η</m:t>
        </m:r>
      </m:oMath>
      <w:r>
        <w:rPr>
          <w:rFonts w:ascii="Aptos" w:hAnsi="Aptos"/>
          <w:sz w:val="22"/>
          <w:szCs w:val="22"/>
          <w:lang w:val="en"/>
        </w:rPr>
        <w:t xml:space="preserve"> (needed for the Schur complement), whereas Section III-B defines the specific gradient vectors for our Lambertian parameterization.</w:t>
      </w:r>
    </w:p>
    <w:p w14:paraId="6466DC84"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Equation (15) now directly cites [42], and intermediate derivation steps have been removed.</w:t>
      </w:r>
    </w:p>
    <w:p w14:paraId="5926A3E5" w14:textId="77777777" w:rsidR="00000000" w:rsidRDefault="00000000">
      <w:pPr>
        <w:pStyle w:val="rc"/>
        <w:numPr>
          <w:ilvl w:val="0"/>
          <w:numId w:val="6"/>
        </w:numPr>
        <w:spacing w:before="0" w:beforeAutospacing="0" w:line="276" w:lineRule="auto"/>
        <w:divId w:val="1499275216"/>
        <w:rPr>
          <w:rFonts w:ascii="Aptos" w:hAnsi="Aptos"/>
          <w:sz w:val="22"/>
          <w:szCs w:val="22"/>
          <w:lang w:val="en"/>
        </w:rPr>
      </w:pPr>
      <w:r>
        <w:rPr>
          <w:rFonts w:ascii="Aptos" w:hAnsi="Aptos"/>
          <w:sz w:val="22"/>
          <w:szCs w:val="22"/>
          <w:lang w:val="en"/>
        </w:rPr>
        <w:t xml:space="preserve">The vectors </w:t>
      </w:r>
      <m:oMath>
        <m:sSub>
          <m:sSubPr>
            <m:ctrlPr>
              <w:rPr>
                <w:rFonts w:ascii="Cambria Math" w:hAnsi="Cambria Math"/>
                <w:sz w:val="22"/>
                <w:szCs w:val="22"/>
                <w:lang w:val="en"/>
              </w:rPr>
            </m:ctrlPr>
          </m:sSubPr>
          <m:e>
            <m:r>
              <m:rPr>
                <m:sty m:val="b"/>
              </m:rPr>
              <w:rPr>
                <w:rFonts w:ascii="Cambria Math" w:hAnsi="Cambria Math"/>
                <w:sz w:val="22"/>
                <w:szCs w:val="22"/>
                <w:lang w:val="en"/>
              </w:rPr>
              <m:t>u</m:t>
            </m:r>
          </m:e>
          <m:sub>
            <m:r>
              <w:rPr>
                <w:rFonts w:ascii="Cambria Math" w:hAnsi="Cambria Math"/>
                <w:sz w:val="22"/>
                <w:szCs w:val="22"/>
                <w:vertAlign w:val="subscript"/>
                <w:lang w:val="en"/>
              </w:rPr>
              <m:t>x</m:t>
            </m:r>
          </m:sub>
        </m:sSub>
      </m:oMath>
      <w:r>
        <w:rPr>
          <w:rFonts w:ascii="Aptos" w:hAnsi="Aptos"/>
          <w:sz w:val="22"/>
          <w:szCs w:val="22"/>
          <w:lang w:val="en"/>
        </w:rPr>
        <w:t xml:space="preserve">, </w:t>
      </w:r>
      <m:oMath>
        <m:sSub>
          <m:sSubPr>
            <m:ctrlPr>
              <w:rPr>
                <w:rFonts w:ascii="Cambria Math" w:hAnsi="Cambria Math"/>
                <w:sz w:val="22"/>
                <w:szCs w:val="22"/>
                <w:lang w:val="en"/>
              </w:rPr>
            </m:ctrlPr>
          </m:sSubPr>
          <m:e>
            <m:r>
              <m:rPr>
                <m:sty m:val="b"/>
              </m:rPr>
              <w:rPr>
                <w:rFonts w:ascii="Cambria Math" w:hAnsi="Cambria Math"/>
                <w:sz w:val="22"/>
                <w:szCs w:val="22"/>
                <w:lang w:val="en"/>
              </w:rPr>
              <m:t>u</m:t>
            </m:r>
          </m:e>
          <m:sub>
            <m:r>
              <w:rPr>
                <w:rFonts w:ascii="Cambria Math" w:hAnsi="Cambria Math"/>
                <w:sz w:val="22"/>
                <w:szCs w:val="22"/>
                <w:vertAlign w:val="subscript"/>
                <w:lang w:val="en"/>
              </w:rPr>
              <m:t>y</m:t>
            </m:r>
          </m:sub>
        </m:sSub>
      </m:oMath>
      <w:r>
        <w:rPr>
          <w:rFonts w:ascii="Aptos" w:hAnsi="Aptos"/>
          <w:sz w:val="22"/>
          <w:szCs w:val="22"/>
          <w:lang w:val="en"/>
        </w:rPr>
        <w:t xml:space="preserve">, and </w:t>
      </w:r>
      <m:oMath>
        <m:sSub>
          <m:sSubPr>
            <m:ctrlPr>
              <w:rPr>
                <w:rFonts w:ascii="Cambria Math" w:hAnsi="Cambria Math"/>
                <w:sz w:val="22"/>
                <w:szCs w:val="22"/>
                <w:lang w:val="en"/>
              </w:rPr>
            </m:ctrlPr>
          </m:sSubPr>
          <m:e>
            <m:r>
              <m:rPr>
                <m:sty m:val="b"/>
              </m:rPr>
              <w:rPr>
                <w:rFonts w:ascii="Cambria Math" w:hAnsi="Cambria Math"/>
                <w:sz w:val="22"/>
                <w:szCs w:val="22"/>
                <w:lang w:val="en"/>
              </w:rPr>
              <m:t>u</m:t>
            </m:r>
          </m:e>
          <m:sub>
            <m:r>
              <w:rPr>
                <w:rFonts w:ascii="Cambria Math" w:hAnsi="Cambria Math"/>
                <w:sz w:val="22"/>
                <w:szCs w:val="22"/>
                <w:vertAlign w:val="subscript"/>
                <w:lang w:val="en"/>
              </w:rPr>
              <m:t>z</m:t>
            </m:r>
          </m:sub>
        </m:sSub>
      </m:oMath>
      <w:r>
        <w:rPr>
          <w:rFonts w:ascii="Aptos" w:hAnsi="Aptos"/>
          <w:sz w:val="22"/>
          <w:szCs w:val="22"/>
          <w:lang w:val="en"/>
        </w:rPr>
        <w:t xml:space="preserve"> appearing above (26) are not defined.</w:t>
      </w:r>
    </w:p>
    <w:p w14:paraId="3A6A7044"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This has been corrected. </w:t>
      </w:r>
      <w:r>
        <w:rPr>
          <w:rFonts w:ascii="Aptos" w:hAnsi="Aptos"/>
          <w:color w:val="0000FF"/>
          <w:sz w:val="22"/>
          <w:szCs w:val="22"/>
          <w:lang w:val="en"/>
        </w:rPr>
        <w:t xml:space="preserve">In Section IV, immediately before (23), the definition now reads: “where </w:t>
      </w:r>
      <m:oMath>
        <m:sSub>
          <m:sSubPr>
            <m:ctrlPr>
              <w:rPr>
                <w:rFonts w:ascii="Cambria Math" w:hAnsi="Cambria Math"/>
                <w:i/>
                <w:color w:val="0000FF"/>
                <w:sz w:val="22"/>
                <w:szCs w:val="22"/>
                <w:lang w:val="en"/>
              </w:rPr>
            </m:ctrlPr>
          </m:sSubPr>
          <m:e>
            <m:r>
              <m:rPr>
                <m:sty m:val="b"/>
              </m:rPr>
              <w:rPr>
                <w:rStyle w:val="lev"/>
                <w:rFonts w:ascii="Cambria Math" w:hAnsi="Cambria Math"/>
                <w:color w:val="0000FF"/>
                <w:sz w:val="22"/>
                <w:szCs w:val="22"/>
                <w:lang w:val="en"/>
              </w:rPr>
              <m:t>u</m:t>
            </m:r>
          </m:e>
          <m:sub>
            <m:r>
              <w:rPr>
                <w:rFonts w:ascii="Cambria Math" w:hAnsi="Cambria Math"/>
                <w:color w:val="0000FF"/>
                <w:sz w:val="22"/>
                <w:szCs w:val="22"/>
                <w:vertAlign w:val="subscript"/>
                <w:lang w:val="en"/>
              </w:rPr>
              <m:t>x</m:t>
            </m:r>
          </m:sub>
        </m:sSub>
        <m:r>
          <w:rPr>
            <w:rFonts w:ascii="Cambria Math" w:hAnsi="Cambria Math"/>
            <w:color w:val="0000FF"/>
            <w:sz w:val="22"/>
            <w:szCs w:val="22"/>
            <w:lang w:val="en"/>
          </w:rPr>
          <m:t>=</m:t>
        </m:r>
        <m:sSup>
          <m:sSupPr>
            <m:ctrlPr>
              <w:rPr>
                <w:rFonts w:ascii="Cambria Math" w:hAnsi="Cambria Math"/>
                <w:i/>
                <w:color w:val="0000FF"/>
                <w:sz w:val="22"/>
                <w:szCs w:val="22"/>
                <w:lang w:val="en"/>
              </w:rPr>
            </m:ctrlPr>
          </m:sSupPr>
          <m:e>
            <m:d>
              <m:dPr>
                <m:begChr m:val="["/>
                <m:endChr m:val="]"/>
                <m:ctrlPr>
                  <w:rPr>
                    <w:rFonts w:ascii="Cambria Math" w:hAnsi="Cambria Math"/>
                    <w:i/>
                    <w:color w:val="0000FF"/>
                    <w:sz w:val="22"/>
                    <w:szCs w:val="22"/>
                    <w:lang w:val="en"/>
                  </w:rPr>
                </m:ctrlPr>
              </m:dPr>
              <m:e>
                <m:r>
                  <w:rPr>
                    <w:rFonts w:ascii="Cambria Math" w:hAnsi="Cambria Math"/>
                    <w:color w:val="0000FF"/>
                    <w:sz w:val="22"/>
                    <w:szCs w:val="22"/>
                    <w:lang w:val="en"/>
                  </w:rPr>
                  <m:t>1,0,0</m:t>
                </m:r>
              </m:e>
            </m:d>
            <m:ctrlPr>
              <w:rPr>
                <w:rFonts w:ascii="Cambria Math" w:hAnsi="Cambria Math"/>
                <w:i/>
                <w:color w:val="0000FF"/>
                <w:sz w:val="22"/>
                <w:szCs w:val="22"/>
                <w:vertAlign w:val="superscript"/>
                <w:lang w:val="en"/>
              </w:rPr>
            </m:ctrlPr>
          </m:e>
          <m:sup>
            <m:r>
              <w:rPr>
                <w:rFonts w:ascii="Cambria Math" w:hAnsi="Cambria Math"/>
                <w:color w:val="0000FF"/>
                <w:sz w:val="22"/>
                <w:szCs w:val="22"/>
                <w:vertAlign w:val="superscript"/>
                <w:lang w:val="en"/>
              </w:rPr>
              <m:t>T</m:t>
            </m:r>
          </m:sup>
        </m:sSup>
      </m:oMath>
      <w:r>
        <w:rPr>
          <w:rFonts w:ascii="Aptos" w:hAnsi="Aptos"/>
          <w:color w:val="0000FF"/>
          <w:sz w:val="22"/>
          <w:szCs w:val="22"/>
          <w:lang w:val="en"/>
        </w:rPr>
        <w:t xml:space="preserve">, </w:t>
      </w:r>
      <m:oMath>
        <m:sSub>
          <m:sSubPr>
            <m:ctrlPr>
              <w:rPr>
                <w:rFonts w:ascii="Cambria Math" w:hAnsi="Cambria Math"/>
                <w:i/>
                <w:color w:val="0000FF"/>
                <w:sz w:val="22"/>
                <w:szCs w:val="22"/>
                <w:lang w:val="en"/>
              </w:rPr>
            </m:ctrlPr>
          </m:sSubPr>
          <m:e>
            <m:r>
              <m:rPr>
                <m:sty m:val="b"/>
              </m:rPr>
              <w:rPr>
                <w:rStyle w:val="lev"/>
                <w:rFonts w:ascii="Cambria Math" w:hAnsi="Cambria Math"/>
                <w:color w:val="0000FF"/>
                <w:sz w:val="22"/>
                <w:szCs w:val="22"/>
                <w:lang w:val="en"/>
              </w:rPr>
              <m:t>u</m:t>
            </m:r>
          </m:e>
          <m:sub>
            <m:r>
              <w:rPr>
                <w:rFonts w:ascii="Cambria Math" w:hAnsi="Cambria Math"/>
                <w:color w:val="0000FF"/>
                <w:sz w:val="22"/>
                <w:szCs w:val="22"/>
                <w:vertAlign w:val="subscript"/>
                <w:lang w:val="en"/>
              </w:rPr>
              <m:t>y</m:t>
            </m:r>
          </m:sub>
        </m:sSub>
        <m:r>
          <w:rPr>
            <w:rFonts w:ascii="Cambria Math" w:hAnsi="Cambria Math"/>
            <w:color w:val="0000FF"/>
            <w:sz w:val="22"/>
            <w:szCs w:val="22"/>
            <w:lang w:val="en"/>
          </w:rPr>
          <m:t>=</m:t>
        </m:r>
        <m:sSup>
          <m:sSupPr>
            <m:ctrlPr>
              <w:rPr>
                <w:rFonts w:ascii="Cambria Math" w:hAnsi="Cambria Math"/>
                <w:i/>
                <w:color w:val="0000FF"/>
                <w:sz w:val="22"/>
                <w:szCs w:val="22"/>
                <w:lang w:val="en"/>
              </w:rPr>
            </m:ctrlPr>
          </m:sSupPr>
          <m:e>
            <m:d>
              <m:dPr>
                <m:begChr m:val="["/>
                <m:endChr m:val="]"/>
                <m:ctrlPr>
                  <w:rPr>
                    <w:rFonts w:ascii="Cambria Math" w:hAnsi="Cambria Math"/>
                    <w:i/>
                    <w:color w:val="0000FF"/>
                    <w:sz w:val="22"/>
                    <w:szCs w:val="22"/>
                    <w:lang w:val="en"/>
                  </w:rPr>
                </m:ctrlPr>
              </m:dPr>
              <m:e>
                <m:r>
                  <w:rPr>
                    <w:rFonts w:ascii="Cambria Math" w:hAnsi="Cambria Math"/>
                    <w:color w:val="0000FF"/>
                    <w:sz w:val="22"/>
                    <w:szCs w:val="22"/>
                    <w:lang w:val="en"/>
                  </w:rPr>
                  <m:t>0,1,0</m:t>
                </m:r>
              </m:e>
            </m:d>
            <m:ctrlPr>
              <w:rPr>
                <w:rFonts w:ascii="Cambria Math" w:hAnsi="Cambria Math"/>
                <w:i/>
                <w:color w:val="0000FF"/>
                <w:sz w:val="22"/>
                <w:szCs w:val="22"/>
                <w:vertAlign w:val="superscript"/>
                <w:lang w:val="en"/>
              </w:rPr>
            </m:ctrlPr>
          </m:e>
          <m:sup>
            <m:r>
              <w:rPr>
                <w:rFonts w:ascii="Cambria Math" w:hAnsi="Cambria Math"/>
                <w:color w:val="0000FF"/>
                <w:sz w:val="22"/>
                <w:szCs w:val="22"/>
                <w:vertAlign w:val="superscript"/>
                <w:lang w:val="en"/>
              </w:rPr>
              <m:t>T</m:t>
            </m:r>
          </m:sup>
        </m:sSup>
      </m:oMath>
      <w:r>
        <w:rPr>
          <w:rFonts w:ascii="Aptos" w:hAnsi="Aptos"/>
          <w:color w:val="0000FF"/>
          <w:sz w:val="22"/>
          <w:szCs w:val="22"/>
          <w:lang w:val="en"/>
        </w:rPr>
        <w:t xml:space="preserve">, </w:t>
      </w:r>
      <m:oMath>
        <m:sSub>
          <m:sSubPr>
            <m:ctrlPr>
              <w:rPr>
                <w:rFonts w:ascii="Cambria Math" w:hAnsi="Cambria Math"/>
                <w:i/>
                <w:color w:val="0000FF"/>
                <w:sz w:val="22"/>
                <w:szCs w:val="22"/>
                <w:lang w:val="en"/>
              </w:rPr>
            </m:ctrlPr>
          </m:sSubPr>
          <m:e>
            <m:r>
              <m:rPr>
                <m:sty m:val="b"/>
              </m:rPr>
              <w:rPr>
                <w:rStyle w:val="lev"/>
                <w:rFonts w:ascii="Cambria Math" w:hAnsi="Cambria Math"/>
                <w:color w:val="0000FF"/>
                <w:sz w:val="22"/>
                <w:szCs w:val="22"/>
                <w:lang w:val="en"/>
              </w:rPr>
              <m:t>u</m:t>
            </m:r>
          </m:e>
          <m:sub>
            <m:r>
              <w:rPr>
                <w:rFonts w:ascii="Cambria Math" w:hAnsi="Cambria Math"/>
                <w:color w:val="0000FF"/>
                <w:sz w:val="22"/>
                <w:szCs w:val="22"/>
                <w:vertAlign w:val="subscript"/>
                <w:lang w:val="en"/>
              </w:rPr>
              <m:t>z</m:t>
            </m:r>
          </m:sub>
        </m:sSub>
        <m:r>
          <w:rPr>
            <w:rFonts w:ascii="Cambria Math" w:hAnsi="Cambria Math"/>
            <w:color w:val="0000FF"/>
            <w:sz w:val="22"/>
            <w:szCs w:val="22"/>
            <w:lang w:val="en"/>
          </w:rPr>
          <m:t>=</m:t>
        </m:r>
        <m:sSup>
          <m:sSupPr>
            <m:ctrlPr>
              <w:rPr>
                <w:rFonts w:ascii="Cambria Math" w:hAnsi="Cambria Math"/>
                <w:i/>
                <w:color w:val="0000FF"/>
                <w:sz w:val="22"/>
                <w:szCs w:val="22"/>
                <w:lang w:val="en"/>
              </w:rPr>
            </m:ctrlPr>
          </m:sSupPr>
          <m:e>
            <m:d>
              <m:dPr>
                <m:begChr m:val="["/>
                <m:endChr m:val="]"/>
                <m:ctrlPr>
                  <w:rPr>
                    <w:rFonts w:ascii="Cambria Math" w:hAnsi="Cambria Math"/>
                    <w:i/>
                    <w:color w:val="0000FF"/>
                    <w:sz w:val="22"/>
                    <w:szCs w:val="22"/>
                    <w:lang w:val="en"/>
                  </w:rPr>
                </m:ctrlPr>
              </m:dPr>
              <m:e>
                <m:r>
                  <w:rPr>
                    <w:rFonts w:ascii="Cambria Math" w:hAnsi="Cambria Math"/>
                    <w:color w:val="0000FF"/>
                    <w:sz w:val="22"/>
                    <w:szCs w:val="22"/>
                    <w:lang w:val="en"/>
                  </w:rPr>
                  <m:t>0,0,1</m:t>
                </m:r>
              </m:e>
            </m:d>
            <m:ctrlPr>
              <w:rPr>
                <w:rFonts w:ascii="Cambria Math" w:hAnsi="Cambria Math"/>
                <w:i/>
                <w:color w:val="0000FF"/>
                <w:sz w:val="22"/>
                <w:szCs w:val="22"/>
                <w:vertAlign w:val="superscript"/>
                <w:lang w:val="en"/>
              </w:rPr>
            </m:ctrlPr>
          </m:e>
          <m:sup>
            <m:r>
              <w:rPr>
                <w:rFonts w:ascii="Cambria Math" w:hAnsi="Cambria Math"/>
                <w:color w:val="0000FF"/>
                <w:sz w:val="22"/>
                <w:szCs w:val="22"/>
                <w:vertAlign w:val="superscript"/>
                <w:lang w:val="en"/>
              </w:rPr>
              <m:t>T</m:t>
            </m:r>
          </m:sup>
        </m:sSup>
      </m:oMath>
      <w:r>
        <w:rPr>
          <w:rFonts w:ascii="Aptos" w:hAnsi="Aptos"/>
          <w:color w:val="0000FF"/>
          <w:sz w:val="22"/>
          <w:szCs w:val="22"/>
          <w:lang w:val="en"/>
        </w:rPr>
        <w:t xml:space="preserve"> are the standard Cartesian basis vectors”</w:t>
      </w:r>
      <w:r>
        <w:rPr>
          <w:rFonts w:ascii="Aptos" w:hAnsi="Aptos"/>
          <w:sz w:val="22"/>
          <w:szCs w:val="22"/>
          <w:lang w:val="en"/>
        </w:rPr>
        <w:t>.</w:t>
      </w:r>
    </w:p>
    <w:p w14:paraId="2061C602" w14:textId="77777777" w:rsidR="00000000" w:rsidRDefault="00000000">
      <w:pPr>
        <w:pStyle w:val="rc"/>
        <w:numPr>
          <w:ilvl w:val="0"/>
          <w:numId w:val="6"/>
        </w:numPr>
        <w:spacing w:before="0" w:beforeAutospacing="0" w:line="276" w:lineRule="auto"/>
        <w:divId w:val="1499275216"/>
        <w:rPr>
          <w:rFonts w:ascii="Aptos" w:hAnsi="Aptos"/>
          <w:sz w:val="22"/>
          <w:szCs w:val="22"/>
          <w:lang w:val="en"/>
        </w:rPr>
      </w:pPr>
      <w:r>
        <w:rPr>
          <w:rFonts w:ascii="Aptos" w:hAnsi="Aptos"/>
          <w:sz w:val="22"/>
          <w:szCs w:val="22"/>
          <w:lang w:val="en"/>
        </w:rPr>
        <w:t>The derivations of the GLS and WLS estimators are not sufficiently explained, making it difficult to follow the reasoning.</w:t>
      </w:r>
    </w:p>
    <w:p w14:paraId="61F60461"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We added explanatory paragraphs: (</w:t>
      </w:r>
      <w:proofErr w:type="spellStart"/>
      <w:r>
        <w:rPr>
          <w:rFonts w:ascii="Aptos" w:hAnsi="Aptos"/>
          <w:sz w:val="22"/>
          <w:szCs w:val="22"/>
          <w:lang w:val="en"/>
        </w:rPr>
        <w:t>i</w:t>
      </w:r>
      <w:proofErr w:type="spellEnd"/>
      <w:r>
        <w:rPr>
          <w:rFonts w:ascii="Aptos" w:hAnsi="Aptos"/>
          <w:sz w:val="22"/>
          <w:szCs w:val="22"/>
          <w:lang w:val="en"/>
        </w:rPr>
        <w:t xml:space="preserve">) after (30) explaining that the power ratio cancels </w:t>
      </w:r>
      <m:oMath>
        <m:r>
          <w:rPr>
            <w:rFonts w:ascii="Cambria Math" w:hAnsi="Cambria Math"/>
            <w:sz w:val="22"/>
            <w:szCs w:val="22"/>
            <w:lang w:val="en"/>
          </w:rPr>
          <m:t>d</m:t>
        </m:r>
      </m:oMath>
      <w:r>
        <w:rPr>
          <w:rFonts w:ascii="Aptos" w:hAnsi="Aptos"/>
          <w:sz w:val="22"/>
          <w:szCs w:val="22"/>
          <w:lang w:val="en"/>
        </w:rPr>
        <w:t xml:space="preserve"> and </w:t>
      </w:r>
      <m:oMath>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r>
              <w:rPr>
                <w:rFonts w:ascii="Cambria Math" w:hAnsi="Cambria Math"/>
                <w:sz w:val="22"/>
                <w:szCs w:val="22"/>
                <w:lang w:val="en"/>
              </w:rPr>
              <m:t>ψ</m:t>
            </m:r>
          </m:e>
        </m:func>
      </m:oMath>
      <w:r>
        <w:rPr>
          <w:rFonts w:ascii="Aptos" w:hAnsi="Aptos"/>
          <w:sz w:val="22"/>
          <w:szCs w:val="22"/>
          <w:lang w:val="en"/>
        </w:rPr>
        <w:t xml:space="preserve">, yielding </w:t>
      </w:r>
      <m:oMath>
        <m:sSub>
          <m:sSubPr>
            <m:ctrlPr>
              <w:rPr>
                <w:rFonts w:ascii="Cambria Math" w:hAnsi="Cambria Math"/>
                <w:i/>
                <w:sz w:val="22"/>
                <w:szCs w:val="22"/>
                <w:lang w:val="en"/>
              </w:rPr>
            </m:ctrlPr>
          </m:sSubPr>
          <m:e>
            <m:r>
              <w:rPr>
                <w:rFonts w:ascii="Cambria Math" w:hAnsi="Cambria Math"/>
                <w:sz w:val="22"/>
                <w:szCs w:val="22"/>
                <w:lang w:val="en"/>
              </w:rPr>
              <m:t>β</m:t>
            </m:r>
          </m:e>
          <m:sub>
            <m:r>
              <w:rPr>
                <w:rFonts w:ascii="Cambria Math" w:hAnsi="Cambria Math"/>
                <w:sz w:val="22"/>
                <w:szCs w:val="22"/>
                <w:vertAlign w:val="subscript"/>
                <w:lang w:val="en"/>
              </w:rPr>
              <m:t>i</m:t>
            </m:r>
          </m:sub>
        </m:sSub>
        <m:r>
          <w:rPr>
            <w:rFonts w:ascii="Cambria Math" w:hAnsi="Cambria Math"/>
            <w:sz w:val="22"/>
            <w:szCs w:val="22"/>
            <w:lang w:val="en"/>
          </w:rPr>
          <m:t>=</m:t>
        </m:r>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sSub>
              <m:sSubPr>
                <m:ctrlPr>
                  <w:rPr>
                    <w:rFonts w:ascii="Cambria Math" w:hAnsi="Cambria Math"/>
                    <w:i/>
                    <w:sz w:val="22"/>
                    <w:szCs w:val="22"/>
                    <w:lang w:val="en"/>
                  </w:rPr>
                </m:ctrlPr>
              </m:sSubPr>
              <m:e>
                <m:r>
                  <w:rPr>
                    <w:rFonts w:ascii="Cambria Math" w:hAnsi="Cambria Math"/>
                    <w:sz w:val="22"/>
                    <w:szCs w:val="22"/>
                    <w:lang w:val="en"/>
                  </w:rPr>
                  <m:t>ϕ</m:t>
                </m:r>
              </m:e>
              <m:sub>
                <m:r>
                  <w:rPr>
                    <w:rFonts w:ascii="Cambria Math" w:hAnsi="Cambria Math"/>
                    <w:sz w:val="22"/>
                    <w:szCs w:val="22"/>
                    <w:vertAlign w:val="subscript"/>
                    <w:lang w:val="en"/>
                  </w:rPr>
                  <m:t>i</m:t>
                </m:r>
              </m:sub>
            </m:sSub>
          </m:e>
        </m:func>
        <m:r>
          <w:rPr>
            <w:rFonts w:ascii="Cambria Math" w:hAnsi="Cambria Math"/>
            <w:sz w:val="22"/>
            <w:szCs w:val="22"/>
            <w:lang w:val="en"/>
          </w:rPr>
          <m:t>/</m:t>
        </m:r>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sSub>
              <m:sSubPr>
                <m:ctrlPr>
                  <w:rPr>
                    <w:rFonts w:ascii="Cambria Math" w:hAnsi="Cambria Math"/>
                    <w:i/>
                    <w:sz w:val="22"/>
                    <w:szCs w:val="22"/>
                    <w:lang w:val="en"/>
                  </w:rPr>
                </m:ctrlPr>
              </m:sSubPr>
              <m:e>
                <m:r>
                  <w:rPr>
                    <w:rFonts w:ascii="Cambria Math" w:hAnsi="Cambria Math"/>
                    <w:sz w:val="22"/>
                    <w:szCs w:val="22"/>
                    <w:lang w:val="en"/>
                  </w:rPr>
                  <m:t>ϕ</m:t>
                </m:r>
              </m:e>
              <m:sub>
                <m:r>
                  <w:rPr>
                    <w:rFonts w:ascii="Cambria Math" w:hAnsi="Cambria Math"/>
                    <w:sz w:val="22"/>
                    <w:szCs w:val="22"/>
                    <w:vertAlign w:val="subscript"/>
                    <w:lang w:val="en"/>
                  </w:rPr>
                  <m:t>1</m:t>
                </m:r>
              </m:sub>
            </m:sSub>
          </m:e>
        </m:func>
      </m:oMath>
      <w:r>
        <w:rPr>
          <w:rFonts w:ascii="Aptos" w:hAnsi="Aptos"/>
          <w:sz w:val="22"/>
          <w:szCs w:val="22"/>
          <w:lang w:val="en"/>
        </w:rPr>
        <w:t xml:space="preserve"> depending only on LED orientations and displacement direction; (ii) after (32) providing geometric interpretation (each constraint defines a hyperplane through the origin; </w:t>
      </w:r>
      <m:oMath>
        <m:r>
          <w:rPr>
            <w:rFonts w:ascii="Cambria Math" w:hAnsi="Cambria Math"/>
            <w:sz w:val="22"/>
            <w:szCs w:val="22"/>
            <w:lang w:val="en"/>
          </w:rPr>
          <m:t>K-1</m:t>
        </m:r>
      </m:oMath>
      <w:r>
        <w:rPr>
          <w:rFonts w:ascii="Aptos" w:hAnsi="Aptos"/>
          <w:sz w:val="22"/>
          <w:szCs w:val="22"/>
          <w:lang w:val="en"/>
        </w:rPr>
        <w:t xml:space="preserve"> hyperplanes intersect at the true direction); (iii) in Section VI-B explaining when WLS approximates GLS well vs. when full GLS is needed.</w:t>
      </w:r>
    </w:p>
    <w:p w14:paraId="3612EC48"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Explanatory paragraphs have thus been added after (30), (32), and in Section VI-B.</w:t>
      </w:r>
    </w:p>
    <w:p w14:paraId="0EFF6757" w14:textId="77777777" w:rsidR="00000000" w:rsidRDefault="00000000">
      <w:pPr>
        <w:pStyle w:val="rc"/>
        <w:numPr>
          <w:ilvl w:val="0"/>
          <w:numId w:val="1"/>
        </w:numPr>
        <w:spacing w:before="0" w:beforeAutospacing="0" w:line="276" w:lineRule="auto"/>
        <w:divId w:val="1499275216"/>
        <w:rPr>
          <w:rFonts w:ascii="Aptos" w:hAnsi="Aptos"/>
          <w:sz w:val="22"/>
          <w:szCs w:val="22"/>
          <w:lang w:val="en"/>
        </w:rPr>
      </w:pPr>
      <w:r>
        <w:rPr>
          <w:rFonts w:ascii="Aptos" w:hAnsi="Aptos"/>
          <w:sz w:val="22"/>
          <w:szCs w:val="22"/>
          <w:lang w:val="en"/>
        </w:rPr>
        <w:t xml:space="preserve">There is a major inconsistency between the claims in Table I and the system model. Table I states that the receiver orientation is "arbitrary," whereas Section II-A explicitly assumes a fixed receiver orientation, i.e., a single PD with normal vector </w:t>
      </w:r>
      <m:oMath>
        <m:sSub>
          <m:sSubPr>
            <m:ctrlPr>
              <w:rPr>
                <w:rFonts w:ascii="Cambria Math" w:hAnsi="Cambria Math"/>
                <w:sz w:val="22"/>
                <w:szCs w:val="22"/>
                <w:vertAlign w:val="subscript"/>
                <w:lang w:val="en"/>
              </w:rPr>
            </m:ctrlPr>
          </m:sSubPr>
          <m:e>
            <m:r>
              <m:rPr>
                <m:sty m:val="b"/>
              </m:rPr>
              <w:rPr>
                <w:rFonts w:ascii="Cambria Math" w:hAnsi="Cambria Math"/>
                <w:sz w:val="22"/>
                <w:szCs w:val="22"/>
                <w:lang w:val="en"/>
              </w:rPr>
              <m:t>n</m:t>
            </m:r>
            <m:ctrlPr>
              <w:rPr>
                <w:rFonts w:ascii="Cambria Math" w:hAnsi="Cambria Math"/>
                <w:b/>
                <w:bCs/>
                <w:sz w:val="22"/>
                <w:szCs w:val="22"/>
                <w:lang w:val="en"/>
              </w:rPr>
            </m:ctrlPr>
          </m:e>
          <m:sub>
            <m:r>
              <w:rPr>
                <w:rFonts w:ascii="Cambria Math" w:hAnsi="Cambria Math"/>
                <w:sz w:val="22"/>
                <w:szCs w:val="22"/>
                <w:vertAlign w:val="subscript"/>
                <w:lang w:val="en"/>
              </w:rPr>
              <m:t>r</m:t>
            </m:r>
          </m:sub>
        </m:sSub>
        <m:r>
          <w:rPr>
            <w:rFonts w:ascii="Cambria Math" w:hAnsi="Cambria Math"/>
            <w:sz w:val="22"/>
            <w:szCs w:val="22"/>
            <w:lang w:val="en"/>
          </w:rPr>
          <m:t>=</m:t>
        </m:r>
        <m:sSup>
          <m:sSupPr>
            <m:ctrlPr>
              <w:rPr>
                <w:rFonts w:ascii="Cambria Math" w:hAnsi="Cambria Math"/>
                <w:sz w:val="22"/>
                <w:szCs w:val="22"/>
                <w:lang w:val="en"/>
              </w:rPr>
            </m:ctrlPr>
          </m:sSupPr>
          <m:e>
            <m:d>
              <m:dPr>
                <m:begChr m:val="["/>
                <m:endChr m:val="]"/>
                <m:ctrlPr>
                  <w:rPr>
                    <w:rFonts w:ascii="Cambria Math" w:hAnsi="Cambria Math"/>
                    <w:sz w:val="22"/>
                    <w:szCs w:val="22"/>
                    <w:lang w:val="en"/>
                  </w:rPr>
                </m:ctrlPr>
              </m:dPr>
              <m:e>
                <m:r>
                  <w:rPr>
                    <w:rFonts w:ascii="Cambria Math" w:hAnsi="Cambria Math"/>
                    <w:sz w:val="22"/>
                    <w:szCs w:val="22"/>
                    <w:lang w:val="en"/>
                  </w:rPr>
                  <m:t>0,0,1</m:t>
                </m:r>
              </m:e>
            </m:d>
            <m:ctrlPr>
              <w:rPr>
                <w:rFonts w:ascii="Cambria Math" w:hAnsi="Cambria Math"/>
                <w:sz w:val="22"/>
                <w:szCs w:val="22"/>
                <w:vertAlign w:val="superscript"/>
                <w:lang w:val="en"/>
              </w:rPr>
            </m:ctrlPr>
          </m:e>
          <m:sup>
            <m:r>
              <w:rPr>
                <w:rFonts w:ascii="Cambria Math" w:hAnsi="Cambria Math"/>
                <w:sz w:val="22"/>
                <w:szCs w:val="22"/>
                <w:vertAlign w:val="superscript"/>
                <w:lang w:val="en"/>
              </w:rPr>
              <m:t>T</m:t>
            </m:r>
          </m:sup>
        </m:sSup>
      </m:oMath>
      <w:r>
        <w:rPr>
          <w:rFonts w:ascii="Aptos" w:hAnsi="Aptos"/>
          <w:sz w:val="22"/>
          <w:szCs w:val="22"/>
          <w:lang w:val="en"/>
        </w:rPr>
        <w:t xml:space="preserve">. Moreover, the derivations in Eq. (22b) and the subsequent linear estimators rely on a known </w:t>
      </w:r>
      <m:oMath>
        <m:sSub>
          <m:sSubPr>
            <m:ctrlPr>
              <w:rPr>
                <w:rFonts w:ascii="Cambria Math" w:hAnsi="Cambria Math"/>
                <w:sz w:val="22"/>
                <w:szCs w:val="22"/>
                <w:lang w:val="en"/>
              </w:rPr>
            </m:ctrlPr>
          </m:sSubPr>
          <m:e>
            <m:r>
              <m:rPr>
                <m:sty m:val="b"/>
              </m:rPr>
              <w:rPr>
                <w:rFonts w:ascii="Cambria Math" w:hAnsi="Cambria Math"/>
                <w:sz w:val="22"/>
                <w:szCs w:val="22"/>
                <w:lang w:val="en"/>
              </w:rPr>
              <m:t>n</m:t>
            </m:r>
          </m:e>
          <m:sub>
            <m:r>
              <w:rPr>
                <w:rFonts w:ascii="Cambria Math" w:hAnsi="Cambria Math"/>
                <w:sz w:val="22"/>
                <w:szCs w:val="22"/>
                <w:vertAlign w:val="subscript"/>
                <w:lang w:val="en"/>
              </w:rPr>
              <m:t>r</m:t>
            </m:r>
          </m:sub>
        </m:sSub>
      </m:oMath>
      <w:r>
        <w:rPr>
          <w:rFonts w:ascii="Aptos" w:hAnsi="Aptos"/>
          <w:sz w:val="22"/>
          <w:szCs w:val="22"/>
          <w:lang w:val="en"/>
        </w:rPr>
        <w:t>. If the receiver orientation is truly arbitrary (i.e., unknown), the problem becomes a 6-DoF estimation problem, which is not supported by the current formulation or derivations.</w:t>
      </w:r>
    </w:p>
    <w:p w14:paraId="772C3EA2"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We thank the reviewer for this critical observation. The apparent inconsistency arises from two aspects insufficiently distinguished in the original:</w:t>
      </w:r>
    </w:p>
    <w:p w14:paraId="776BB85F" w14:textId="77777777" w:rsidR="00000000" w:rsidRDefault="00000000">
      <w:pPr>
        <w:numPr>
          <w:ilvl w:val="0"/>
          <w:numId w:val="7"/>
        </w:numPr>
        <w:spacing w:after="80" w:line="276" w:lineRule="auto"/>
        <w:ind w:left="714" w:hanging="357"/>
        <w:jc w:val="both"/>
        <w:divId w:val="1499275216"/>
        <w:rPr>
          <w:rFonts w:ascii="Aptos" w:eastAsia="Times New Roman" w:hAnsi="Aptos"/>
          <w:sz w:val="22"/>
          <w:szCs w:val="22"/>
          <w:lang w:val="en"/>
        </w:rPr>
      </w:pPr>
      <m:oMath>
        <m:sSub>
          <m:sSubPr>
            <m:ctrlPr>
              <w:rPr>
                <w:rFonts w:ascii="Cambria Math" w:eastAsia="Times New Roman" w:hAnsi="Cambria Math"/>
                <w:i/>
                <w:sz w:val="22"/>
                <w:szCs w:val="22"/>
                <w:lang w:val="en"/>
              </w:rPr>
            </m:ctrlPr>
          </m:sSubPr>
          <m:e>
            <m:r>
              <m:rPr>
                <m:sty m:val="b"/>
              </m:rPr>
              <w:rPr>
                <w:rStyle w:val="lev"/>
                <w:rFonts w:ascii="Cambria Math" w:eastAsia="Times New Roman" w:hAnsi="Cambria Math"/>
                <w:sz w:val="22"/>
                <w:szCs w:val="22"/>
                <w:lang w:val="en"/>
              </w:rPr>
              <m:t>n</m:t>
            </m:r>
          </m:e>
          <m:sub>
            <m:r>
              <w:rPr>
                <w:rStyle w:val="lev"/>
                <w:rFonts w:ascii="Cambria Math" w:eastAsia="Times New Roman" w:hAnsi="Cambria Math"/>
                <w:sz w:val="22"/>
                <w:szCs w:val="22"/>
                <w:vertAlign w:val="subscript"/>
                <w:lang w:val="en"/>
              </w:rPr>
              <m:t>r</m:t>
            </m:r>
          </m:sub>
        </m:sSub>
        <m:r>
          <w:rPr>
            <w:rStyle w:val="lev"/>
            <w:rFonts w:ascii="Cambria Math" w:eastAsia="Times New Roman" w:hAnsi="Cambria Math"/>
            <w:sz w:val="22"/>
            <w:szCs w:val="22"/>
            <w:lang w:val="en"/>
          </w:rPr>
          <m:t>=</m:t>
        </m:r>
        <m:sSup>
          <m:sSupPr>
            <m:ctrlPr>
              <w:rPr>
                <w:rFonts w:ascii="Cambria Math" w:eastAsia="Times New Roman" w:hAnsi="Cambria Math"/>
                <w:i/>
                <w:sz w:val="22"/>
                <w:szCs w:val="22"/>
                <w:lang w:val="en"/>
              </w:rPr>
            </m:ctrlPr>
          </m:sSupPr>
          <m:e>
            <m:d>
              <m:dPr>
                <m:begChr m:val="["/>
                <m:endChr m:val="]"/>
                <m:ctrlPr>
                  <w:rPr>
                    <w:rFonts w:ascii="Cambria Math" w:eastAsia="Times New Roman" w:hAnsi="Cambria Math"/>
                    <w:i/>
                    <w:sz w:val="22"/>
                    <w:szCs w:val="22"/>
                    <w:lang w:val="en"/>
                  </w:rPr>
                </m:ctrlPr>
              </m:dPr>
              <m:e>
                <m:r>
                  <w:rPr>
                    <w:rStyle w:val="lev"/>
                    <w:rFonts w:ascii="Cambria Math" w:eastAsia="Times New Roman" w:hAnsi="Cambria Math"/>
                    <w:sz w:val="22"/>
                    <w:szCs w:val="22"/>
                    <w:lang w:val="en"/>
                  </w:rPr>
                  <m:t>0,0,1</m:t>
                </m:r>
              </m:e>
            </m:d>
            <m:ctrlPr>
              <w:rPr>
                <w:rFonts w:ascii="Cambria Math" w:eastAsia="Times New Roman" w:hAnsi="Cambria Math"/>
                <w:i/>
                <w:sz w:val="22"/>
                <w:szCs w:val="22"/>
                <w:vertAlign w:val="superscript"/>
                <w:lang w:val="en"/>
              </w:rPr>
            </m:ctrlPr>
          </m:e>
          <m:sup>
            <m:r>
              <w:rPr>
                <w:rStyle w:val="lev"/>
                <w:rFonts w:ascii="Cambria Math" w:eastAsia="Times New Roman" w:hAnsi="Cambria Math"/>
                <w:sz w:val="22"/>
                <w:szCs w:val="22"/>
                <w:vertAlign w:val="superscript"/>
                <w:lang w:val="en"/>
              </w:rPr>
              <m:t>T</m:t>
            </m:r>
          </m:sup>
        </m:sSup>
      </m:oMath>
      <w:r>
        <w:rPr>
          <w:rStyle w:val="lev"/>
          <w:rFonts w:ascii="Aptos" w:eastAsia="Times New Roman" w:hAnsi="Aptos"/>
          <w:sz w:val="22"/>
          <w:szCs w:val="22"/>
          <w:lang w:val="en"/>
        </w:rPr>
        <w:t xml:space="preserve"> is a simulation choice, not a model assumption.</w:t>
      </w:r>
      <w:r>
        <w:rPr>
          <w:rFonts w:ascii="Aptos" w:eastAsia="Times New Roman" w:hAnsi="Aptos"/>
          <w:sz w:val="22"/>
          <w:szCs w:val="22"/>
          <w:lang w:val="en"/>
        </w:rPr>
        <w:t xml:space="preserve"> Section II-A now states: </w:t>
      </w:r>
      <w:r>
        <w:rPr>
          <w:rFonts w:ascii="Aptos" w:eastAsia="Times New Roman" w:hAnsi="Aptos"/>
          <w:color w:val="0000FF"/>
          <w:sz w:val="22"/>
          <w:szCs w:val="22"/>
          <w:lang w:val="en"/>
        </w:rPr>
        <w:t xml:space="preserve">“For concreteness, we set </w:t>
      </w:r>
      <m:oMath>
        <m:sSub>
          <m:sSubPr>
            <m:ctrlPr>
              <w:rPr>
                <w:rFonts w:ascii="Cambria Math" w:eastAsia="Times New Roman" w:hAnsi="Cambria Math"/>
                <w:i/>
                <w:color w:val="0000FF"/>
                <w:sz w:val="22"/>
                <w:szCs w:val="22"/>
                <w:lang w:val="en"/>
              </w:rPr>
            </m:ctrlPr>
          </m:sSubPr>
          <m:e>
            <m:r>
              <m:rPr>
                <m:sty m:val="b"/>
              </m:rPr>
              <w:rPr>
                <w:rStyle w:val="lev"/>
                <w:rFonts w:ascii="Cambria Math" w:eastAsia="Times New Roman" w:hAnsi="Cambria Math"/>
                <w:color w:val="0000FF"/>
                <w:sz w:val="22"/>
                <w:szCs w:val="22"/>
                <w:lang w:val="en"/>
              </w:rPr>
              <m:t>n</m:t>
            </m:r>
          </m:e>
          <m:sub>
            <m:r>
              <w:rPr>
                <w:rStyle w:val="lev"/>
                <w:rFonts w:ascii="Cambria Math" w:eastAsia="Times New Roman" w:hAnsi="Cambria Math"/>
                <w:color w:val="0000FF"/>
                <w:sz w:val="22"/>
                <w:szCs w:val="22"/>
                <w:vertAlign w:val="subscript"/>
                <w:lang w:val="en"/>
              </w:rPr>
              <m:t>r</m:t>
            </m:r>
          </m:sub>
        </m:sSub>
        <m:r>
          <w:rPr>
            <w:rStyle w:val="lev"/>
            <w:rFonts w:ascii="Cambria Math" w:eastAsia="Times New Roman" w:hAnsi="Cambria Math"/>
            <w:color w:val="0000FF"/>
            <w:sz w:val="22"/>
            <w:szCs w:val="22"/>
            <w:lang w:val="en"/>
          </w:rPr>
          <m:t>=</m:t>
        </m:r>
        <m:sSup>
          <m:sSupPr>
            <m:ctrlPr>
              <w:rPr>
                <w:rFonts w:ascii="Cambria Math" w:eastAsia="Times New Roman" w:hAnsi="Cambria Math"/>
                <w:i/>
                <w:color w:val="0000FF"/>
                <w:sz w:val="22"/>
                <w:szCs w:val="22"/>
                <w:lang w:val="en"/>
              </w:rPr>
            </m:ctrlPr>
          </m:sSupPr>
          <m:e>
            <m:d>
              <m:dPr>
                <m:begChr m:val="["/>
                <m:endChr m:val="]"/>
                <m:ctrlPr>
                  <w:rPr>
                    <w:rFonts w:ascii="Cambria Math" w:eastAsia="Times New Roman" w:hAnsi="Cambria Math"/>
                    <w:i/>
                    <w:color w:val="0000FF"/>
                    <w:sz w:val="22"/>
                    <w:szCs w:val="22"/>
                    <w:lang w:val="en"/>
                  </w:rPr>
                </m:ctrlPr>
              </m:dPr>
              <m:e>
                <m:r>
                  <w:rPr>
                    <w:rStyle w:val="lev"/>
                    <w:rFonts w:ascii="Cambria Math" w:eastAsia="Times New Roman" w:hAnsi="Cambria Math"/>
                    <w:color w:val="0000FF"/>
                    <w:sz w:val="22"/>
                    <w:szCs w:val="22"/>
                    <w:lang w:val="en"/>
                  </w:rPr>
                  <m:t>0,0,1</m:t>
                </m:r>
              </m:e>
            </m:d>
            <m:ctrlPr>
              <w:rPr>
                <w:rFonts w:ascii="Cambria Math" w:eastAsia="Times New Roman" w:hAnsi="Cambria Math"/>
                <w:i/>
                <w:color w:val="0000FF"/>
                <w:sz w:val="22"/>
                <w:szCs w:val="22"/>
                <w:vertAlign w:val="superscript"/>
                <w:lang w:val="en"/>
              </w:rPr>
            </m:ctrlPr>
          </m:e>
          <m:sup>
            <m:r>
              <w:rPr>
                <w:rStyle w:val="lev"/>
                <w:rFonts w:ascii="Cambria Math" w:eastAsia="Times New Roman" w:hAnsi="Cambria Math"/>
                <w:color w:val="0000FF"/>
                <w:sz w:val="22"/>
                <w:szCs w:val="22"/>
                <w:vertAlign w:val="superscript"/>
                <w:lang w:val="en"/>
              </w:rPr>
              <m:t>T</m:t>
            </m:r>
          </m:sup>
        </m:sSup>
      </m:oMath>
      <w:r>
        <w:rPr>
          <w:rFonts w:ascii="Aptos" w:eastAsia="Times New Roman" w:hAnsi="Aptos"/>
          <w:color w:val="0000FF"/>
          <w:sz w:val="22"/>
          <w:szCs w:val="22"/>
          <w:lang w:val="en"/>
        </w:rPr>
        <w:t xml:space="preserve"> in the simulations. As shown in Section VI-C, all proposed direction estimators are independent of </w:t>
      </w:r>
      <m:oMath>
        <m:sSub>
          <m:sSubPr>
            <m:ctrlPr>
              <w:rPr>
                <w:rFonts w:ascii="Cambria Math" w:eastAsia="Times New Roman" w:hAnsi="Cambria Math"/>
                <w:i/>
                <w:color w:val="0000FF"/>
                <w:sz w:val="22"/>
                <w:szCs w:val="22"/>
                <w:lang w:val="en"/>
              </w:rPr>
            </m:ctrlPr>
          </m:sSubPr>
          <m:e>
            <m:r>
              <m:rPr>
                <m:sty m:val="b"/>
              </m:rPr>
              <w:rPr>
                <w:rFonts w:ascii="Cambria Math" w:eastAsia="Times New Roman" w:hAnsi="Cambria Math"/>
                <w:color w:val="0000FF"/>
                <w:sz w:val="22"/>
                <w:szCs w:val="22"/>
                <w:lang w:val="en"/>
              </w:rPr>
              <m:t>n</m:t>
            </m:r>
            <m:ctrlPr>
              <w:rPr>
                <w:rFonts w:ascii="Cambria Math" w:eastAsia="Times New Roman" w:hAnsi="Cambria Math"/>
                <w:b/>
                <w:bCs/>
                <w:iCs/>
                <w:color w:val="0000FF"/>
                <w:sz w:val="22"/>
                <w:szCs w:val="22"/>
                <w:lang w:val="en"/>
              </w:rPr>
            </m:ctrlPr>
          </m:e>
          <m:sub>
            <m:r>
              <w:rPr>
                <w:rFonts w:ascii="Cambria Math" w:eastAsia="Times New Roman" w:hAnsi="Cambria Math"/>
                <w:color w:val="0000FF"/>
                <w:sz w:val="22"/>
                <w:szCs w:val="22"/>
                <w:vertAlign w:val="subscript"/>
                <w:lang w:val="en"/>
              </w:rPr>
              <m:t>r</m:t>
            </m:r>
          </m:sub>
        </m:sSub>
      </m:oMath>
      <w:r>
        <w:rPr>
          <w:rFonts w:ascii="Aptos" w:eastAsia="Times New Roman" w:hAnsi="Aptos"/>
          <w:color w:val="0000FF"/>
          <w:sz w:val="22"/>
          <w:szCs w:val="22"/>
          <w:lang w:val="en"/>
        </w:rPr>
        <w:t>; therefore, the direction-finding results hold for any receiver orientation”</w:t>
      </w:r>
      <w:r>
        <w:rPr>
          <w:rFonts w:ascii="Aptos" w:eastAsia="Times New Roman" w:hAnsi="Aptos"/>
          <w:sz w:val="22"/>
          <w:szCs w:val="22"/>
          <w:lang w:val="en"/>
        </w:rPr>
        <w:t>.</w:t>
      </w:r>
    </w:p>
    <w:p w14:paraId="7A8D0786" w14:textId="77777777" w:rsidR="00000000" w:rsidRDefault="00000000">
      <w:pPr>
        <w:numPr>
          <w:ilvl w:val="0"/>
          <w:numId w:val="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 xml:space="preserve">The direction-finding stage is provably </w:t>
      </w:r>
      <m:oMath>
        <m:sSub>
          <m:sSubPr>
            <m:ctrlPr>
              <w:rPr>
                <w:rFonts w:ascii="Cambria Math" w:eastAsia="Times New Roman" w:hAnsi="Cambria Math"/>
                <w:i/>
                <w:sz w:val="22"/>
                <w:szCs w:val="22"/>
                <w:lang w:val="en"/>
              </w:rPr>
            </m:ctrlPr>
          </m:sSubPr>
          <m:e>
            <m:r>
              <m:rPr>
                <m:sty m:val="b"/>
              </m:rPr>
              <w:rPr>
                <w:rStyle w:val="lev"/>
                <w:rFonts w:ascii="Cambria Math" w:eastAsia="Times New Roman" w:hAnsi="Cambria Math"/>
                <w:sz w:val="22"/>
                <w:szCs w:val="22"/>
                <w:lang w:val="en"/>
              </w:rPr>
              <m:t>n</m:t>
            </m:r>
          </m:e>
          <m:sub>
            <m:r>
              <w:rPr>
                <w:rStyle w:val="lev"/>
                <w:rFonts w:ascii="Cambria Math" w:eastAsia="Times New Roman" w:hAnsi="Cambria Math"/>
                <w:sz w:val="22"/>
                <w:szCs w:val="22"/>
                <w:vertAlign w:val="subscript"/>
                <w:lang w:val="en"/>
              </w:rPr>
              <m:t>r</m:t>
            </m:r>
          </m:sub>
        </m:sSub>
      </m:oMath>
      <w:r>
        <w:rPr>
          <w:rStyle w:val="lev"/>
          <w:rFonts w:ascii="Aptos" w:eastAsia="Times New Roman" w:hAnsi="Aptos"/>
          <w:sz w:val="22"/>
          <w:szCs w:val="22"/>
          <w:lang w:val="en"/>
        </w:rPr>
        <w:t>-independent.</w:t>
      </w:r>
      <w:r>
        <w:rPr>
          <w:rFonts w:ascii="Aptos" w:eastAsia="Times New Roman" w:hAnsi="Aptos"/>
          <w:sz w:val="22"/>
          <w:szCs w:val="22"/>
          <w:lang w:val="en"/>
        </w:rPr>
        <w:t xml:space="preserve"> A new Section VI-C (“Receiver-Orientation Independence”) formally proves this: </w:t>
      </w:r>
    </w:p>
    <w:p w14:paraId="0F6698FE" w14:textId="77777777" w:rsidR="00000000" w:rsidRDefault="00000000">
      <w:pPr>
        <w:numPr>
          <w:ilvl w:val="1"/>
          <w:numId w:val="7"/>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 xml:space="preserve">For GLS/WLS: the power ratios </w:t>
      </w:r>
      <m:oMath>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β</m:t>
            </m:r>
          </m:e>
          <m:sub>
            <m:r>
              <w:rPr>
                <w:rFonts w:ascii="Cambria Math" w:eastAsia="Times New Roman" w:hAnsi="Cambria Math"/>
                <w:sz w:val="22"/>
                <w:szCs w:val="22"/>
                <w:vertAlign w:val="subscript"/>
                <w:lang w:val="en"/>
              </w:rPr>
              <m:t>i</m:t>
            </m:r>
          </m:sub>
        </m:sSub>
        <m:r>
          <w:rPr>
            <w:rFonts w:ascii="Cambria Math" w:eastAsia="Times New Roman" w:hAnsi="Cambria Math"/>
            <w:sz w:val="22"/>
            <w:szCs w:val="22"/>
            <w:lang w:val="en"/>
          </w:rPr>
          <m:t>=</m:t>
        </m:r>
        <m:sSup>
          <m:sSupPr>
            <m:ctrlPr>
              <w:rPr>
                <w:rFonts w:ascii="Cambria Math" w:eastAsia="Times New Roman" w:hAnsi="Cambria Math"/>
                <w:i/>
                <w:sz w:val="22"/>
                <w:szCs w:val="22"/>
                <w:lang w:val="en"/>
              </w:rPr>
            </m:ctrlPr>
          </m:sSupPr>
          <m:e>
            <m:d>
              <m:dPr>
                <m:ctrlPr>
                  <w:rPr>
                    <w:rFonts w:ascii="Cambria Math" w:eastAsia="Times New Roman" w:hAnsi="Cambria Math"/>
                    <w:i/>
                    <w:sz w:val="22"/>
                    <w:szCs w:val="22"/>
                    <w:lang w:val="en"/>
                  </w:rPr>
                </m:ctrlPr>
              </m:dPr>
              <m:e>
                <m:f>
                  <m:fPr>
                    <m:ctrlPr>
                      <w:rPr>
                        <w:rFonts w:ascii="Cambria Math" w:eastAsia="Times New Roman" w:hAnsi="Cambria Math"/>
                        <w:i/>
                        <w:sz w:val="22"/>
                        <w:szCs w:val="22"/>
                        <w:lang w:val="en"/>
                      </w:rPr>
                    </m:ctrlPr>
                  </m:fPr>
                  <m:num>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μ</m:t>
                        </m:r>
                      </m:e>
                      <m:sub>
                        <m:r>
                          <w:rPr>
                            <w:rFonts w:ascii="Cambria Math" w:eastAsia="Times New Roman" w:hAnsi="Cambria Math"/>
                            <w:sz w:val="22"/>
                            <w:szCs w:val="22"/>
                            <w:vertAlign w:val="subscript"/>
                            <w:lang w:val="en"/>
                          </w:rPr>
                          <m:t>i</m:t>
                        </m:r>
                      </m:sub>
                    </m:sSub>
                  </m:num>
                  <m:den>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μ</m:t>
                        </m:r>
                      </m:e>
                      <m:sub>
                        <m:r>
                          <w:rPr>
                            <w:rFonts w:ascii="Cambria Math" w:eastAsia="Times New Roman" w:hAnsi="Cambria Math"/>
                            <w:sz w:val="22"/>
                            <w:szCs w:val="22"/>
                            <w:vertAlign w:val="subscript"/>
                            <w:lang w:val="en"/>
                          </w:rPr>
                          <m:t>1</m:t>
                        </m:r>
                      </m:sub>
                    </m:sSub>
                  </m:den>
                </m:f>
              </m:e>
            </m:d>
          </m:e>
          <m:sup>
            <m:r>
              <w:rPr>
                <w:rFonts w:ascii="Cambria Math" w:eastAsia="Times New Roman" w:hAnsi="Cambria Math"/>
                <w:sz w:val="22"/>
                <w:szCs w:val="22"/>
                <w:lang w:val="en"/>
              </w:rPr>
              <m:t>1/m</m:t>
            </m:r>
          </m:sup>
        </m:sSup>
        <m:r>
          <w:rPr>
            <w:rFonts w:ascii="Cambria Math" w:eastAsia="Times New Roman" w:hAnsi="Cambria Math"/>
            <w:sz w:val="22"/>
            <w:szCs w:val="22"/>
            <w:lang w:val="en"/>
          </w:rPr>
          <m:t>=</m:t>
        </m:r>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Q</m:t>
            </m:r>
          </m:e>
          <m:sub>
            <m:r>
              <w:rPr>
                <w:rFonts w:ascii="Cambria Math" w:eastAsia="Times New Roman" w:hAnsi="Cambria Math"/>
                <w:sz w:val="22"/>
                <w:szCs w:val="22"/>
                <w:vertAlign w:val="subscript"/>
                <w:lang w:val="en"/>
              </w:rPr>
              <m:t>i</m:t>
            </m:r>
          </m:sub>
        </m:sSub>
        <m:r>
          <w:rPr>
            <w:rFonts w:ascii="Cambria Math" w:eastAsia="Times New Roman" w:hAnsi="Cambria Math"/>
            <w:sz w:val="22"/>
            <w:szCs w:val="22"/>
            <w:lang w:val="en"/>
          </w:rPr>
          <m:t>/</m:t>
        </m:r>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Q</m:t>
            </m:r>
          </m:e>
          <m:sub>
            <m:r>
              <w:rPr>
                <w:rFonts w:ascii="Cambria Math" w:eastAsia="Times New Roman" w:hAnsi="Cambria Math"/>
                <w:sz w:val="22"/>
                <w:szCs w:val="22"/>
                <w:vertAlign w:val="subscript"/>
                <w:lang w:val="en"/>
              </w:rPr>
              <m:t>1</m:t>
            </m:r>
          </m:sub>
        </m:sSub>
      </m:oMath>
      <w:r>
        <w:rPr>
          <w:rFonts w:ascii="Aptos" w:eastAsia="Times New Roman" w:hAnsi="Aptos"/>
          <w:sz w:val="22"/>
          <w:szCs w:val="22"/>
          <w:lang w:val="en"/>
        </w:rPr>
        <w:t xml:space="preserve"> cancel the common factor </w:t>
      </w:r>
      <m:oMath>
        <m:r>
          <w:rPr>
            <w:rFonts w:ascii="Cambria Math" w:eastAsia="Times New Roman" w:hAnsi="Cambria Math"/>
            <w:sz w:val="22"/>
            <w:szCs w:val="22"/>
            <w:lang w:val="en"/>
          </w:rPr>
          <m:t>η=C·</m:t>
        </m:r>
        <m:func>
          <m:funcPr>
            <m:ctrlPr>
              <w:rPr>
                <w:rFonts w:ascii="Cambria Math" w:eastAsia="Times New Roman" w:hAnsi="Cambria Math"/>
                <w:i/>
                <w:sz w:val="22"/>
                <w:szCs w:val="22"/>
                <w:lang w:val="en"/>
              </w:rPr>
            </m:ctrlPr>
          </m:funcPr>
          <m:fName>
            <m:r>
              <m:rPr>
                <m:sty m:val="p"/>
              </m:rPr>
              <w:rPr>
                <w:rFonts w:ascii="Cambria Math" w:eastAsia="Times New Roman" w:hAnsi="Cambria Math"/>
                <w:sz w:val="22"/>
                <w:szCs w:val="22"/>
                <w:lang w:val="en"/>
              </w:rPr>
              <m:t>cos</m:t>
            </m:r>
          </m:fName>
          <m:e>
            <m:r>
              <w:rPr>
                <w:rFonts w:ascii="Cambria Math" w:eastAsia="Times New Roman" w:hAnsi="Cambria Math"/>
                <w:sz w:val="22"/>
                <w:szCs w:val="22"/>
                <w:lang w:val="en"/>
              </w:rPr>
              <m:t>ψ</m:t>
            </m:r>
          </m:e>
        </m:func>
        <m:r>
          <w:rPr>
            <w:rFonts w:ascii="Cambria Math" w:eastAsia="Times New Roman" w:hAnsi="Cambria Math"/>
            <w:sz w:val="22"/>
            <w:szCs w:val="22"/>
            <w:lang w:val="en"/>
          </w:rPr>
          <m:t>/d²</m:t>
        </m:r>
      </m:oMath>
      <w:r>
        <w:rPr>
          <w:rFonts w:ascii="Aptos" w:eastAsia="Times New Roman" w:hAnsi="Aptos"/>
          <w:sz w:val="22"/>
          <w:szCs w:val="22"/>
          <w:lang w:val="en"/>
        </w:rPr>
        <w:t xml:space="preserve"> exactly. Since </w:t>
      </w:r>
      <m:oMath>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a</m:t>
            </m:r>
          </m:e>
          <m:sub>
            <m:r>
              <w:rPr>
                <w:rFonts w:ascii="Cambria Math" w:eastAsia="Times New Roman" w:hAnsi="Cambria Math"/>
                <w:sz w:val="22"/>
                <w:szCs w:val="22"/>
                <w:vertAlign w:val="subscript"/>
                <w:lang w:val="en"/>
              </w:rPr>
              <m:t>i</m:t>
            </m:r>
          </m:sub>
        </m:sSub>
      </m:oMath>
      <w:r>
        <w:rPr>
          <w:rFonts w:ascii="Aptos" w:eastAsia="Times New Roman" w:hAnsi="Aptos"/>
          <w:sz w:val="22"/>
          <w:szCs w:val="22"/>
          <w:lang w:val="en"/>
        </w:rPr>
        <w:t xml:space="preserve">, </w:t>
      </w:r>
      <m:oMath>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Σ</m:t>
            </m:r>
          </m:e>
          <m:sub>
            <m:r>
              <w:rPr>
                <w:rFonts w:ascii="Cambria Math" w:eastAsia="Times New Roman" w:hAnsi="Cambria Math"/>
                <w:sz w:val="22"/>
                <w:szCs w:val="22"/>
                <w:vertAlign w:val="subscript"/>
                <w:lang w:val="en"/>
              </w:rPr>
              <m:t>β</m:t>
            </m:r>
          </m:sub>
        </m:sSub>
      </m:oMath>
      <w:r>
        <w:rPr>
          <w:rFonts w:ascii="Aptos" w:eastAsia="Times New Roman" w:hAnsi="Aptos"/>
          <w:sz w:val="22"/>
          <w:szCs w:val="22"/>
          <w:lang w:val="en"/>
        </w:rPr>
        <w:t xml:space="preserve">, </w:t>
      </w:r>
      <m:oMath>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M</m:t>
            </m:r>
          </m:e>
          <m:sub>
            <m:r>
              <m:rPr>
                <m:sty m:val="p"/>
              </m:rPr>
              <w:rPr>
                <w:rFonts w:ascii="Cambria Math" w:eastAsia="Times New Roman" w:hAnsi="Cambria Math"/>
                <w:sz w:val="22"/>
                <w:szCs w:val="22"/>
                <w:vertAlign w:val="subscript"/>
                <w:lang w:val="en"/>
              </w:rPr>
              <m:t>GLS</m:t>
            </m:r>
          </m:sub>
        </m:sSub>
      </m:oMath>
      <w:r>
        <w:rPr>
          <w:rFonts w:ascii="Aptos" w:eastAsia="Times New Roman" w:hAnsi="Aptos"/>
          <w:sz w:val="22"/>
          <w:szCs w:val="22"/>
          <w:lang w:val="en"/>
        </w:rPr>
        <w:t xml:space="preserve">, and </w:t>
      </w:r>
      <m:oMath>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M</m:t>
            </m:r>
          </m:e>
          <m:sub>
            <m:r>
              <m:rPr>
                <m:sty m:val="p"/>
              </m:rPr>
              <w:rPr>
                <w:rFonts w:ascii="Cambria Math" w:eastAsia="Times New Roman" w:hAnsi="Cambria Math"/>
                <w:sz w:val="22"/>
                <w:szCs w:val="22"/>
                <w:vertAlign w:val="subscript"/>
                <w:lang w:val="en"/>
              </w:rPr>
              <m:t>WLS</m:t>
            </m:r>
          </m:sub>
        </m:sSub>
      </m:oMath>
      <w:r>
        <w:rPr>
          <w:rFonts w:ascii="Aptos" w:eastAsia="Times New Roman" w:hAnsi="Aptos"/>
          <w:sz w:val="22"/>
          <w:szCs w:val="22"/>
          <w:lang w:val="en"/>
        </w:rPr>
        <w:t xml:space="preserve"> depend only on </w:t>
      </w:r>
      <m:oMath>
        <m:r>
          <w:rPr>
            <w:rFonts w:ascii="Cambria Math" w:eastAsia="Times New Roman" w:hAnsi="Cambria Math"/>
            <w:sz w:val="22"/>
            <w:szCs w:val="22"/>
            <w:lang w:val="en"/>
          </w:rPr>
          <m:t>{</m:t>
        </m:r>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β</m:t>
            </m:r>
          </m:e>
          <m:sub>
            <m:r>
              <w:rPr>
                <w:rFonts w:ascii="Cambria Math" w:eastAsia="Times New Roman" w:hAnsi="Cambria Math"/>
                <w:sz w:val="22"/>
                <w:szCs w:val="22"/>
                <w:vertAlign w:val="subscript"/>
                <w:lang w:val="en"/>
              </w:rPr>
              <m:t>i</m:t>
            </m:r>
          </m:sub>
        </m:sSub>
        <m:r>
          <w:rPr>
            <w:rFonts w:ascii="Cambria Math" w:eastAsia="Times New Roman" w:hAnsi="Cambria Math"/>
            <w:sz w:val="22"/>
            <w:szCs w:val="22"/>
            <w:lang w:val="en"/>
          </w:rPr>
          <m:t>}</m:t>
        </m:r>
      </m:oMath>
      <w:r>
        <w:rPr>
          <w:rFonts w:ascii="Aptos" w:eastAsia="Times New Roman" w:hAnsi="Aptos"/>
          <w:sz w:val="22"/>
          <w:szCs w:val="22"/>
          <w:lang w:val="en"/>
        </w:rPr>
        <w:t xml:space="preserve"> and </w:t>
      </w:r>
      <m:oMath>
        <m:r>
          <w:rPr>
            <w:rFonts w:ascii="Cambria Math" w:eastAsia="Times New Roman" w:hAnsi="Cambria Math"/>
            <w:sz w:val="22"/>
            <w:szCs w:val="22"/>
            <w:lang w:val="en"/>
          </w:rPr>
          <m:t>{</m:t>
        </m:r>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n</m:t>
            </m:r>
          </m:e>
          <m:sub>
            <m:r>
              <w:rPr>
                <w:rFonts w:ascii="Cambria Math" w:eastAsia="Times New Roman" w:hAnsi="Cambria Math"/>
                <w:sz w:val="22"/>
                <w:szCs w:val="22"/>
                <w:vertAlign w:val="subscript"/>
                <w:lang w:val="en"/>
              </w:rPr>
              <m:t>t,i</m:t>
            </m:r>
          </m:sub>
        </m:sSub>
        <m:r>
          <w:rPr>
            <w:rFonts w:ascii="Cambria Math" w:eastAsia="Times New Roman" w:hAnsi="Cambria Math"/>
            <w:sz w:val="22"/>
            <w:szCs w:val="22"/>
            <w:lang w:val="en"/>
          </w:rPr>
          <m:t>}</m:t>
        </m:r>
      </m:oMath>
      <w:r>
        <w:rPr>
          <w:rFonts w:ascii="Aptos" w:eastAsia="Times New Roman" w:hAnsi="Aptos"/>
          <w:sz w:val="22"/>
          <w:szCs w:val="22"/>
          <w:lang w:val="en"/>
        </w:rPr>
        <w:t xml:space="preserve">, the estimates are </w:t>
      </w:r>
      <m:oMath>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n</m:t>
            </m:r>
          </m:e>
          <m:sub>
            <m:r>
              <w:rPr>
                <w:rFonts w:ascii="Cambria Math" w:eastAsia="Times New Roman" w:hAnsi="Cambria Math"/>
                <w:sz w:val="22"/>
                <w:szCs w:val="22"/>
                <w:vertAlign w:val="subscript"/>
                <w:lang w:val="en"/>
              </w:rPr>
              <m:t>r</m:t>
            </m:r>
          </m:sub>
        </m:sSub>
      </m:oMath>
      <w:r>
        <w:rPr>
          <w:rFonts w:ascii="Aptos" w:eastAsia="Times New Roman" w:hAnsi="Aptos"/>
          <w:sz w:val="22"/>
          <w:szCs w:val="22"/>
          <w:lang w:val="en"/>
        </w:rPr>
        <w:t>-independent.</w:t>
      </w:r>
    </w:p>
    <w:p w14:paraId="6E07FEBE" w14:textId="77777777" w:rsidR="00000000" w:rsidRDefault="00000000">
      <w:pPr>
        <w:numPr>
          <w:ilvl w:val="1"/>
          <w:numId w:val="7"/>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lastRenderedPageBreak/>
        <w:t xml:space="preserve">For NLS: the normalized targets </w:t>
      </w:r>
      <m:oMath>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p</m:t>
            </m:r>
          </m:e>
          <m:sub>
            <m:r>
              <w:rPr>
                <w:rFonts w:ascii="Cambria Math" w:eastAsia="Times New Roman" w:hAnsi="Cambria Math"/>
                <w:sz w:val="22"/>
                <w:szCs w:val="22"/>
                <w:vertAlign w:val="subscript"/>
                <w:lang w:val="en"/>
              </w:rPr>
              <m:t>i</m:t>
            </m:r>
          </m:sub>
        </m:sSub>
        <m:r>
          <w:rPr>
            <w:rFonts w:ascii="Cambria Math" w:eastAsia="Times New Roman" w:hAnsi="Cambria Math"/>
            <w:sz w:val="22"/>
            <w:szCs w:val="22"/>
            <w:lang w:val="en"/>
          </w:rPr>
          <m:t>=</m:t>
        </m:r>
        <m:sSubSup>
          <m:sSubSupPr>
            <m:ctrlPr>
              <w:rPr>
                <w:rFonts w:ascii="Cambria Math" w:eastAsia="Times New Roman" w:hAnsi="Cambria Math"/>
                <w:i/>
                <w:sz w:val="22"/>
                <w:szCs w:val="22"/>
                <w:vertAlign w:val="superscript"/>
                <w:lang w:val="en"/>
              </w:rPr>
            </m:ctrlPr>
          </m:sSubSupPr>
          <m:e>
            <m:r>
              <w:rPr>
                <w:rFonts w:ascii="Cambria Math" w:eastAsia="Times New Roman" w:hAnsi="Cambria Math"/>
                <w:sz w:val="22"/>
                <w:szCs w:val="22"/>
                <w:lang w:val="en"/>
              </w:rPr>
              <m:t>Q</m:t>
            </m:r>
            <m:ctrlPr>
              <w:rPr>
                <w:rFonts w:ascii="Cambria Math" w:eastAsia="Times New Roman" w:hAnsi="Cambria Math"/>
                <w:i/>
                <w:sz w:val="22"/>
                <w:szCs w:val="22"/>
                <w:lang w:val="en"/>
              </w:rPr>
            </m:ctrlPr>
          </m:e>
          <m:sub>
            <m:r>
              <w:rPr>
                <w:rFonts w:ascii="Cambria Math" w:eastAsia="Times New Roman" w:hAnsi="Cambria Math"/>
                <w:sz w:val="22"/>
                <w:szCs w:val="22"/>
                <w:vertAlign w:val="subscript"/>
                <w:lang w:val="en"/>
              </w:rPr>
              <m:t>i</m:t>
            </m:r>
            <m:ctrlPr>
              <w:rPr>
                <w:rFonts w:ascii="Cambria Math" w:eastAsia="Times New Roman" w:hAnsi="Cambria Math"/>
                <w:i/>
                <w:sz w:val="22"/>
                <w:szCs w:val="22"/>
                <w:vertAlign w:val="subscript"/>
                <w:lang w:val="en"/>
              </w:rPr>
            </m:ctrlPr>
          </m:sub>
          <m:sup>
            <m:r>
              <w:rPr>
                <w:rFonts w:ascii="Cambria Math" w:eastAsia="Times New Roman" w:hAnsi="Cambria Math"/>
                <w:sz w:val="22"/>
                <w:szCs w:val="22"/>
                <w:vertAlign w:val="superscript"/>
                <w:lang w:val="en"/>
              </w:rPr>
              <m:t>m</m:t>
            </m:r>
          </m:sup>
        </m:sSubSup>
        <m:r>
          <w:rPr>
            <w:rFonts w:ascii="Cambria Math" w:eastAsia="Times New Roman" w:hAnsi="Cambria Math"/>
            <w:sz w:val="22"/>
            <w:szCs w:val="22"/>
            <w:lang w:val="en"/>
          </w:rPr>
          <m:t>/</m:t>
        </m:r>
        <m:sSubSup>
          <m:sSubSupPr>
            <m:ctrlPr>
              <w:rPr>
                <w:rFonts w:ascii="Cambria Math" w:eastAsia="Times New Roman" w:hAnsi="Cambria Math"/>
                <w:sz w:val="22"/>
                <w:szCs w:val="22"/>
                <w:vertAlign w:val="subscript"/>
                <w:lang w:val="en"/>
              </w:rPr>
            </m:ctrlPr>
          </m:sSubSupPr>
          <m:e>
            <m:r>
              <w:rPr>
                <w:rFonts w:ascii="Cambria Math" w:eastAsia="Times New Roman" w:hAnsi="Cambria Math"/>
                <w:sz w:val="22"/>
                <w:szCs w:val="22"/>
                <w:lang w:val="en"/>
              </w:rPr>
              <m:t>Q</m:t>
            </m:r>
            <m:ctrlPr>
              <w:rPr>
                <w:rFonts w:ascii="Cambria Math" w:eastAsia="Times New Roman" w:hAnsi="Cambria Math"/>
                <w:i/>
                <w:sz w:val="22"/>
                <w:szCs w:val="22"/>
                <w:lang w:val="en"/>
              </w:rPr>
            </m:ctrlPr>
          </m:e>
          <m:sub>
            <m:r>
              <m:rPr>
                <m:sty m:val="p"/>
              </m:rPr>
              <w:rPr>
                <w:rFonts w:ascii="Cambria Math" w:eastAsia="Times New Roman" w:hAnsi="Cambria Math"/>
                <w:sz w:val="22"/>
                <w:szCs w:val="22"/>
                <w:lang w:val="en"/>
              </w:rPr>
              <m:t>max</m:t>
            </m:r>
            <m:ctrlPr>
              <w:rPr>
                <w:rFonts w:ascii="Cambria Math" w:eastAsia="Times New Roman" w:hAnsi="Cambria Math"/>
                <w:i/>
                <w:sz w:val="22"/>
                <w:szCs w:val="22"/>
                <w:lang w:val="en"/>
              </w:rPr>
            </m:ctrlPr>
          </m:sub>
          <m:sup>
            <m:r>
              <w:rPr>
                <w:rFonts w:ascii="Cambria Math" w:eastAsia="Times New Roman" w:hAnsi="Cambria Math"/>
                <w:sz w:val="22"/>
                <w:szCs w:val="22"/>
                <w:vertAlign w:val="superscript"/>
                <w:lang w:val="en"/>
              </w:rPr>
              <m:t>m</m:t>
            </m:r>
          </m:sup>
        </m:sSubSup>
      </m:oMath>
      <w:r>
        <w:rPr>
          <w:rFonts w:ascii="Aptos" w:eastAsia="Times New Roman" w:hAnsi="Aptos"/>
          <w:sz w:val="22"/>
          <w:szCs w:val="22"/>
          <w:lang w:val="en"/>
        </w:rPr>
        <w:t xml:space="preserve"> cancel </w:t>
      </w:r>
      <m:oMath>
        <m:r>
          <w:rPr>
            <w:rFonts w:ascii="Cambria Math" w:eastAsia="Times New Roman" w:hAnsi="Cambria Math"/>
            <w:sz w:val="22"/>
            <w:szCs w:val="22"/>
            <w:lang w:val="en"/>
          </w:rPr>
          <m:t>η</m:t>
        </m:r>
      </m:oMath>
      <w:r>
        <w:rPr>
          <w:rFonts w:ascii="Aptos" w:eastAsia="Times New Roman" w:hAnsi="Aptos"/>
          <w:sz w:val="22"/>
          <w:szCs w:val="22"/>
          <w:lang w:val="en"/>
        </w:rPr>
        <w:t xml:space="preserve"> through the free scale parameter.</w:t>
      </w:r>
    </w:p>
    <w:p w14:paraId="43C4C140" w14:textId="77777777" w:rsidR="00000000" w:rsidRDefault="00000000">
      <w:pPr>
        <w:numPr>
          <w:ilvl w:val="0"/>
          <w:numId w:val="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The problem is not 6-DoF.</w:t>
      </w:r>
      <w:r>
        <w:rPr>
          <w:rFonts w:ascii="Aptos" w:eastAsia="Times New Roman" w:hAnsi="Aptos"/>
          <w:sz w:val="22"/>
          <w:szCs w:val="22"/>
          <w:lang w:val="en"/>
        </w:rPr>
        <w:t xml:space="preserve"> Because ratio-based formulations eliminate all receiver-dependent factors, direction finding estimates only 2 </w:t>
      </w:r>
      <w:proofErr w:type="spellStart"/>
      <w:r>
        <w:rPr>
          <w:rFonts w:ascii="Aptos" w:eastAsia="Times New Roman" w:hAnsi="Aptos"/>
          <w:sz w:val="22"/>
          <w:szCs w:val="22"/>
          <w:lang w:val="en"/>
        </w:rPr>
        <w:t>DoF</w:t>
      </w:r>
      <w:proofErr w:type="spellEnd"/>
      <w:r>
        <w:rPr>
          <w:rFonts w:ascii="Aptos" w:eastAsia="Times New Roman" w:hAnsi="Aptos"/>
          <w:sz w:val="22"/>
          <w:szCs w:val="22"/>
          <w:lang w:val="en"/>
        </w:rPr>
        <w:t xml:space="preserve"> (direction on </w:t>
      </w:r>
      <m:oMath>
        <m:r>
          <m:rPr>
            <m:scr m:val="double-struck"/>
          </m:rPr>
          <w:rPr>
            <w:rFonts w:ascii="Cambria Math" w:eastAsia="Times New Roman" w:hAnsi="Cambria Math"/>
            <w:sz w:val="22"/>
            <w:szCs w:val="22"/>
            <w:lang w:val="en"/>
          </w:rPr>
          <m:t>S</m:t>
        </m:r>
      </m:oMath>
      <w:r>
        <w:rPr>
          <w:rFonts w:ascii="Aptos" w:eastAsia="Times New Roman" w:hAnsi="Aptos"/>
          <w:sz w:val="22"/>
          <w:szCs w:val="22"/>
          <w:lang w:val="en"/>
        </w:rPr>
        <w:t>²). The receiver orientation need not be estimated.</w:t>
      </w:r>
    </w:p>
    <w:p w14:paraId="6E368266" w14:textId="77777777" w:rsidR="00000000" w:rsidRDefault="00000000">
      <w:pPr>
        <w:numPr>
          <w:ilvl w:val="0"/>
          <w:numId w:val="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Numerical validation (Section VII-A-2):</w:t>
      </w:r>
      <w:r>
        <w:rPr>
          <w:rFonts w:ascii="Aptos" w:eastAsia="Times New Roman" w:hAnsi="Aptos"/>
          <w:sz w:val="22"/>
          <w:szCs w:val="22"/>
          <w:lang w:val="en"/>
        </w:rPr>
        <w:t xml:space="preserve"> Monte Carlo under random tilts (half-normal </w:t>
      </w:r>
      <m:oMath>
        <m:r>
          <w:rPr>
            <w:rFonts w:ascii="Cambria Math" w:eastAsia="Times New Roman" w:hAnsi="Cambria Math"/>
            <w:sz w:val="22"/>
            <w:szCs w:val="22"/>
            <w:lang w:val="en"/>
          </w:rPr>
          <m:t>σ=</m:t>
        </m:r>
      </m:oMath>
      <w:r>
        <w:rPr>
          <w:rFonts w:ascii="Aptos" w:eastAsia="Times New Roman" w:hAnsi="Aptos"/>
          <w:sz w:val="22"/>
          <w:szCs w:val="22"/>
          <w:lang w:val="en"/>
        </w:rPr>
        <w:t xml:space="preserve"> 5°, max </w:t>
      </w:r>
      <m:oMath>
        <m:r>
          <w:rPr>
            <w:rFonts w:ascii="Cambria Math" w:eastAsia="Times New Roman" w:hAnsi="Cambria Math"/>
            <w:sz w:val="22"/>
            <w:szCs w:val="22"/>
            <w:lang w:val="en"/>
          </w:rPr>
          <m:t>=</m:t>
        </m:r>
      </m:oMath>
      <w:r>
        <w:rPr>
          <w:rFonts w:ascii="Aptos" w:eastAsia="Times New Roman" w:hAnsi="Aptos"/>
          <w:sz w:val="22"/>
          <w:szCs w:val="22"/>
          <w:lang w:val="en"/>
        </w:rPr>
        <w:t xml:space="preserve"> 30°) confirms all estimators degrade by less than 3% (Table V, Fig. 6).</w:t>
      </w:r>
    </w:p>
    <w:p w14:paraId="3C356E34"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Section II-A has thus been updated, and Section VI-C has been added with formal proof. Table I has also nee, updated with two-row entry (Arbitrary/Controlled) and footnote. Finally, Section VII-A-2 provides Monte Carlo validation.</w:t>
      </w:r>
    </w:p>
    <w:p w14:paraId="68D19123"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The tilt-azimuth pairs do not explicitly appear in the system model, and their relationship with the CRLB is unclear. Consequently, it is not evident how these angles are optimized using GA.</w:t>
      </w:r>
    </w:p>
    <w:p w14:paraId="4AB9DA29"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The connection is now explicit through the following chain: (</w:t>
      </w:r>
      <w:proofErr w:type="spellStart"/>
      <w:r>
        <w:rPr>
          <w:rFonts w:ascii="Aptos" w:hAnsi="Aptos"/>
          <w:sz w:val="22"/>
          <w:szCs w:val="22"/>
          <w:lang w:val="en"/>
        </w:rPr>
        <w:t>i</w:t>
      </w:r>
      <w:proofErr w:type="spellEnd"/>
      <w:r>
        <w:rPr>
          <w:rFonts w:ascii="Aptos" w:hAnsi="Aptos"/>
          <w:sz w:val="22"/>
          <w:szCs w:val="22"/>
          <w:lang w:val="en"/>
        </w:rPr>
        <w:t xml:space="preserve">) (23) maps </w:t>
      </w:r>
      <m:oMath>
        <m:r>
          <w:rPr>
            <w:rFonts w:ascii="Cambria Math" w:hAnsi="Cambria Math"/>
            <w:sz w:val="22"/>
            <w:szCs w:val="22"/>
            <w:lang w:val="en"/>
          </w:rPr>
          <m:t>(</m:t>
        </m:r>
        <m:sSub>
          <m:sSubPr>
            <m:ctrlPr>
              <w:rPr>
                <w:rFonts w:ascii="Cambria Math" w:hAnsi="Cambria Math"/>
                <w:i/>
                <w:sz w:val="22"/>
                <w:szCs w:val="22"/>
                <w:lang w:val="en"/>
              </w:rPr>
            </m:ctrlPr>
          </m:sSubPr>
          <m:e>
            <m:r>
              <w:rPr>
                <w:rFonts w:ascii="Cambria Math" w:hAnsi="Cambria Math"/>
                <w:sz w:val="22"/>
                <w:szCs w:val="22"/>
                <w:lang w:val="en"/>
              </w:rPr>
              <m:t>θ</m:t>
            </m:r>
          </m:e>
          <m:sub>
            <m:r>
              <w:rPr>
                <w:rFonts w:ascii="Cambria Math" w:hAnsi="Cambria Math"/>
                <w:sz w:val="22"/>
                <w:szCs w:val="22"/>
                <w:vertAlign w:val="subscript"/>
                <w:lang w:val="en"/>
              </w:rPr>
              <m:t>i</m:t>
            </m:r>
          </m:sub>
        </m:sSub>
        <m:r>
          <w:rPr>
            <w:rFonts w:ascii="Cambria Math" w:hAnsi="Cambria Math"/>
            <w:sz w:val="22"/>
            <w:szCs w:val="22"/>
            <w:lang w:val="en"/>
          </w:rPr>
          <m:t>,</m:t>
        </m:r>
        <m:sSub>
          <m:sSubPr>
            <m:ctrlPr>
              <w:rPr>
                <w:rFonts w:ascii="Cambria Math" w:hAnsi="Cambria Math"/>
                <w:i/>
                <w:sz w:val="22"/>
                <w:szCs w:val="22"/>
                <w:lang w:val="en"/>
              </w:rPr>
            </m:ctrlPr>
          </m:sSubPr>
          <m:e>
            <m:r>
              <w:rPr>
                <w:rFonts w:ascii="Cambria Math" w:hAnsi="Cambria Math"/>
                <w:sz w:val="22"/>
                <w:szCs w:val="22"/>
                <w:lang w:val="en"/>
              </w:rPr>
              <m:t>φ</m:t>
            </m:r>
          </m:e>
          <m:sub>
            <m:r>
              <w:rPr>
                <w:rFonts w:ascii="Cambria Math" w:hAnsi="Cambria Math"/>
                <w:sz w:val="22"/>
                <w:szCs w:val="22"/>
                <w:vertAlign w:val="subscript"/>
                <w:lang w:val="en"/>
              </w:rPr>
              <m:t>i</m:t>
            </m:r>
          </m:sub>
        </m:sSub>
        <m:r>
          <w:rPr>
            <w:rFonts w:ascii="Cambria Math" w:hAnsi="Cambria Math"/>
            <w:sz w:val="22"/>
            <w:szCs w:val="22"/>
            <w:lang w:val="en"/>
          </w:rPr>
          <m:t>)</m:t>
        </m:r>
      </m:oMath>
      <w:r>
        <w:rPr>
          <w:rFonts w:ascii="Aptos" w:hAnsi="Aptos"/>
          <w:sz w:val="22"/>
          <w:szCs w:val="22"/>
          <w:lang w:val="en"/>
        </w:rPr>
        <w:t xml:space="preserve"> to </w:t>
      </w:r>
      <m:oMath>
        <m:sSub>
          <m:sSubPr>
            <m:ctrlPr>
              <w:rPr>
                <w:rFonts w:ascii="Cambria Math" w:hAnsi="Cambria Math"/>
                <w:i/>
                <w:sz w:val="22"/>
                <w:szCs w:val="22"/>
                <w:lang w:val="en"/>
              </w:rPr>
            </m:ctrlPr>
          </m:sSubPr>
          <m:e>
            <m:r>
              <m:rPr>
                <m:sty m:val="b"/>
              </m:rPr>
              <w:rPr>
                <w:rFonts w:ascii="Cambria Math" w:hAnsi="Cambria Math"/>
                <w:sz w:val="22"/>
                <w:szCs w:val="22"/>
                <w:lang w:val="en"/>
              </w:rPr>
              <m:t>n</m:t>
            </m:r>
          </m:e>
          <m:sub>
            <m:r>
              <w:rPr>
                <w:rFonts w:ascii="Cambria Math" w:hAnsi="Cambria Math"/>
                <w:sz w:val="22"/>
                <w:szCs w:val="22"/>
                <w:lang w:val="en"/>
              </w:rPr>
              <m:t>t,i</m:t>
            </m:r>
          </m:sub>
        </m:sSub>
      </m:oMath>
      <w:r>
        <w:rPr>
          <w:rFonts w:ascii="Aptos" w:hAnsi="Aptos"/>
          <w:sz w:val="22"/>
          <w:szCs w:val="22"/>
          <w:lang w:val="en"/>
        </w:rPr>
        <w:t xml:space="preserve">; (ii) the FIM (15)-(16) depends on </w:t>
      </w:r>
      <m:oMath>
        <m:r>
          <w:rPr>
            <w:rFonts w:ascii="Cambria Math" w:hAnsi="Cambria Math"/>
            <w:sz w:val="22"/>
            <w:szCs w:val="22"/>
            <w:lang w:val="en"/>
          </w:rPr>
          <m:t>{</m:t>
        </m:r>
        <m:sSub>
          <m:sSubPr>
            <m:ctrlPr>
              <w:rPr>
                <w:rFonts w:ascii="Cambria Math" w:hAnsi="Cambria Math"/>
                <w:i/>
                <w:sz w:val="22"/>
                <w:szCs w:val="22"/>
                <w:lang w:val="en"/>
              </w:rPr>
            </m:ctrlPr>
          </m:sSubPr>
          <m:e>
            <m:r>
              <m:rPr>
                <m:sty m:val="b"/>
              </m:rPr>
              <w:rPr>
                <w:rFonts w:ascii="Cambria Math" w:hAnsi="Cambria Math"/>
                <w:sz w:val="22"/>
                <w:szCs w:val="22"/>
                <w:lang w:val="en"/>
              </w:rPr>
              <m:t>n</m:t>
            </m:r>
          </m:e>
          <m:sub>
            <m:r>
              <w:rPr>
                <w:rFonts w:ascii="Cambria Math" w:hAnsi="Cambria Math"/>
                <w:sz w:val="22"/>
                <w:szCs w:val="22"/>
                <w:vertAlign w:val="subscript"/>
                <w:lang w:val="en"/>
              </w:rPr>
              <m:t>t,i</m:t>
            </m:r>
          </m:sub>
        </m:sSub>
        <m:r>
          <w:rPr>
            <w:rFonts w:ascii="Cambria Math" w:hAnsi="Cambria Math"/>
            <w:sz w:val="22"/>
            <w:szCs w:val="22"/>
            <w:lang w:val="en"/>
          </w:rPr>
          <m:t>}</m:t>
        </m:r>
      </m:oMath>
      <w:r>
        <w:rPr>
          <w:rFonts w:ascii="Aptos" w:hAnsi="Aptos"/>
          <w:sz w:val="22"/>
          <w:szCs w:val="22"/>
          <w:lang w:val="en"/>
        </w:rPr>
        <w:t xml:space="preserve"> through </w:t>
      </w:r>
      <m:oMath>
        <m:sSub>
          <m:sSubPr>
            <m:ctrlPr>
              <w:rPr>
                <w:rFonts w:ascii="Cambria Math" w:hAnsi="Cambria Math"/>
                <w:i/>
                <w:sz w:val="22"/>
                <w:szCs w:val="22"/>
                <w:lang w:val="en"/>
              </w:rPr>
            </m:ctrlPr>
          </m:sSubPr>
          <m:e>
            <m:r>
              <w:rPr>
                <w:rFonts w:ascii="Cambria Math" w:hAnsi="Cambria Math"/>
                <w:sz w:val="22"/>
                <w:szCs w:val="22"/>
                <w:lang w:val="en"/>
              </w:rPr>
              <m:t>Q</m:t>
            </m:r>
          </m:e>
          <m:sub>
            <m:r>
              <w:rPr>
                <w:rFonts w:ascii="Cambria Math" w:hAnsi="Cambria Math"/>
                <w:sz w:val="22"/>
                <w:szCs w:val="22"/>
                <w:vertAlign w:val="subscript"/>
                <w:lang w:val="en"/>
              </w:rPr>
              <m:t>i</m:t>
            </m:r>
          </m:sub>
        </m:sSub>
        <m:r>
          <w:rPr>
            <w:rFonts w:ascii="Cambria Math" w:hAnsi="Cambria Math"/>
            <w:sz w:val="22"/>
            <w:szCs w:val="22"/>
            <w:lang w:val="en"/>
          </w:rPr>
          <m:t>=</m:t>
        </m:r>
        <m:sSub>
          <m:sSubPr>
            <m:ctrlPr>
              <w:rPr>
                <w:rFonts w:ascii="Cambria Math" w:hAnsi="Cambria Math"/>
                <w:i/>
                <w:sz w:val="22"/>
                <w:szCs w:val="22"/>
                <w:lang w:val="en"/>
              </w:rPr>
            </m:ctrlPr>
          </m:sSubPr>
          <m:e>
            <m:r>
              <m:rPr>
                <m:sty m:val="b"/>
              </m:rPr>
              <w:rPr>
                <w:rFonts w:ascii="Cambria Math" w:hAnsi="Cambria Math"/>
                <w:sz w:val="22"/>
                <w:szCs w:val="22"/>
                <w:lang w:val="en"/>
              </w:rPr>
              <m:t>n</m:t>
            </m:r>
          </m:e>
          <m:sub>
            <m:r>
              <w:rPr>
                <w:rFonts w:ascii="Cambria Math" w:hAnsi="Cambria Math"/>
                <w:sz w:val="22"/>
                <w:szCs w:val="22"/>
                <w:vertAlign w:val="subscript"/>
                <w:lang w:val="en"/>
              </w:rPr>
              <m:t>t,i</m:t>
            </m:r>
          </m:sub>
        </m:sSub>
        <m:r>
          <w:rPr>
            <w:rFonts w:ascii="Cambria Math" w:hAnsi="Cambria Math"/>
            <w:sz w:val="22"/>
            <w:szCs w:val="22"/>
            <w:lang w:val="en"/>
          </w:rPr>
          <m:t>·</m:t>
        </m:r>
        <m:sSub>
          <m:sSubPr>
            <m:ctrlPr>
              <w:rPr>
                <w:rFonts w:ascii="Cambria Math" w:hAnsi="Cambria Math"/>
                <w:i/>
                <w:sz w:val="22"/>
                <w:szCs w:val="22"/>
                <w:lang w:val="en"/>
              </w:rPr>
            </m:ctrlPr>
          </m:sSubPr>
          <m:e>
            <m:r>
              <m:rPr>
                <m:sty m:val="b"/>
              </m:rPr>
              <w:rPr>
                <w:rFonts w:ascii="Cambria Math" w:hAnsi="Cambria Math"/>
                <w:sz w:val="22"/>
                <w:szCs w:val="22"/>
                <w:lang w:val="en"/>
              </w:rPr>
              <m:t>n</m:t>
            </m:r>
          </m:e>
          <m:sub>
            <m:r>
              <w:rPr>
                <w:rFonts w:ascii="Cambria Math" w:hAnsi="Cambria Math"/>
                <w:sz w:val="22"/>
                <w:szCs w:val="22"/>
                <w:vertAlign w:val="subscript"/>
                <w:lang w:val="en"/>
              </w:rPr>
              <m:t>d</m:t>
            </m:r>
          </m:sub>
        </m:sSub>
      </m:oMath>
      <w:r>
        <w:rPr>
          <w:rFonts w:ascii="Aptos" w:hAnsi="Aptos"/>
          <w:sz w:val="22"/>
          <w:szCs w:val="22"/>
          <w:lang w:val="en"/>
        </w:rPr>
        <w:t xml:space="preserve">; (iii) the DEB (18) is obtained via the Schur complement of the FIM; (iv) the GA objective (22) minimizes the RMSE of the DEB with decision vector </w:t>
      </w:r>
      <m:oMath>
        <m:r>
          <w:rPr>
            <w:rFonts w:ascii="Cambria Math" w:hAnsi="Cambria Math"/>
            <w:sz w:val="22"/>
            <w:szCs w:val="22"/>
            <w:lang w:val="en"/>
          </w:rPr>
          <m:t>x=</m:t>
        </m:r>
        <m:sSup>
          <m:sSupPr>
            <m:ctrlPr>
              <w:rPr>
                <w:rFonts w:ascii="Cambria Math" w:hAnsi="Cambria Math"/>
                <w:i/>
                <w:sz w:val="22"/>
                <w:szCs w:val="22"/>
                <w:lang w:val="en"/>
              </w:rPr>
            </m:ctrlPr>
          </m:sSupPr>
          <m:e>
            <m:d>
              <m:dPr>
                <m:begChr m:val="["/>
                <m:endChr m:val="]"/>
                <m:ctrlPr>
                  <w:rPr>
                    <w:rFonts w:ascii="Cambria Math" w:hAnsi="Cambria Math"/>
                    <w:i/>
                    <w:sz w:val="22"/>
                    <w:szCs w:val="22"/>
                    <w:lang w:val="en"/>
                  </w:rPr>
                </m:ctrlPr>
              </m:dPr>
              <m:e>
                <m:sSub>
                  <m:sSubPr>
                    <m:ctrlPr>
                      <w:rPr>
                        <w:rFonts w:ascii="Cambria Math" w:hAnsi="Cambria Math"/>
                        <w:i/>
                        <w:sz w:val="22"/>
                        <w:szCs w:val="22"/>
                        <w:lang w:val="en"/>
                      </w:rPr>
                    </m:ctrlPr>
                  </m:sSubPr>
                  <m:e>
                    <m:r>
                      <w:rPr>
                        <w:rFonts w:ascii="Cambria Math" w:hAnsi="Cambria Math"/>
                        <w:sz w:val="22"/>
                        <w:szCs w:val="22"/>
                        <w:lang w:val="en"/>
                      </w:rPr>
                      <m:t>θ</m:t>
                    </m:r>
                  </m:e>
                  <m:sub>
                    <m:r>
                      <w:rPr>
                        <w:rFonts w:ascii="Cambria Math" w:hAnsi="Cambria Math"/>
                        <w:sz w:val="22"/>
                        <w:szCs w:val="22"/>
                        <w:vertAlign w:val="subscript"/>
                        <w:lang w:val="en"/>
                      </w:rPr>
                      <m:t>1</m:t>
                    </m:r>
                  </m:sub>
                </m:sSub>
                <m:r>
                  <w:rPr>
                    <w:rFonts w:ascii="Cambria Math" w:hAnsi="Cambria Math"/>
                    <w:sz w:val="22"/>
                    <w:szCs w:val="22"/>
                    <w:lang w:val="en"/>
                  </w:rPr>
                  <m:t>,</m:t>
                </m:r>
                <m:sSub>
                  <m:sSubPr>
                    <m:ctrlPr>
                      <w:rPr>
                        <w:rFonts w:ascii="Cambria Math" w:hAnsi="Cambria Math"/>
                        <w:i/>
                        <w:sz w:val="22"/>
                        <w:szCs w:val="22"/>
                        <w:lang w:val="en"/>
                      </w:rPr>
                    </m:ctrlPr>
                  </m:sSubPr>
                  <m:e>
                    <m:r>
                      <w:rPr>
                        <w:rFonts w:ascii="Cambria Math" w:hAnsi="Cambria Math"/>
                        <w:sz w:val="22"/>
                        <w:szCs w:val="22"/>
                        <w:lang w:val="en"/>
                      </w:rPr>
                      <m:t>φ</m:t>
                    </m:r>
                  </m:e>
                  <m:sub>
                    <m:r>
                      <w:rPr>
                        <w:rFonts w:ascii="Cambria Math" w:hAnsi="Cambria Math"/>
                        <w:sz w:val="22"/>
                        <w:szCs w:val="22"/>
                        <w:vertAlign w:val="subscript"/>
                        <w:lang w:val="en"/>
                      </w:rPr>
                      <m:t>1</m:t>
                    </m:r>
                  </m:sub>
                </m:sSub>
                <m:r>
                  <w:rPr>
                    <w:rFonts w:ascii="Cambria Math" w:hAnsi="Cambria Math"/>
                    <w:sz w:val="22"/>
                    <w:szCs w:val="22"/>
                    <w:lang w:val="en"/>
                  </w:rPr>
                  <m:t>,...,</m:t>
                </m:r>
                <m:sSub>
                  <m:sSubPr>
                    <m:ctrlPr>
                      <w:rPr>
                        <w:rFonts w:ascii="Cambria Math" w:hAnsi="Cambria Math"/>
                        <w:i/>
                        <w:sz w:val="22"/>
                        <w:szCs w:val="22"/>
                        <w:lang w:val="en"/>
                      </w:rPr>
                    </m:ctrlPr>
                  </m:sSubPr>
                  <m:e>
                    <m:r>
                      <w:rPr>
                        <w:rFonts w:ascii="Cambria Math" w:hAnsi="Cambria Math"/>
                        <w:sz w:val="22"/>
                        <w:szCs w:val="22"/>
                        <w:lang w:val="en"/>
                      </w:rPr>
                      <m:t>θ</m:t>
                    </m:r>
                  </m:e>
                  <m:sub>
                    <m:r>
                      <w:rPr>
                        <w:rFonts w:ascii="Cambria Math" w:hAnsi="Cambria Math"/>
                        <w:sz w:val="22"/>
                        <w:szCs w:val="22"/>
                        <w:vertAlign w:val="subscript"/>
                        <w:lang w:val="en"/>
                      </w:rPr>
                      <m:t>K</m:t>
                    </m:r>
                  </m:sub>
                </m:sSub>
                <m:r>
                  <w:rPr>
                    <w:rFonts w:ascii="Cambria Math" w:hAnsi="Cambria Math"/>
                    <w:sz w:val="22"/>
                    <w:szCs w:val="22"/>
                    <w:lang w:val="en"/>
                  </w:rPr>
                  <m:t>,</m:t>
                </m:r>
                <m:sSub>
                  <m:sSubPr>
                    <m:ctrlPr>
                      <w:rPr>
                        <w:rFonts w:ascii="Cambria Math" w:hAnsi="Cambria Math"/>
                        <w:i/>
                        <w:sz w:val="22"/>
                        <w:szCs w:val="22"/>
                        <w:lang w:val="en"/>
                      </w:rPr>
                    </m:ctrlPr>
                  </m:sSubPr>
                  <m:e>
                    <m:r>
                      <w:rPr>
                        <w:rFonts w:ascii="Cambria Math" w:hAnsi="Cambria Math"/>
                        <w:sz w:val="22"/>
                        <w:szCs w:val="22"/>
                        <w:lang w:val="en"/>
                      </w:rPr>
                      <m:t>φ</m:t>
                    </m:r>
                  </m:e>
                  <m:sub>
                    <m:r>
                      <w:rPr>
                        <w:rFonts w:ascii="Cambria Math" w:hAnsi="Cambria Math"/>
                        <w:sz w:val="22"/>
                        <w:szCs w:val="22"/>
                        <w:vertAlign w:val="subscript"/>
                        <w:lang w:val="en"/>
                      </w:rPr>
                      <m:t>K</m:t>
                    </m:r>
                  </m:sub>
                </m:sSub>
              </m:e>
            </m:d>
            <m:ctrlPr>
              <w:rPr>
                <w:rFonts w:ascii="Cambria Math" w:hAnsi="Cambria Math"/>
                <w:i/>
                <w:sz w:val="22"/>
                <w:szCs w:val="22"/>
                <w:vertAlign w:val="superscript"/>
                <w:lang w:val="en"/>
              </w:rPr>
            </m:ctrlPr>
          </m:e>
          <m:sup>
            <m:r>
              <w:rPr>
                <w:rFonts w:ascii="Cambria Math" w:hAnsi="Cambria Math"/>
                <w:sz w:val="22"/>
                <w:szCs w:val="22"/>
                <w:vertAlign w:val="superscript"/>
                <w:lang w:val="en"/>
              </w:rPr>
              <m:t>T</m:t>
            </m:r>
          </m:sup>
        </m:sSup>
      </m:oMath>
      <w:r>
        <w:rPr>
          <w:rFonts w:ascii="Aptos" w:hAnsi="Aptos"/>
          <w:sz w:val="22"/>
          <w:szCs w:val="22"/>
          <w:lang w:val="en"/>
        </w:rPr>
        <w:t>. Table II summarizes all parameters including search ranges.</w:t>
      </w:r>
    </w:p>
    <w:p w14:paraId="56F326B1" w14:textId="0E4307B6"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The effectiveness of this optimization is demonstrated quantitatively: Table III reports seven DEB-optimized orientation sets (</w:t>
      </w:r>
      <m:oMath>
        <m:r>
          <w:rPr>
            <w:rFonts w:ascii="Cambria Math" w:hAnsi="Cambria Math"/>
            <w:sz w:val="22"/>
            <w:szCs w:val="22"/>
            <w:lang w:val="en"/>
          </w:rPr>
          <m:t>K=</m:t>
        </m:r>
      </m:oMath>
      <w:r>
        <w:rPr>
          <w:rFonts w:ascii="Aptos" w:hAnsi="Aptos"/>
          <w:sz w:val="22"/>
          <w:szCs w:val="22"/>
          <w:lang w:val="en"/>
        </w:rPr>
        <w:t xml:space="preserve"> 3 to 9), with the RMS-DEB decreasing monotonically from 1.30° (</w:t>
      </w:r>
      <m:oMath>
        <m:r>
          <w:rPr>
            <w:rFonts w:ascii="Cambria Math" w:hAnsi="Cambria Math"/>
            <w:sz w:val="22"/>
            <w:szCs w:val="22"/>
            <w:lang w:val="en"/>
          </w:rPr>
          <m:t>K=</m:t>
        </m:r>
      </m:oMath>
      <w:r w:rsidR="00A33911">
        <w:rPr>
          <w:rFonts w:ascii="Aptos" w:hAnsi="Aptos"/>
          <w:sz w:val="22"/>
          <w:szCs w:val="22"/>
          <w:lang w:val="en"/>
        </w:rPr>
        <w:t xml:space="preserve"> </w:t>
      </w:r>
      <w:r>
        <w:rPr>
          <w:rFonts w:ascii="Aptos" w:hAnsi="Aptos"/>
          <w:sz w:val="22"/>
          <w:szCs w:val="22"/>
          <w:lang w:val="en"/>
        </w:rPr>
        <w:t>3) to 0.52° (</w:t>
      </w:r>
      <m:oMath>
        <m:r>
          <w:rPr>
            <w:rFonts w:ascii="Cambria Math" w:hAnsi="Cambria Math"/>
            <w:sz w:val="22"/>
            <w:szCs w:val="22"/>
            <w:lang w:val="en"/>
          </w:rPr>
          <m:t>K=</m:t>
        </m:r>
      </m:oMath>
      <w:r>
        <w:rPr>
          <w:rFonts w:ascii="Aptos" w:hAnsi="Aptos"/>
          <w:sz w:val="22"/>
          <w:szCs w:val="22"/>
          <w:lang w:val="en"/>
        </w:rPr>
        <w:t xml:space="preserve"> 5) to 0.36° (</w:t>
      </w:r>
      <m:oMath>
        <m:r>
          <w:rPr>
            <w:rFonts w:ascii="Cambria Math" w:hAnsi="Cambria Math"/>
            <w:sz w:val="22"/>
            <w:szCs w:val="22"/>
            <w:lang w:val="en"/>
          </w:rPr>
          <m:t>K=</m:t>
        </m:r>
      </m:oMath>
      <w:r>
        <w:rPr>
          <w:rFonts w:ascii="Aptos" w:hAnsi="Aptos"/>
          <w:sz w:val="22"/>
          <w:szCs w:val="22"/>
          <w:lang w:val="en"/>
        </w:rPr>
        <w:t xml:space="preserve"> 9). Figure 2 further validates the GA by comparing each optimized set against 50 random realizations per </w:t>
      </w:r>
      <m:oMath>
        <m:r>
          <w:rPr>
            <w:rFonts w:ascii="Cambria Math" w:hAnsi="Cambria Math"/>
            <w:sz w:val="22"/>
            <w:szCs w:val="22"/>
            <w:lang w:val="en"/>
          </w:rPr>
          <m:t>K</m:t>
        </m:r>
      </m:oMath>
      <w:r>
        <w:rPr>
          <w:rFonts w:ascii="Aptos" w:hAnsi="Aptos"/>
          <w:sz w:val="22"/>
          <w:szCs w:val="22"/>
          <w:lang w:val="en"/>
        </w:rPr>
        <w:t xml:space="preserve"> value, showing that the GA reduces the median DEB by 49%–72% across all </w:t>
      </w:r>
      <m:oMath>
        <m:r>
          <w:rPr>
            <w:rFonts w:ascii="Cambria Math" w:hAnsi="Cambria Math"/>
            <w:sz w:val="22"/>
            <w:szCs w:val="22"/>
            <w:lang w:val="en"/>
          </w:rPr>
          <m:t>K</m:t>
        </m:r>
      </m:oMath>
      <w:r>
        <w:rPr>
          <w:rFonts w:ascii="Aptos" w:hAnsi="Aptos"/>
          <w:sz w:val="22"/>
          <w:szCs w:val="22"/>
          <w:lang w:val="en"/>
        </w:rPr>
        <w:t>, with consistently tighter interquartile ranges. Figure 3 provides spatial heat maps confirming that the optimized set yields uniform, low-error coverage, whereas random orientations produce irregular and larger error patterns.</w:t>
      </w:r>
    </w:p>
    <w:p w14:paraId="49203F4C"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Section IV now includes (22) with an explicit objective function. Table III reports all optimized sets with achieved RMS-DEB (when </w:t>
      </w:r>
      <m:oMath>
        <m:sSub>
          <m:sSubPr>
            <m:ctrlPr>
              <w:rPr>
                <w:rFonts w:ascii="Cambria Math" w:hAnsi="Cambria Math"/>
                <w:i/>
                <w:sz w:val="22"/>
                <w:szCs w:val="22"/>
                <w:lang w:val="en"/>
              </w:rPr>
            </m:ctrlPr>
          </m:sSubPr>
          <m:e>
            <m:r>
              <m:rPr>
                <m:sty m:val="p"/>
              </m:rPr>
              <w:rPr>
                <w:rFonts w:ascii="Cambria Math" w:hAnsi="Cambria Math"/>
                <w:sz w:val="22"/>
                <w:szCs w:val="22"/>
                <w:lang w:val="en"/>
              </w:rPr>
              <m:t>Φ</m:t>
            </m:r>
            <m:ctrlPr>
              <w:rPr>
                <w:rFonts w:ascii="Cambria Math" w:hAnsi="Cambria Math"/>
                <w:sz w:val="22"/>
                <w:szCs w:val="22"/>
                <w:lang w:val="en"/>
              </w:rPr>
            </m:ctrlPr>
          </m:e>
          <m:sub>
            <m:r>
              <w:rPr>
                <w:rFonts w:ascii="Cambria Math" w:hAnsi="Cambria Math"/>
                <w:sz w:val="22"/>
                <w:szCs w:val="22"/>
                <w:lang w:val="en"/>
              </w:rPr>
              <m:t>1/2</m:t>
            </m:r>
          </m:sub>
        </m:sSub>
        <m:r>
          <w:rPr>
            <w:rFonts w:ascii="Cambria Math" w:hAnsi="Cambria Math"/>
            <w:sz w:val="22"/>
            <w:szCs w:val="22"/>
            <w:lang w:val="en"/>
          </w:rPr>
          <m:t>=</m:t>
        </m:r>
      </m:oMath>
      <w:r>
        <w:rPr>
          <w:rFonts w:ascii="Aptos" w:hAnsi="Aptos"/>
          <w:sz w:val="22"/>
          <w:szCs w:val="22"/>
          <w:lang w:val="en"/>
        </w:rPr>
        <w:t xml:space="preserve"> 45°). Finally, Figs. 2–3 provide statistical and spatial validation.</w:t>
      </w:r>
    </w:p>
    <w:p w14:paraId="75292F22"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The orientation set optimization involves 2</w:t>
      </w:r>
      <m:oMath>
        <m:r>
          <w:rPr>
            <w:rFonts w:ascii="Cambria Math" w:hAnsi="Cambria Math"/>
            <w:sz w:val="22"/>
            <w:szCs w:val="22"/>
            <w:lang w:val="en"/>
          </w:rPr>
          <m:t>K</m:t>
        </m:r>
      </m:oMath>
      <w:r>
        <w:rPr>
          <w:rFonts w:ascii="Aptos" w:hAnsi="Aptos"/>
          <w:sz w:val="22"/>
          <w:szCs w:val="22"/>
          <w:lang w:val="en"/>
        </w:rPr>
        <w:t xml:space="preserve"> unknowns (tilt-azimuth angles), while only </w:t>
      </w:r>
      <m:oMath>
        <m:r>
          <w:rPr>
            <w:rFonts w:ascii="Cambria Math" w:hAnsi="Cambria Math"/>
            <w:sz w:val="22"/>
            <w:szCs w:val="22"/>
            <w:lang w:val="en"/>
          </w:rPr>
          <m:t>K</m:t>
        </m:r>
      </m:oMath>
      <w:r>
        <w:rPr>
          <w:rFonts w:ascii="Aptos" w:hAnsi="Aptos"/>
          <w:sz w:val="22"/>
          <w:szCs w:val="22"/>
          <w:lang w:val="en"/>
        </w:rPr>
        <w:t xml:space="preserve"> measurements are available. This results in an underdetermined problem, and the solution obtained by GA may not be reliable.</w:t>
      </w:r>
    </w:p>
    <w:p w14:paraId="4802141A" w14:textId="77777777" w:rsidR="00000000" w:rsidRDefault="00000000">
      <w:pPr>
        <w:pStyle w:val="resp"/>
        <w:spacing w:before="0" w:beforeAutospacing="0" w:line="276" w:lineRule="auto"/>
        <w:divId w:val="1499275216"/>
        <w:rPr>
          <w:rFonts w:ascii="Aptos" w:hAnsi="Aptos"/>
          <w:b/>
          <w:bCs/>
          <w:sz w:val="22"/>
          <w:szCs w:val="22"/>
          <w:lang w:val="en"/>
        </w:rPr>
      </w:pPr>
      <w:r>
        <w:rPr>
          <w:rStyle w:val="lev"/>
          <w:rFonts w:ascii="Aptos" w:hAnsi="Aptos"/>
          <w:b w:val="0"/>
          <w:bCs w:val="0"/>
          <w:sz w:val="22"/>
          <w:szCs w:val="22"/>
          <w:lang w:val="en"/>
        </w:rPr>
        <w:t>We thank the reviewer for this comment but respectfully disagree, as it seems to conflate two fundamentally different problems:</w:t>
      </w:r>
    </w:p>
    <w:p w14:paraId="12CA00E4" w14:textId="77777777" w:rsidR="00000000" w:rsidRDefault="00000000">
      <w:pPr>
        <w:numPr>
          <w:ilvl w:val="0"/>
          <w:numId w:val="9"/>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Offline orientation-set design (GA):</w:t>
      </w:r>
      <w:r>
        <w:rPr>
          <w:rFonts w:ascii="Aptos" w:eastAsia="Times New Roman" w:hAnsi="Aptos"/>
          <w:sz w:val="22"/>
          <w:szCs w:val="22"/>
          <w:lang w:val="en"/>
        </w:rPr>
        <w:t xml:space="preserve"> This is a system-design problem, not an estimation problem. The 2</w:t>
      </w:r>
      <m:oMath>
        <m:r>
          <w:rPr>
            <w:rFonts w:ascii="Cambria Math" w:eastAsia="Times New Roman" w:hAnsi="Cambria Math"/>
            <w:sz w:val="22"/>
            <w:szCs w:val="22"/>
            <w:lang w:val="en"/>
          </w:rPr>
          <m:t>K</m:t>
        </m:r>
      </m:oMath>
      <w:r>
        <w:rPr>
          <w:rFonts w:ascii="Aptos" w:eastAsia="Times New Roman" w:hAnsi="Aptos"/>
          <w:sz w:val="22"/>
          <w:szCs w:val="22"/>
          <w:lang w:val="en"/>
        </w:rPr>
        <w:t xml:space="preserve"> variables define the orientation set; for each candidate, the DEB is evaluated analytically over 1,792 positions using the closed-form FIM in (15). </w:t>
      </w:r>
      <w:r>
        <w:rPr>
          <w:rStyle w:val="lev"/>
          <w:rFonts w:ascii="Aptos" w:eastAsia="Times New Roman" w:hAnsi="Aptos"/>
          <w:b w:val="0"/>
          <w:bCs w:val="0"/>
          <w:sz w:val="22"/>
          <w:szCs w:val="22"/>
          <w:lang w:val="en"/>
        </w:rPr>
        <w:t>No measurements are involved</w:t>
      </w:r>
      <w:r>
        <w:rPr>
          <w:rFonts w:ascii="Aptos" w:eastAsia="Times New Roman" w:hAnsi="Aptos"/>
          <w:sz w:val="22"/>
          <w:szCs w:val="22"/>
          <w:lang w:val="en"/>
        </w:rPr>
        <w:t>, only theoretical bounds. The GA optimizes a deterministic scalar objective (22) mapping 2</w:t>
      </w:r>
      <m:oMath>
        <m:r>
          <w:rPr>
            <w:rFonts w:ascii="Cambria Math" w:eastAsia="Times New Roman" w:hAnsi="Cambria Math"/>
            <w:sz w:val="22"/>
            <w:szCs w:val="22"/>
            <w:lang w:val="en"/>
          </w:rPr>
          <m:t>K</m:t>
        </m:r>
      </m:oMath>
      <w:r>
        <w:rPr>
          <w:rFonts w:ascii="Aptos" w:eastAsia="Times New Roman" w:hAnsi="Aptos"/>
          <w:sz w:val="22"/>
          <w:szCs w:val="22"/>
          <w:lang w:val="en"/>
        </w:rPr>
        <w:t xml:space="preserve"> reals to a cost value, which is a standard global optimization problem.</w:t>
      </w:r>
    </w:p>
    <w:p w14:paraId="6A90DD54" w14:textId="77777777" w:rsidR="00000000" w:rsidRDefault="00000000">
      <w:pPr>
        <w:numPr>
          <w:ilvl w:val="0"/>
          <w:numId w:val="9"/>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lastRenderedPageBreak/>
        <w:t>Online direction estimation:</w:t>
      </w:r>
      <w:r>
        <w:rPr>
          <w:rFonts w:ascii="Aptos" w:eastAsia="Times New Roman" w:hAnsi="Aptos"/>
          <w:sz w:val="22"/>
          <w:szCs w:val="22"/>
          <w:lang w:val="en"/>
        </w:rPr>
        <w:t xml:space="preserve"> Once the set is fixed, the direction-finding stage estimates </w:t>
      </w:r>
      <w:r>
        <w:rPr>
          <w:rStyle w:val="lev"/>
          <w:rFonts w:ascii="Aptos" w:eastAsia="Times New Roman" w:hAnsi="Aptos"/>
          <w:b w:val="0"/>
          <w:bCs w:val="0"/>
          <w:sz w:val="22"/>
          <w:szCs w:val="22"/>
          <w:lang w:val="en"/>
        </w:rPr>
        <w:t xml:space="preserve">2 </w:t>
      </w:r>
      <w:proofErr w:type="spellStart"/>
      <w:r>
        <w:rPr>
          <w:rStyle w:val="lev"/>
          <w:rFonts w:ascii="Aptos" w:eastAsia="Times New Roman" w:hAnsi="Aptos"/>
          <w:b w:val="0"/>
          <w:bCs w:val="0"/>
          <w:sz w:val="22"/>
          <w:szCs w:val="22"/>
          <w:lang w:val="en"/>
        </w:rPr>
        <w:t>DoF</w:t>
      </w:r>
      <w:proofErr w:type="spellEnd"/>
      <w:r>
        <w:rPr>
          <w:rFonts w:ascii="Aptos" w:eastAsia="Times New Roman" w:hAnsi="Aptos"/>
          <w:sz w:val="22"/>
          <w:szCs w:val="22"/>
          <w:lang w:val="en"/>
        </w:rPr>
        <w:t xml:space="preserve"> (direction on </w:t>
      </w:r>
      <m:oMath>
        <m:r>
          <m:rPr>
            <m:scr m:val="double-struck"/>
          </m:rPr>
          <w:rPr>
            <w:rFonts w:ascii="Cambria Math" w:eastAsia="Times New Roman" w:hAnsi="Cambria Math"/>
            <w:sz w:val="22"/>
            <w:szCs w:val="22"/>
            <w:lang w:val="en"/>
          </w:rPr>
          <m:t>S²</m:t>
        </m:r>
      </m:oMath>
      <w:r>
        <w:rPr>
          <w:rFonts w:ascii="Aptos" w:eastAsia="Times New Roman" w:hAnsi="Aptos"/>
          <w:sz w:val="22"/>
          <w:szCs w:val="22"/>
          <w:lang w:val="en"/>
        </w:rPr>
        <w:t xml:space="preserve">) from </w:t>
      </w:r>
      <m:oMath>
        <m:r>
          <w:rPr>
            <w:rFonts w:ascii="Cambria Math" w:eastAsia="Times New Roman" w:hAnsi="Cambria Math"/>
            <w:sz w:val="22"/>
            <w:szCs w:val="22"/>
            <w:lang w:val="en"/>
          </w:rPr>
          <m:t>K</m:t>
        </m:r>
      </m:oMath>
      <w:r>
        <w:rPr>
          <w:rFonts w:ascii="Aptos" w:eastAsia="Times New Roman" w:hAnsi="Aptos"/>
          <w:sz w:val="22"/>
          <w:szCs w:val="22"/>
          <w:lang w:val="en"/>
        </w:rPr>
        <w:t xml:space="preserve"> power measurements. For </w:t>
      </w:r>
      <m:oMath>
        <m:r>
          <w:rPr>
            <w:rFonts w:ascii="Cambria Math" w:eastAsia="Times New Roman" w:hAnsi="Cambria Math"/>
            <w:sz w:val="22"/>
            <w:szCs w:val="22"/>
            <w:lang w:val="en"/>
          </w:rPr>
          <m:t>K≥3</m:t>
        </m:r>
      </m:oMath>
      <w:r>
        <w:rPr>
          <w:rFonts w:ascii="Aptos" w:eastAsia="Times New Roman" w:hAnsi="Aptos"/>
          <w:sz w:val="22"/>
          <w:szCs w:val="22"/>
          <w:lang w:val="en"/>
        </w:rPr>
        <w:t xml:space="preserve">, this is </w:t>
      </w:r>
      <w:r>
        <w:rPr>
          <w:rStyle w:val="lev"/>
          <w:rFonts w:ascii="Aptos" w:eastAsia="Times New Roman" w:hAnsi="Aptos"/>
          <w:b w:val="0"/>
          <w:bCs w:val="0"/>
          <w:sz w:val="22"/>
          <w:szCs w:val="22"/>
          <w:lang w:val="en"/>
        </w:rPr>
        <w:t>overdetermined</w:t>
      </w:r>
      <w:r>
        <w:rPr>
          <w:rFonts w:ascii="Aptos" w:eastAsia="Times New Roman" w:hAnsi="Aptos"/>
          <w:sz w:val="22"/>
          <w:szCs w:val="22"/>
          <w:lang w:val="en"/>
        </w:rPr>
        <w:t xml:space="preserve"> (</w:t>
      </w:r>
      <m:oMath>
        <m:r>
          <w:rPr>
            <w:rFonts w:ascii="Cambria Math" w:eastAsia="Times New Roman" w:hAnsi="Cambria Math"/>
            <w:sz w:val="22"/>
            <w:szCs w:val="22"/>
            <w:lang w:val="en"/>
          </w:rPr>
          <m:t>K</m:t>
        </m:r>
      </m:oMath>
      <w:r>
        <w:rPr>
          <w:rFonts w:ascii="Aptos" w:eastAsia="Times New Roman" w:hAnsi="Aptos"/>
          <w:sz w:val="22"/>
          <w:szCs w:val="22"/>
          <w:lang w:val="en"/>
        </w:rPr>
        <w:t xml:space="preserve"> measurements, 2 unknowns).</w:t>
      </w:r>
    </w:p>
    <w:p w14:paraId="5287C9B0" w14:textId="3C8B89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The </w:t>
      </w:r>
      <w:r>
        <w:rPr>
          <w:rStyle w:val="lev"/>
          <w:rFonts w:ascii="Aptos" w:hAnsi="Aptos"/>
          <w:b w:val="0"/>
          <w:bCs w:val="0"/>
          <w:sz w:val="22"/>
          <w:szCs w:val="22"/>
          <w:lang w:val="en"/>
        </w:rPr>
        <w:t>reliability of the GA solution</w:t>
      </w:r>
      <w:r>
        <w:rPr>
          <w:rFonts w:ascii="Aptos" w:hAnsi="Aptos"/>
          <w:sz w:val="22"/>
          <w:szCs w:val="22"/>
          <w:lang w:val="en"/>
        </w:rPr>
        <w:t xml:space="preserve"> is demonstrated empirically. Table III reports seven independently optimized orientation sets (</w:t>
      </w:r>
      <m:oMath>
        <m:r>
          <w:rPr>
            <w:rFonts w:ascii="Cambria Math" w:hAnsi="Cambria Math"/>
            <w:sz w:val="22"/>
            <w:szCs w:val="22"/>
            <w:lang w:val="en"/>
          </w:rPr>
          <m:t>K=</m:t>
        </m:r>
      </m:oMath>
      <w:r w:rsidR="00A33911">
        <w:rPr>
          <w:rFonts w:ascii="Aptos" w:hAnsi="Aptos"/>
          <w:sz w:val="22"/>
          <w:szCs w:val="22"/>
          <w:lang w:val="en"/>
        </w:rPr>
        <w:t xml:space="preserve"> </w:t>
      </w:r>
      <w:r>
        <w:rPr>
          <w:rFonts w:ascii="Aptos" w:hAnsi="Aptos"/>
          <w:sz w:val="22"/>
          <w:szCs w:val="22"/>
          <w:lang w:val="en"/>
        </w:rPr>
        <w:t xml:space="preserve">3 to 9, with </w:t>
      </w:r>
      <m:oMath>
        <m:sSub>
          <m:sSubPr>
            <m:ctrlPr>
              <w:rPr>
                <w:rFonts w:ascii="Cambria Math" w:hAnsi="Cambria Math"/>
                <w:sz w:val="22"/>
                <w:szCs w:val="22"/>
                <w:lang w:val="en"/>
              </w:rPr>
            </m:ctrlPr>
          </m:sSubPr>
          <m:e>
            <m:r>
              <m:rPr>
                <m:sty m:val="p"/>
              </m:rPr>
              <w:rPr>
                <w:rFonts w:ascii="Cambria Math" w:hAnsi="Cambria Math"/>
                <w:sz w:val="22"/>
                <w:szCs w:val="22"/>
                <w:lang w:val="en"/>
              </w:rPr>
              <m:t>Φ</m:t>
            </m:r>
          </m:e>
          <m:sub>
            <m:r>
              <m:rPr>
                <m:sty m:val="p"/>
              </m:rPr>
              <w:rPr>
                <w:rFonts w:ascii="Cambria Math" w:hAnsi="Cambria Math"/>
                <w:sz w:val="22"/>
                <w:szCs w:val="22"/>
                <w:lang w:val="en"/>
              </w:rPr>
              <m:t>1/2</m:t>
            </m:r>
          </m:sub>
        </m:sSub>
        <m:r>
          <w:rPr>
            <w:rFonts w:ascii="Cambria Math" w:hAnsi="Cambria Math"/>
            <w:sz w:val="22"/>
            <w:szCs w:val="22"/>
            <w:lang w:val="en"/>
          </w:rPr>
          <m:t>=</m:t>
        </m:r>
      </m:oMath>
      <w:r>
        <w:rPr>
          <w:rFonts w:ascii="Aptos" w:hAnsi="Aptos"/>
          <w:sz w:val="22"/>
          <w:szCs w:val="22"/>
          <w:lang w:val="en"/>
        </w:rPr>
        <w:t xml:space="preserve"> 45°), all exhibiting physically interpretable patterns (e.g., </w:t>
      </w:r>
      <m:oMath>
        <m:r>
          <w:rPr>
            <w:rFonts w:ascii="Cambria Math" w:hAnsi="Cambria Math"/>
            <w:sz w:val="22"/>
            <w:szCs w:val="22"/>
            <w:lang w:val="en"/>
          </w:rPr>
          <m:t>K=</m:t>
        </m:r>
      </m:oMath>
      <w:r>
        <w:rPr>
          <w:rFonts w:ascii="Aptos" w:hAnsi="Aptos"/>
          <w:sz w:val="22"/>
          <w:szCs w:val="22"/>
          <w:lang w:val="en"/>
        </w:rPr>
        <w:t xml:space="preserve"> 4 yields four orientations at 29.9° tilt uniformly spaced in azimuth, i.e., the intuitively optimal symmetric configuration). Figure 2 compares each GA-optimized set against 50 random realizations, confirming that the optimized sets consistently reduce the median DEB by 49%–72% and yield tighter distributions across all </w:t>
      </w:r>
      <m:oMath>
        <m:r>
          <w:rPr>
            <w:rFonts w:ascii="Cambria Math" w:hAnsi="Cambria Math"/>
            <w:sz w:val="22"/>
            <w:szCs w:val="22"/>
            <w:lang w:val="en"/>
          </w:rPr>
          <m:t>K</m:t>
        </m:r>
      </m:oMath>
      <w:r>
        <w:rPr>
          <w:rFonts w:ascii="Aptos" w:hAnsi="Aptos"/>
          <w:sz w:val="22"/>
          <w:szCs w:val="22"/>
          <w:lang w:val="en"/>
        </w:rPr>
        <w:t>. These results provide strong evidence that the GA converges to high-quality solutions despite the non-convex landscape.</w:t>
      </w:r>
    </w:p>
    <w:p w14:paraId="3E514D8A"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A paragraph in Section IV now states: “We emphasize that the GA optimization is an offline system-design problem, not an online estimation problem. [...] Once fixed, the online direction-finding stage uses </w:t>
      </w:r>
      <m:oMath>
        <m:r>
          <w:rPr>
            <w:rFonts w:ascii="Cambria Math" w:hAnsi="Cambria Math"/>
            <w:sz w:val="22"/>
            <w:szCs w:val="22"/>
            <w:lang w:val="en"/>
          </w:rPr>
          <m:t>K</m:t>
        </m:r>
      </m:oMath>
      <w:r>
        <w:rPr>
          <w:rFonts w:ascii="Aptos" w:hAnsi="Aptos"/>
          <w:sz w:val="22"/>
          <w:szCs w:val="22"/>
          <w:lang w:val="en"/>
        </w:rPr>
        <w:t xml:space="preserve"> power measurements to recover the 2-DoF direction on </w:t>
      </w:r>
      <m:oMath>
        <m:r>
          <m:rPr>
            <m:scr m:val="double-struck"/>
          </m:rPr>
          <w:rPr>
            <w:rFonts w:ascii="Cambria Math" w:eastAsia="Times New Roman" w:hAnsi="Cambria Math"/>
            <w:sz w:val="22"/>
            <w:szCs w:val="22"/>
            <w:lang w:val="en"/>
          </w:rPr>
          <m:t>S²</m:t>
        </m:r>
      </m:oMath>
      <w:r>
        <w:rPr>
          <w:rFonts w:ascii="Aptos" w:hAnsi="Aptos"/>
          <w:sz w:val="22"/>
          <w:szCs w:val="22"/>
          <w:lang w:val="en"/>
        </w:rPr>
        <w:t xml:space="preserve">, which is overdetermined for </w:t>
      </w:r>
      <m:oMath>
        <m:r>
          <w:rPr>
            <w:rFonts w:ascii="Cambria Math" w:hAnsi="Cambria Math"/>
            <w:sz w:val="22"/>
            <w:szCs w:val="22"/>
            <w:lang w:val="en"/>
          </w:rPr>
          <m:t>K≥3</m:t>
        </m:r>
      </m:oMath>
      <w:r>
        <w:rPr>
          <w:rFonts w:ascii="Aptos" w:hAnsi="Aptos"/>
          <w:sz w:val="22"/>
          <w:szCs w:val="22"/>
          <w:lang w:val="en"/>
        </w:rPr>
        <w:t>.”</w:t>
      </w:r>
    </w:p>
    <w:p w14:paraId="5018707D"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 xml:space="preserve">It is unclear whether the position vector </w:t>
      </w:r>
      <m:oMath>
        <m:r>
          <m:rPr>
            <m:sty m:val="bi"/>
          </m:rPr>
          <w:rPr>
            <w:rFonts w:ascii="Cambria Math" w:hAnsi="Cambria Math"/>
            <w:sz w:val="22"/>
            <w:szCs w:val="22"/>
            <w:lang w:val="en"/>
          </w:rPr>
          <m:t>r</m:t>
        </m:r>
      </m:oMath>
      <w:r>
        <w:rPr>
          <w:rFonts w:ascii="Aptos" w:hAnsi="Aptos"/>
          <w:sz w:val="22"/>
          <w:szCs w:val="22"/>
          <w:lang w:val="en"/>
        </w:rPr>
        <w:t xml:space="preserve"> is assumed to be fixed when optimizing the orientation set. If </w:t>
      </w:r>
      <m:oMath>
        <m:r>
          <m:rPr>
            <m:sty m:val="bi"/>
          </m:rPr>
          <w:rPr>
            <w:rFonts w:ascii="Cambria Math" w:hAnsi="Cambria Math"/>
            <w:sz w:val="22"/>
            <w:szCs w:val="22"/>
            <w:lang w:val="en"/>
          </w:rPr>
          <m:t>r</m:t>
        </m:r>
      </m:oMath>
      <w:r>
        <w:rPr>
          <w:rFonts w:ascii="Aptos" w:hAnsi="Aptos"/>
          <w:sz w:val="22"/>
          <w:szCs w:val="22"/>
          <w:lang w:val="en"/>
        </w:rPr>
        <w:t xml:space="preserve"> is unknown, a joint optimization over both </w:t>
      </w:r>
      <m:oMath>
        <m:r>
          <m:rPr>
            <m:sty m:val="bi"/>
          </m:rPr>
          <w:rPr>
            <w:rFonts w:ascii="Cambria Math" w:hAnsi="Cambria Math"/>
            <w:sz w:val="22"/>
            <w:szCs w:val="22"/>
            <w:lang w:val="en"/>
          </w:rPr>
          <m:t>r</m:t>
        </m:r>
      </m:oMath>
      <w:r>
        <w:rPr>
          <w:rFonts w:ascii="Aptos" w:hAnsi="Aptos"/>
          <w:sz w:val="22"/>
          <w:szCs w:val="22"/>
          <w:lang w:val="en"/>
        </w:rPr>
        <w:t xml:space="preserve"> and the tilt-azimuth pairs should be formulated.</w:t>
      </w:r>
    </w:p>
    <w:p w14:paraId="54A03E94" w14:textId="77777777" w:rsidR="00000000" w:rsidRDefault="00000000">
      <w:pPr>
        <w:pStyle w:val="resp"/>
        <w:spacing w:before="0" w:beforeAutospacing="0" w:line="276" w:lineRule="auto"/>
        <w:divId w:val="1499275216"/>
        <w:rPr>
          <w:rFonts w:ascii="Aptos" w:hAnsi="Aptos"/>
          <w:sz w:val="22"/>
          <w:szCs w:val="22"/>
          <w:lang w:val="en"/>
        </w:rPr>
      </w:pPr>
      <w:r>
        <w:rPr>
          <w:rStyle w:val="lev"/>
          <w:rFonts w:ascii="Aptos" w:hAnsi="Aptos"/>
          <w:b w:val="0"/>
          <w:sz w:val="22"/>
          <w:szCs w:val="22"/>
          <w:lang w:val="en"/>
        </w:rPr>
        <w:t xml:space="preserve">In the GA optimization, </w:t>
      </w:r>
      <m:oMath>
        <m:r>
          <m:rPr>
            <m:sty m:val="b"/>
          </m:rPr>
          <w:rPr>
            <w:rStyle w:val="lev"/>
            <w:rFonts w:ascii="Cambria Math" w:hAnsi="Cambria Math"/>
            <w:sz w:val="22"/>
            <w:szCs w:val="22"/>
            <w:lang w:val="en"/>
          </w:rPr>
          <m:t>r</m:t>
        </m:r>
      </m:oMath>
      <w:r>
        <w:rPr>
          <w:rStyle w:val="lev"/>
          <w:rFonts w:ascii="Aptos" w:hAnsi="Aptos"/>
          <w:sz w:val="22"/>
          <w:szCs w:val="22"/>
          <w:lang w:val="en"/>
        </w:rPr>
        <w:t xml:space="preserve"> </w:t>
      </w:r>
      <w:r>
        <w:rPr>
          <w:rStyle w:val="lev"/>
          <w:rFonts w:ascii="Aptos" w:hAnsi="Aptos"/>
          <w:b w:val="0"/>
          <w:bCs w:val="0"/>
          <w:sz w:val="22"/>
          <w:szCs w:val="22"/>
          <w:lang w:val="en"/>
        </w:rPr>
        <w:t>is not fixed.</w:t>
      </w:r>
      <w:r>
        <w:rPr>
          <w:rFonts w:ascii="Aptos" w:hAnsi="Aptos"/>
          <w:sz w:val="22"/>
          <w:szCs w:val="22"/>
          <w:lang w:val="en"/>
        </w:rPr>
        <w:t xml:space="preserve"> The GA objective (22) evaluates the RMSE of the DEB over all 1,792 testbed positions. The position </w:t>
      </w:r>
      <m:oMath>
        <m:r>
          <m:rPr>
            <m:sty m:val="b"/>
          </m:rPr>
          <w:rPr>
            <w:rFonts w:ascii="Cambria Math" w:hAnsi="Cambria Math"/>
            <w:sz w:val="22"/>
            <w:szCs w:val="22"/>
            <w:lang w:val="en"/>
          </w:rPr>
          <m:t>r</m:t>
        </m:r>
      </m:oMath>
      <w:r>
        <w:rPr>
          <w:rFonts w:ascii="Aptos" w:hAnsi="Aptos"/>
          <w:sz w:val="22"/>
          <w:szCs w:val="22"/>
          <w:lang w:val="en"/>
        </w:rPr>
        <w:t xml:space="preserve"> sweeps the entire spatial grid, and the GA seeks an orientation set minimizing the average DEB universally. A joint optimization over (</w:t>
      </w:r>
      <m:oMath>
        <m:r>
          <m:rPr>
            <m:sty m:val="b"/>
          </m:rPr>
          <w:rPr>
            <w:rFonts w:ascii="Cambria Math" w:hAnsi="Cambria Math"/>
            <w:sz w:val="22"/>
            <w:szCs w:val="22"/>
            <w:lang w:val="en"/>
          </w:rPr>
          <m:t>r</m:t>
        </m:r>
      </m:oMath>
      <w:r>
        <w:rPr>
          <w:rFonts w:ascii="Aptos" w:hAnsi="Aptos"/>
          <w:sz w:val="22"/>
          <w:szCs w:val="22"/>
          <w:lang w:val="en"/>
        </w:rPr>
        <w:t xml:space="preserve">, orientations) would not add value because the orientations must be fixed before any measurement, as they define the illumination pattern for all future positions. </w:t>
      </w:r>
    </w:p>
    <w:p w14:paraId="228DA56F"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Section IV now states: “The position </w:t>
      </w:r>
      <m:oMath>
        <m:r>
          <m:rPr>
            <m:sty m:val="b"/>
          </m:rPr>
          <w:rPr>
            <w:rFonts w:ascii="Cambria Math" w:hAnsi="Cambria Math"/>
            <w:sz w:val="22"/>
            <w:szCs w:val="22"/>
            <w:lang w:val="en"/>
          </w:rPr>
          <m:t>r</m:t>
        </m:r>
      </m:oMath>
      <w:r>
        <w:rPr>
          <w:rFonts w:ascii="Aptos" w:hAnsi="Aptos"/>
          <w:sz w:val="22"/>
          <w:szCs w:val="22"/>
          <w:lang w:val="en"/>
        </w:rPr>
        <w:t xml:space="preserve"> is therefore not fixed but sweeps the spatial grid during fitness evaluation; the resulting orientation set is position-independent and can be deployed universally”.</w:t>
      </w:r>
    </w:p>
    <w:p w14:paraId="2F105BDB"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The results shown in Fig. 9 lead to essentially the same conclusion as those in Fig. 2 (Optimized), making Fig. 9 redundant.</w:t>
      </w:r>
    </w:p>
    <w:p w14:paraId="21A0B3CE"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In the revised manuscript, the figures have been substantially restructured to cover both the theoretical analysis and the estimator evaluation. The ten figures in the revised paper serve clearly distinct purposes:</w:t>
      </w:r>
    </w:p>
    <w:p w14:paraId="2D1EB81C" w14:textId="77777777" w:rsidR="00000000" w:rsidRDefault="00000000">
      <w:pPr>
        <w:numPr>
          <w:ilvl w:val="0"/>
          <w:numId w:val="10"/>
        </w:numPr>
        <w:spacing w:after="80" w:line="276" w:lineRule="auto"/>
        <w:ind w:left="714" w:hanging="357"/>
        <w:jc w:val="both"/>
        <w:divId w:val="1499275216"/>
        <w:rPr>
          <w:rStyle w:val="lev"/>
          <w:rFonts w:eastAsia="Times New Roman"/>
          <w:b w:val="0"/>
          <w:bCs w:val="0"/>
          <w:lang w:val="en"/>
        </w:rPr>
      </w:pPr>
      <w:r>
        <w:rPr>
          <w:rStyle w:val="lev"/>
          <w:rFonts w:ascii="Aptos" w:eastAsia="Times New Roman" w:hAnsi="Aptos"/>
          <w:sz w:val="22"/>
          <w:szCs w:val="22"/>
          <w:lang w:val="en"/>
        </w:rPr>
        <w:t>Fig. 1 (System geometry):</w:t>
      </w:r>
      <w:r>
        <w:rPr>
          <w:rStyle w:val="lev"/>
          <w:rFonts w:ascii="Aptos" w:eastAsia="Times New Roman" w:hAnsi="Aptos"/>
          <w:b w:val="0"/>
          <w:bCs w:val="0"/>
          <w:sz w:val="22"/>
          <w:szCs w:val="22"/>
          <w:lang w:val="en"/>
        </w:rPr>
        <w:t xml:space="preserve"> Single beam-steered LED / single-PD OWP geometry showing the transmitter at the ceiling and the PD at the receiver.</w:t>
      </w:r>
    </w:p>
    <w:p w14:paraId="0E89CE96" w14:textId="77777777" w:rsidR="00000000" w:rsidRDefault="00000000">
      <w:pPr>
        <w:numPr>
          <w:ilvl w:val="0"/>
          <w:numId w:val="10"/>
        </w:numPr>
        <w:spacing w:after="80" w:line="276" w:lineRule="auto"/>
        <w:ind w:left="714" w:hanging="357"/>
        <w:jc w:val="both"/>
        <w:divId w:val="1499275216"/>
        <w:rPr>
          <w:lang w:val="en"/>
        </w:rPr>
      </w:pPr>
      <w:r>
        <w:rPr>
          <w:rStyle w:val="lev"/>
          <w:rFonts w:ascii="Aptos" w:eastAsia="Times New Roman" w:hAnsi="Aptos"/>
          <w:sz w:val="22"/>
          <w:szCs w:val="22"/>
          <w:lang w:val="en"/>
        </w:rPr>
        <w:t>Fig. 2 (DEB violin):</w:t>
      </w:r>
      <w:r>
        <w:rPr>
          <w:rFonts w:ascii="Aptos" w:eastAsia="Times New Roman" w:hAnsi="Aptos"/>
          <w:sz w:val="22"/>
          <w:szCs w:val="22"/>
          <w:lang w:val="en"/>
        </w:rPr>
        <w:t xml:space="preserve"> Statistical distribution of the theoretical DEB across </w:t>
      </w:r>
      <m:oMath>
        <m:r>
          <w:rPr>
            <w:rFonts w:ascii="Cambria Math" w:eastAsia="Times New Roman" w:hAnsi="Cambria Math"/>
            <w:sz w:val="22"/>
            <w:szCs w:val="22"/>
            <w:lang w:val="en"/>
          </w:rPr>
          <m:t>K</m:t>
        </m:r>
        <m:r>
          <w:rPr>
            <w:rFonts w:ascii="Cambria Math" w:eastAsia="Times New Roman" w:hAnsi="Cambria Math" w:cs="Cambria Math"/>
            <w:sz w:val="22"/>
            <w:szCs w:val="22"/>
            <w:lang w:val="en"/>
          </w:rPr>
          <m:t>∈</m:t>
        </m:r>
        <m:r>
          <w:rPr>
            <w:rFonts w:ascii="Cambria Math" w:eastAsia="Times New Roman" w:hAnsi="Cambria Math"/>
            <w:sz w:val="22"/>
            <w:szCs w:val="22"/>
            <w:lang w:val="en"/>
          </w:rPr>
          <m:t>{3,...,9}</m:t>
        </m:r>
      </m:oMath>
      <w:r>
        <w:rPr>
          <w:rFonts w:ascii="Aptos" w:eastAsia="Times New Roman" w:hAnsi="Aptos"/>
          <w:sz w:val="22"/>
          <w:szCs w:val="22"/>
          <w:lang w:val="en"/>
        </w:rPr>
        <w:t xml:space="preserve">, GA-optimized vs. 50 random realizations per </w:t>
      </w:r>
      <m:oMath>
        <m:r>
          <w:rPr>
            <w:rFonts w:ascii="Cambria Math" w:eastAsia="Times New Roman" w:hAnsi="Cambria Math"/>
            <w:sz w:val="22"/>
            <w:szCs w:val="22"/>
            <w:lang w:val="en"/>
          </w:rPr>
          <m:t>K</m:t>
        </m:r>
      </m:oMath>
      <w:r>
        <w:rPr>
          <w:rFonts w:ascii="Aptos" w:eastAsia="Times New Roman" w:hAnsi="Aptos"/>
          <w:sz w:val="22"/>
          <w:szCs w:val="22"/>
          <w:lang w:val="en"/>
        </w:rPr>
        <w:t xml:space="preserve">, when </w:t>
      </w:r>
      <m:oMath>
        <m:sSub>
          <m:sSubPr>
            <m:ctrlPr>
              <w:rPr>
                <w:rFonts w:ascii="Cambria Math" w:eastAsia="Times New Roman" w:hAnsi="Cambria Math"/>
                <w:i/>
                <w:sz w:val="22"/>
                <w:szCs w:val="22"/>
                <w:lang w:val="en"/>
              </w:rPr>
            </m:ctrlPr>
          </m:sSubPr>
          <m:e>
            <m:r>
              <m:rPr>
                <m:sty m:val="p"/>
              </m:rPr>
              <w:rPr>
                <w:rFonts w:ascii="Cambria Math" w:eastAsia="Times New Roman" w:hAnsi="Cambria Math"/>
                <w:sz w:val="22"/>
                <w:szCs w:val="22"/>
                <w:lang w:val="en"/>
              </w:rPr>
              <m:t>Φ</m:t>
            </m:r>
            <m:ctrlPr>
              <w:rPr>
                <w:rFonts w:ascii="Cambria Math" w:eastAsia="Times New Roman" w:hAnsi="Cambria Math"/>
                <w:sz w:val="22"/>
                <w:szCs w:val="22"/>
                <w:lang w:val="en"/>
              </w:rPr>
            </m:ctrlPr>
          </m:e>
          <m:sub>
            <m:r>
              <w:rPr>
                <w:rFonts w:ascii="Cambria Math" w:eastAsia="Times New Roman" w:hAnsi="Cambria Math"/>
                <w:sz w:val="22"/>
                <w:szCs w:val="22"/>
                <w:lang w:val="en"/>
              </w:rPr>
              <m:t>1/2</m:t>
            </m:r>
          </m:sub>
        </m:sSub>
        <m:r>
          <w:rPr>
            <w:rFonts w:ascii="Cambria Math" w:eastAsia="Times New Roman" w:hAnsi="Cambria Math"/>
            <w:sz w:val="22"/>
            <w:szCs w:val="22"/>
            <w:lang w:val="en"/>
          </w:rPr>
          <m:t>=</m:t>
        </m:r>
      </m:oMath>
      <w:r>
        <w:rPr>
          <w:rFonts w:ascii="Aptos" w:eastAsia="Times New Roman" w:hAnsi="Aptos"/>
          <w:sz w:val="22"/>
          <w:szCs w:val="22"/>
          <w:lang w:val="en"/>
        </w:rPr>
        <w:t xml:space="preserve"> 45°.</w:t>
      </w:r>
    </w:p>
    <w:p w14:paraId="57C6FDBF" w14:textId="77777777" w:rsidR="00000000" w:rsidRDefault="00000000">
      <w:pPr>
        <w:numPr>
          <w:ilvl w:val="0"/>
          <w:numId w:val="10"/>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Fig. 3 (DEB heat map):</w:t>
      </w:r>
      <w:r>
        <w:rPr>
          <w:rFonts w:ascii="Aptos" w:eastAsia="Times New Roman" w:hAnsi="Aptos"/>
          <w:sz w:val="22"/>
          <w:szCs w:val="22"/>
          <w:lang w:val="en"/>
        </w:rPr>
        <w:t xml:space="preserve"> Spatial DEB distribution at </w:t>
      </w:r>
      <m:oMath>
        <m:r>
          <w:rPr>
            <w:rFonts w:ascii="Cambria Math" w:eastAsia="Times New Roman" w:hAnsi="Cambria Math"/>
            <w:sz w:val="22"/>
            <w:szCs w:val="22"/>
            <w:lang w:val="en"/>
          </w:rPr>
          <m:t>z=</m:t>
        </m:r>
      </m:oMath>
      <w:r>
        <w:rPr>
          <w:rFonts w:ascii="Aptos" w:eastAsia="Times New Roman" w:hAnsi="Aptos"/>
          <w:sz w:val="22"/>
          <w:szCs w:val="22"/>
          <w:lang w:val="en"/>
        </w:rPr>
        <w:t xml:space="preserve"> 0.8 m (optimized vs. random, </w:t>
      </w:r>
      <m:oMath>
        <m:r>
          <w:rPr>
            <w:rFonts w:ascii="Cambria Math" w:eastAsia="Times New Roman" w:hAnsi="Cambria Math"/>
            <w:sz w:val="22"/>
            <w:szCs w:val="22"/>
            <w:lang w:val="en"/>
          </w:rPr>
          <m:t>K=</m:t>
        </m:r>
      </m:oMath>
      <w:r>
        <w:rPr>
          <w:rFonts w:ascii="Aptos" w:eastAsia="Times New Roman" w:hAnsi="Aptos"/>
          <w:sz w:val="22"/>
          <w:szCs w:val="22"/>
          <w:lang w:val="en"/>
        </w:rPr>
        <w:t xml:space="preserve"> 5),  when </w:t>
      </w:r>
      <m:oMath>
        <m:sSub>
          <m:sSubPr>
            <m:ctrlPr>
              <w:rPr>
                <w:rFonts w:ascii="Cambria Math" w:eastAsia="Times New Roman" w:hAnsi="Cambria Math"/>
                <w:i/>
                <w:sz w:val="22"/>
                <w:szCs w:val="22"/>
                <w:lang w:val="en"/>
              </w:rPr>
            </m:ctrlPr>
          </m:sSubPr>
          <m:e>
            <m:r>
              <m:rPr>
                <m:sty m:val="p"/>
              </m:rPr>
              <w:rPr>
                <w:rFonts w:ascii="Cambria Math" w:eastAsia="Times New Roman" w:hAnsi="Cambria Math"/>
                <w:sz w:val="22"/>
                <w:szCs w:val="22"/>
                <w:lang w:val="en"/>
              </w:rPr>
              <m:t>Φ</m:t>
            </m:r>
            <m:ctrlPr>
              <w:rPr>
                <w:rFonts w:ascii="Cambria Math" w:eastAsia="Times New Roman" w:hAnsi="Cambria Math"/>
                <w:sz w:val="22"/>
                <w:szCs w:val="22"/>
                <w:lang w:val="en"/>
              </w:rPr>
            </m:ctrlPr>
          </m:e>
          <m:sub>
            <m:r>
              <w:rPr>
                <w:rFonts w:ascii="Cambria Math" w:eastAsia="Times New Roman" w:hAnsi="Cambria Math"/>
                <w:sz w:val="22"/>
                <w:szCs w:val="22"/>
                <w:lang w:val="en"/>
              </w:rPr>
              <m:t>1/2</m:t>
            </m:r>
          </m:sub>
        </m:sSub>
        <m:r>
          <w:rPr>
            <w:rFonts w:ascii="Cambria Math" w:eastAsia="Times New Roman" w:hAnsi="Cambria Math"/>
            <w:sz w:val="22"/>
            <w:szCs w:val="22"/>
            <w:lang w:val="en"/>
          </w:rPr>
          <m:t>=</m:t>
        </m:r>
      </m:oMath>
      <w:r>
        <w:rPr>
          <w:rFonts w:ascii="Aptos" w:eastAsia="Times New Roman" w:hAnsi="Aptos"/>
          <w:sz w:val="22"/>
          <w:szCs w:val="22"/>
          <w:lang w:val="en"/>
        </w:rPr>
        <w:t xml:space="preserve"> 45°.</w:t>
      </w:r>
    </w:p>
    <w:p w14:paraId="08017D81" w14:textId="09E568A8" w:rsidR="00000000" w:rsidRDefault="00000000">
      <w:pPr>
        <w:numPr>
          <w:ilvl w:val="0"/>
          <w:numId w:val="10"/>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Fig. 4 (DEB/PEB vs. K):</w:t>
      </w:r>
      <w:r>
        <w:rPr>
          <w:rFonts w:ascii="Aptos" w:eastAsia="Times New Roman" w:hAnsi="Aptos"/>
          <w:sz w:val="22"/>
          <w:szCs w:val="22"/>
          <w:lang w:val="en"/>
        </w:rPr>
        <w:t xml:space="preserve"> RMS-DEB and RMS-PEB vs. </w:t>
      </w:r>
      <m:oMath>
        <m:r>
          <w:rPr>
            <w:rFonts w:ascii="Cambria Math" w:eastAsia="Times New Roman" w:hAnsi="Cambria Math"/>
            <w:sz w:val="22"/>
            <w:szCs w:val="22"/>
            <w:lang w:val="en"/>
          </w:rPr>
          <m:t>K</m:t>
        </m:r>
      </m:oMath>
      <w:r>
        <w:rPr>
          <w:rFonts w:ascii="Aptos" w:eastAsia="Times New Roman" w:hAnsi="Aptos"/>
          <w:sz w:val="22"/>
          <w:szCs w:val="22"/>
          <w:lang w:val="en"/>
        </w:rPr>
        <w:t xml:space="preserve"> for three</w:t>
      </w:r>
      <w:r w:rsidR="00A33911">
        <w:rPr>
          <w:rFonts w:ascii="Aptos" w:eastAsia="Times New Roman" w:hAnsi="Aptos"/>
          <w:sz w:val="22"/>
          <w:szCs w:val="22"/>
          <w:lang w:val="en"/>
        </w:rPr>
        <w:t xml:space="preserve"> semi-angles at</w:t>
      </w:r>
      <w:r>
        <w:rPr>
          <w:rFonts w:ascii="Aptos" w:eastAsia="Times New Roman" w:hAnsi="Aptos"/>
          <w:sz w:val="22"/>
          <w:szCs w:val="22"/>
          <w:lang w:val="en"/>
        </w:rPr>
        <w:t xml:space="preserve"> half</w:t>
      </w:r>
      <w:r w:rsidR="00A33911">
        <w:rPr>
          <w:rFonts w:ascii="Aptos" w:eastAsia="Times New Roman" w:hAnsi="Aptos"/>
          <w:sz w:val="22"/>
          <w:szCs w:val="22"/>
          <w:lang w:val="en"/>
        </w:rPr>
        <w:t xml:space="preserve"> </w:t>
      </w:r>
      <w:r>
        <w:rPr>
          <w:rFonts w:ascii="Aptos" w:eastAsia="Times New Roman" w:hAnsi="Aptos"/>
          <w:sz w:val="22"/>
          <w:szCs w:val="22"/>
          <w:lang w:val="en"/>
        </w:rPr>
        <w:t>power, quantifying the accuracy–latency trade-off.</w:t>
      </w:r>
    </w:p>
    <w:p w14:paraId="3C386DAB" w14:textId="77777777" w:rsidR="00000000" w:rsidRDefault="00000000">
      <w:pPr>
        <w:numPr>
          <w:ilvl w:val="0"/>
          <w:numId w:val="10"/>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lastRenderedPageBreak/>
        <w:t>Fig. 5 (DEB/PEB vs. SNR):</w:t>
      </w:r>
      <w:r>
        <w:rPr>
          <w:rFonts w:ascii="Aptos" w:eastAsia="Times New Roman" w:hAnsi="Aptos"/>
          <w:sz w:val="22"/>
          <w:szCs w:val="22"/>
          <w:lang w:val="en"/>
        </w:rPr>
        <w:t xml:space="preserve"> Bounds vs. SNR confirming the theoretical 1/√SNR scaling, with K=5 bold curve and </w:t>
      </w:r>
      <m:oMath>
        <m:r>
          <w:rPr>
            <w:rFonts w:ascii="Cambria Math" w:eastAsia="Times New Roman" w:hAnsi="Cambria Math"/>
            <w:sz w:val="22"/>
            <w:szCs w:val="22"/>
            <w:lang w:val="en"/>
          </w:rPr>
          <m:t>K</m:t>
        </m:r>
        <m:r>
          <w:rPr>
            <w:rFonts w:ascii="Cambria Math" w:eastAsia="Times New Roman" w:hAnsi="Cambria Math" w:cs="Cambria Math"/>
            <w:sz w:val="22"/>
            <w:szCs w:val="22"/>
            <w:lang w:val="en"/>
          </w:rPr>
          <m:t>∈</m:t>
        </m:r>
        <m:r>
          <w:rPr>
            <w:rFonts w:ascii="Cambria Math" w:eastAsia="Times New Roman" w:hAnsi="Cambria Math"/>
            <w:sz w:val="22"/>
            <w:szCs w:val="22"/>
            <w:lang w:val="en"/>
          </w:rPr>
          <m:t>{3,...,9}</m:t>
        </m:r>
      </m:oMath>
      <w:r>
        <w:rPr>
          <w:rFonts w:ascii="Aptos" w:eastAsia="Times New Roman" w:hAnsi="Aptos"/>
          <w:sz w:val="22"/>
          <w:szCs w:val="22"/>
          <w:lang w:val="en"/>
        </w:rPr>
        <w:t xml:space="preserve"> shaded band.</w:t>
      </w:r>
    </w:p>
    <w:p w14:paraId="5BD40E9D" w14:textId="77777777" w:rsidR="00000000" w:rsidRDefault="00000000">
      <w:pPr>
        <w:numPr>
          <w:ilvl w:val="0"/>
          <w:numId w:val="10"/>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Fig. 6 (DF angular CDF):</w:t>
      </w:r>
      <w:r>
        <w:rPr>
          <w:rFonts w:ascii="Aptos" w:eastAsia="Times New Roman" w:hAnsi="Aptos"/>
          <w:sz w:val="22"/>
          <w:szCs w:val="22"/>
          <w:lang w:val="en"/>
        </w:rPr>
        <w:t xml:space="preserve"> Empirical CDF of per-position angular RMSE, solid (vertical Rx) vs. dashed (random tilt), validating </w:t>
      </w:r>
      <m:oMath>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n</m:t>
            </m:r>
          </m:e>
          <m:sub>
            <m:r>
              <w:rPr>
                <w:rFonts w:ascii="Cambria Math" w:eastAsia="Times New Roman" w:hAnsi="Cambria Math"/>
                <w:sz w:val="22"/>
                <w:szCs w:val="22"/>
                <w:vertAlign w:val="subscript"/>
                <w:lang w:val="en"/>
              </w:rPr>
              <m:t>r</m:t>
            </m:r>
          </m:sub>
        </m:sSub>
      </m:oMath>
      <w:r>
        <w:rPr>
          <w:rFonts w:ascii="Aptos" w:eastAsia="Times New Roman" w:hAnsi="Aptos"/>
          <w:sz w:val="22"/>
          <w:szCs w:val="22"/>
          <w:lang w:val="en"/>
        </w:rPr>
        <w:t>-independence.</w:t>
      </w:r>
    </w:p>
    <w:p w14:paraId="7141808A" w14:textId="77777777" w:rsidR="00000000" w:rsidRDefault="00000000">
      <w:pPr>
        <w:numPr>
          <w:ilvl w:val="0"/>
          <w:numId w:val="10"/>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Fig. 7 (Latency):</w:t>
      </w:r>
      <w:r>
        <w:rPr>
          <w:rFonts w:ascii="Aptos" w:eastAsia="Times New Roman" w:hAnsi="Aptos"/>
          <w:sz w:val="22"/>
          <w:szCs w:val="22"/>
          <w:lang w:val="en"/>
        </w:rPr>
        <w:t xml:space="preserve"> Computation time comparison between WLS/GLS at </w:t>
      </w:r>
      <w:proofErr w:type="spellStart"/>
      <w:r>
        <w:rPr>
          <w:rFonts w:ascii="Aptos" w:eastAsia="Times New Roman" w:hAnsi="Aptos"/>
          <w:sz w:val="22"/>
          <w:szCs w:val="22"/>
          <w:lang w:val="en"/>
        </w:rPr>
        <w:t>μs</w:t>
      </w:r>
      <w:proofErr w:type="spellEnd"/>
      <w:r>
        <w:rPr>
          <w:rFonts w:ascii="Aptos" w:eastAsia="Times New Roman" w:hAnsi="Aptos"/>
          <w:sz w:val="22"/>
          <w:szCs w:val="22"/>
          <w:lang w:val="en"/>
        </w:rPr>
        <w:t xml:space="preserve">-level vs. NLS at </w:t>
      </w:r>
      <w:proofErr w:type="spellStart"/>
      <w:r>
        <w:rPr>
          <w:rFonts w:ascii="Aptos" w:eastAsia="Times New Roman" w:hAnsi="Aptos"/>
          <w:sz w:val="22"/>
          <w:szCs w:val="22"/>
          <w:lang w:val="en"/>
        </w:rPr>
        <w:t>ms</w:t>
      </w:r>
      <w:proofErr w:type="spellEnd"/>
      <w:r>
        <w:rPr>
          <w:rFonts w:ascii="Aptos" w:eastAsia="Times New Roman" w:hAnsi="Aptos"/>
          <w:sz w:val="22"/>
          <w:szCs w:val="22"/>
          <w:lang w:val="en"/>
        </w:rPr>
        <w:t>-level.</w:t>
      </w:r>
    </w:p>
    <w:p w14:paraId="78ED105C" w14:textId="77777777" w:rsidR="00000000" w:rsidRDefault="00000000">
      <w:pPr>
        <w:numPr>
          <w:ilvl w:val="0"/>
          <w:numId w:val="10"/>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b/>
          <w:bCs/>
          <w:sz w:val="22"/>
          <w:szCs w:val="22"/>
          <w:lang w:val="en"/>
        </w:rPr>
        <w:t>Fig. 8 (3D positioning CDF):</w:t>
      </w:r>
      <w:r>
        <w:rPr>
          <w:rFonts w:ascii="Aptos" w:eastAsia="Times New Roman" w:hAnsi="Aptos"/>
          <w:sz w:val="22"/>
          <w:szCs w:val="22"/>
          <w:lang w:val="en"/>
        </w:rPr>
        <w:t xml:space="preserve"> Empirical CDF of the 3D positioning error for K </w:t>
      </w:r>
      <w:r>
        <w:rPr>
          <w:rFonts w:ascii="Cambria Math" w:eastAsia="Times New Roman" w:hAnsi="Cambria Math" w:cs="Cambria Math"/>
          <w:sz w:val="22"/>
          <w:szCs w:val="22"/>
          <w:lang w:val="en"/>
        </w:rPr>
        <w:t xml:space="preserve">∈ </w:t>
      </w:r>
      <w:r>
        <w:rPr>
          <w:rFonts w:ascii="Aptos" w:eastAsia="Times New Roman" w:hAnsi="Aptos"/>
          <w:sz w:val="22"/>
          <w:szCs w:val="22"/>
          <w:lang w:val="en"/>
        </w:rPr>
        <w:t>{3,5,9}, comparing all estimators against the PEB and the K=3 SVD baseline.</w:t>
      </w:r>
    </w:p>
    <w:p w14:paraId="39999EB8" w14:textId="77777777" w:rsidR="00000000" w:rsidRDefault="00000000">
      <w:pPr>
        <w:numPr>
          <w:ilvl w:val="0"/>
          <w:numId w:val="10"/>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b/>
          <w:bCs/>
          <w:sz w:val="22"/>
          <w:szCs w:val="22"/>
          <w:lang w:val="en"/>
        </w:rPr>
        <w:t>Fig. 9 (3D estimates):</w:t>
      </w:r>
      <w:r>
        <w:rPr>
          <w:rFonts w:ascii="Aptos" w:eastAsia="Times New Roman" w:hAnsi="Aptos"/>
          <w:sz w:val="22"/>
          <w:szCs w:val="22"/>
          <w:lang w:val="en"/>
        </w:rPr>
        <w:t xml:space="preserve"> Actual GLS position estimates (K=5) across three heights (z=0, 0.6, 1.2 m), showing the spatial structure of the positioning error.</w:t>
      </w:r>
    </w:p>
    <w:p w14:paraId="556AD814" w14:textId="77777777" w:rsidR="00000000" w:rsidRDefault="00000000">
      <w:pPr>
        <w:numPr>
          <w:ilvl w:val="0"/>
          <w:numId w:val="10"/>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b/>
          <w:bCs/>
          <w:sz w:val="22"/>
          <w:szCs w:val="22"/>
          <w:lang w:val="en"/>
        </w:rPr>
        <w:t>Fig. 10 (Estimator RMSE vs. SNR):</w:t>
      </w:r>
      <w:r>
        <w:rPr>
          <w:rFonts w:ascii="Aptos" w:eastAsia="Times New Roman" w:hAnsi="Aptos"/>
          <w:sz w:val="22"/>
          <w:szCs w:val="22"/>
          <w:lang w:val="en"/>
        </w:rPr>
        <w:t xml:space="preserve"> Realized estimator performance vs. SNR for K=5, confirming that all estimators track the 1/√SNR slope at constant-factor offsets from the bounds.</w:t>
      </w:r>
    </w:p>
    <w:p w14:paraId="7EF04BEE"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Fig. 9 is the only figure that shows the actual output of the GLS estimator (estimated positions vs. references) across the full 3D volume. This validates the spatial behavior of the GLS estimator and visually demonstrates the centimeter-level accuracy reported in Table VI—information that the theoretical DEB/PEB bounds (Figs. 2–5) cannot convey. The former Fig. 9 from the original submission (PEB heat map) has been superseded by the more comprehensive Figs. 2–5 in the revised manuscript, which together provide a far richer characterization of the system's performance.</w:t>
      </w:r>
    </w:p>
    <w:p w14:paraId="639DF367"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 xml:space="preserve">The system relies on sequential measurements over </w:t>
      </w:r>
      <m:oMath>
        <m:r>
          <w:rPr>
            <w:rFonts w:ascii="Cambria Math" w:hAnsi="Cambria Math"/>
            <w:sz w:val="22"/>
            <w:szCs w:val="22"/>
            <w:lang w:val="en"/>
          </w:rPr>
          <m:t>K</m:t>
        </m:r>
      </m:oMath>
      <w:r>
        <w:rPr>
          <w:rFonts w:ascii="Aptos" w:hAnsi="Aptos"/>
          <w:sz w:val="22"/>
          <w:szCs w:val="22"/>
          <w:lang w:val="en"/>
        </w:rPr>
        <w:t xml:space="preserve"> beam orientations. Although the computational complexity is low, practical beam steering and sampling inevitably introduce latency. If the user moves during the </w:t>
      </w:r>
      <m:oMath>
        <m:r>
          <w:rPr>
            <w:rFonts w:ascii="Cambria Math" w:hAnsi="Cambria Math"/>
            <w:sz w:val="22"/>
            <w:szCs w:val="22"/>
            <w:lang w:val="en"/>
          </w:rPr>
          <m:t>K</m:t>
        </m:r>
      </m:oMath>
      <w:r>
        <w:rPr>
          <w:rFonts w:ascii="Aptos" w:hAnsi="Aptos"/>
          <w:sz w:val="22"/>
          <w:szCs w:val="22"/>
          <w:lang w:val="en"/>
        </w:rPr>
        <w:t xml:space="preserve"> measurement intervals, the position </w:t>
      </w:r>
      <m:oMath>
        <m:r>
          <m:rPr>
            <m:sty m:val="bi"/>
          </m:rPr>
          <w:rPr>
            <w:rFonts w:ascii="Cambria Math" w:hAnsi="Cambria Math"/>
            <w:sz w:val="22"/>
            <w:szCs w:val="22"/>
            <w:lang w:val="en"/>
          </w:rPr>
          <m:t>r</m:t>
        </m:r>
      </m:oMath>
      <w:r>
        <w:rPr>
          <w:rFonts w:ascii="Aptos" w:hAnsi="Aptos"/>
          <w:sz w:val="22"/>
          <w:szCs w:val="22"/>
          <w:lang w:val="en"/>
        </w:rPr>
        <w:t xml:space="preserve"> may change between samples, violating the static model assumption in Eq. (12).</w:t>
      </w:r>
    </w:p>
    <w:p w14:paraId="3D8F9FB1"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This is a pertinent concern, which we have tried to address in two ways:</w:t>
      </w:r>
    </w:p>
    <w:p w14:paraId="49EE2B02" w14:textId="77777777" w:rsidR="00000000" w:rsidRDefault="00000000">
      <w:pPr>
        <w:numPr>
          <w:ilvl w:val="0"/>
          <w:numId w:val="11"/>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Computational latency (Section VII-B-3, Fig. 7):</w:t>
      </w:r>
      <w:r>
        <w:rPr>
          <w:rFonts w:ascii="Aptos" w:eastAsia="Times New Roman" w:hAnsi="Aptos"/>
          <w:sz w:val="22"/>
          <w:szCs w:val="22"/>
          <w:lang w:val="en"/>
        </w:rPr>
        <w:t xml:space="preserve"> WLS: 0.018 </w:t>
      </w:r>
      <w:proofErr w:type="spellStart"/>
      <w:r>
        <w:rPr>
          <w:rFonts w:ascii="Aptos" w:eastAsia="Times New Roman" w:hAnsi="Aptos"/>
          <w:sz w:val="22"/>
          <w:szCs w:val="22"/>
          <w:lang w:val="en"/>
        </w:rPr>
        <w:t>ms</w:t>
      </w:r>
      <w:proofErr w:type="spellEnd"/>
      <w:r>
        <w:rPr>
          <w:rFonts w:ascii="Aptos" w:eastAsia="Times New Roman" w:hAnsi="Aptos"/>
          <w:sz w:val="22"/>
          <w:szCs w:val="22"/>
          <w:lang w:val="en"/>
        </w:rPr>
        <w:t xml:space="preserve"> median; GLS: 0.025 </w:t>
      </w:r>
      <w:proofErr w:type="spellStart"/>
      <w:r>
        <w:rPr>
          <w:rFonts w:ascii="Aptos" w:eastAsia="Times New Roman" w:hAnsi="Aptos"/>
          <w:sz w:val="22"/>
          <w:szCs w:val="22"/>
          <w:lang w:val="en"/>
        </w:rPr>
        <w:t>ms</w:t>
      </w:r>
      <w:proofErr w:type="spellEnd"/>
      <w:r>
        <w:rPr>
          <w:rFonts w:ascii="Aptos" w:eastAsia="Times New Roman" w:hAnsi="Aptos"/>
          <w:sz w:val="22"/>
          <w:szCs w:val="22"/>
          <w:lang w:val="en"/>
        </w:rPr>
        <w:t xml:space="preserve">; NLS: 0.65 </w:t>
      </w:r>
      <w:proofErr w:type="spellStart"/>
      <w:r>
        <w:rPr>
          <w:rFonts w:ascii="Aptos" w:eastAsia="Times New Roman" w:hAnsi="Aptos"/>
          <w:sz w:val="22"/>
          <w:szCs w:val="22"/>
          <w:lang w:val="en"/>
        </w:rPr>
        <w:t>ms.</w:t>
      </w:r>
      <w:proofErr w:type="spellEnd"/>
    </w:p>
    <w:p w14:paraId="50F4C02C" w14:textId="77777777" w:rsidR="00000000" w:rsidRDefault="00000000">
      <w:pPr>
        <w:numPr>
          <w:ilvl w:val="0"/>
          <w:numId w:val="11"/>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Acquisition latency (Conclusion):</w:t>
      </w:r>
      <w:r>
        <w:rPr>
          <w:rFonts w:ascii="Aptos" w:eastAsia="Times New Roman" w:hAnsi="Aptos"/>
          <w:sz w:val="22"/>
          <w:szCs w:val="22"/>
          <w:lang w:val="en"/>
        </w:rPr>
        <w:t xml:space="preserve"> For </w:t>
      </w:r>
      <m:oMath>
        <m:r>
          <w:rPr>
            <w:rFonts w:ascii="Cambria Math" w:eastAsia="Times New Roman" w:hAnsi="Cambria Math"/>
            <w:sz w:val="22"/>
            <w:szCs w:val="22"/>
            <w:lang w:val="en"/>
          </w:rPr>
          <m:t xml:space="preserve">K= </m:t>
        </m:r>
      </m:oMath>
      <w:r>
        <w:rPr>
          <w:rFonts w:ascii="Aptos" w:eastAsia="Times New Roman" w:hAnsi="Aptos"/>
          <w:sz w:val="22"/>
          <w:szCs w:val="22"/>
          <w:lang w:val="en"/>
        </w:rPr>
        <w:t>5 with state-of-the-art MEMS mirrors (kHz-rate), 6 measurements complete within a few ms. At pedestrian speed (</w:t>
      </w:r>
      <m:oMath>
        <m:r>
          <w:rPr>
            <w:rFonts w:ascii="Cambria Math" w:eastAsia="Times New Roman" w:hAnsi="Cambria Math"/>
            <w:sz w:val="22"/>
            <w:szCs w:val="22"/>
            <w:lang w:val="en"/>
          </w:rPr>
          <m:t>~</m:t>
        </m:r>
      </m:oMath>
      <w:r>
        <w:rPr>
          <w:rFonts w:ascii="Aptos" w:eastAsia="Times New Roman" w:hAnsi="Aptos"/>
          <w:sz w:val="22"/>
          <w:szCs w:val="22"/>
          <w:lang w:val="en"/>
        </w:rPr>
        <w:t xml:space="preserve">1.4 m/s), displacement during 6 ms is </w:t>
      </w:r>
      <m:oMath>
        <m:r>
          <w:rPr>
            <w:rFonts w:ascii="Cambria Math" w:eastAsia="Times New Roman" w:hAnsi="Cambria Math"/>
            <w:sz w:val="22"/>
            <w:szCs w:val="22"/>
            <w:lang w:val="en"/>
          </w:rPr>
          <m:t>~</m:t>
        </m:r>
      </m:oMath>
      <w:r>
        <w:rPr>
          <w:rFonts w:ascii="Aptos" w:eastAsia="Times New Roman" w:hAnsi="Aptos"/>
          <w:sz w:val="22"/>
          <w:szCs w:val="22"/>
          <w:lang w:val="en"/>
        </w:rPr>
        <w:t>8.4 mm—below centimeter positioning accuracy. The static model holds for typical indoor mobility.</w:t>
      </w:r>
    </w:p>
    <w:p w14:paraId="587D26A8"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For higher mobility, future work (ii) proposes intelligent refresh strategies exploiting the previous direction estimate to reduce required orientations.</w:t>
      </w:r>
    </w:p>
    <w:p w14:paraId="5440F098"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Section VII-B-3 has thus been added with Fig. 7 (latency), and the Conclusion (Section VIII) states: “For </w:t>
      </w:r>
      <m:oMath>
        <m:r>
          <w:rPr>
            <w:rFonts w:ascii="Cambria Math" w:hAnsi="Cambria Math"/>
            <w:sz w:val="22"/>
            <w:szCs w:val="22"/>
            <w:lang w:val="en"/>
          </w:rPr>
          <m:t xml:space="preserve">K= </m:t>
        </m:r>
      </m:oMath>
      <w:r>
        <w:rPr>
          <w:rFonts w:ascii="Aptos" w:hAnsi="Aptos"/>
          <w:sz w:val="22"/>
          <w:szCs w:val="22"/>
          <w:lang w:val="en"/>
        </w:rPr>
        <w:t>5 with state-of-the-art steering mechanisms, the total acquisition window is on the order of milliseconds, resulting in sub-centimeter displacement at pedestrian speeds”.</w:t>
      </w:r>
    </w:p>
    <w:p w14:paraId="5A5AD0D5"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The simulations only compare the proposed NL, GLS, and WLS estimators, without including existing methods or a common baseline such as maximum likelihood estimator. In addition, performance via SNR should also be provided.</w:t>
      </w:r>
    </w:p>
    <w:p w14:paraId="690A5E82" w14:textId="77777777" w:rsidR="00000000" w:rsidRDefault="00000000">
      <w:pPr>
        <w:pStyle w:val="resp"/>
        <w:spacing w:before="0" w:beforeAutospacing="0" w:after="80" w:line="276" w:lineRule="auto"/>
        <w:divId w:val="1499275216"/>
        <w:rPr>
          <w:rFonts w:ascii="Aptos" w:hAnsi="Aptos"/>
          <w:sz w:val="22"/>
          <w:szCs w:val="22"/>
          <w:lang w:val="en"/>
        </w:rPr>
      </w:pPr>
      <w:r>
        <w:rPr>
          <w:rStyle w:val="lev"/>
          <w:rFonts w:ascii="Aptos" w:hAnsi="Aptos"/>
          <w:sz w:val="22"/>
          <w:szCs w:val="22"/>
          <w:lang w:val="en"/>
        </w:rPr>
        <w:lastRenderedPageBreak/>
        <w:t>(a) Regarding comparison with existing methods.</w:t>
      </w:r>
      <w:r>
        <w:rPr>
          <w:rFonts w:ascii="Aptos" w:hAnsi="Aptos"/>
          <w:sz w:val="22"/>
          <w:szCs w:val="22"/>
          <w:lang w:val="en"/>
        </w:rPr>
        <w:t xml:space="preserve"> Our system is the first single-LED, single-PD, beam-steered 3D OWP architecture (Table I), so no directly comparable method exists under identical hardware assumptions. We include two baselines in the comparison:</w:t>
      </w:r>
    </w:p>
    <w:p w14:paraId="4DD886FB" w14:textId="77777777" w:rsidR="00000000" w:rsidRDefault="00000000">
      <w:pPr>
        <w:numPr>
          <w:ilvl w:val="0"/>
          <w:numId w:val="12"/>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Singular value decomposition (SVD) baseline [26]:</w:t>
      </w:r>
      <w:r>
        <w:rPr>
          <w:rFonts w:ascii="Aptos" w:eastAsia="Times New Roman" w:hAnsi="Aptos"/>
          <w:sz w:val="22"/>
          <w:szCs w:val="22"/>
          <w:lang w:val="en"/>
        </w:rPr>
        <w:t xml:space="preserve"> This is the only prior single-LED/single-PD beam-steered positioning method (</w:t>
      </w:r>
      <m:oMath>
        <m:r>
          <w:rPr>
            <w:rFonts w:ascii="Cambria Math" w:eastAsia="Times New Roman" w:hAnsi="Cambria Math"/>
            <w:sz w:val="22"/>
            <w:szCs w:val="22"/>
            <w:lang w:val="en"/>
          </w:rPr>
          <m:t xml:space="preserve">K= </m:t>
        </m:r>
      </m:oMath>
      <w:r>
        <w:rPr>
          <w:rFonts w:ascii="Aptos" w:eastAsia="Times New Roman" w:hAnsi="Aptos"/>
          <w:sz w:val="22"/>
          <w:szCs w:val="22"/>
          <w:lang w:val="en"/>
        </w:rPr>
        <w:t xml:space="preserve">3, 2D, unweighted). We extend it to 3D. Table VI shows GLS at </w:t>
      </w:r>
      <m:oMath>
        <m:r>
          <w:rPr>
            <w:rFonts w:ascii="Cambria Math" w:eastAsia="Times New Roman" w:hAnsi="Cambria Math"/>
            <w:sz w:val="22"/>
            <w:szCs w:val="22"/>
            <w:lang w:val="en"/>
          </w:rPr>
          <m:t>K=</m:t>
        </m:r>
      </m:oMath>
      <w:r>
        <w:rPr>
          <w:rFonts w:ascii="Aptos" w:eastAsia="Times New Roman" w:hAnsi="Aptos"/>
          <w:sz w:val="22"/>
          <w:szCs w:val="22"/>
          <w:lang w:val="en"/>
        </w:rPr>
        <w:t xml:space="preserve"> 5 achieves 2.52 cm RMSE vs. 11.05 cm for [26]—a 4.4</w:t>
      </w:r>
      <m:oMath>
        <m:r>
          <w:rPr>
            <w:rFonts w:ascii="Cambria Math" w:eastAsia="Times New Roman" w:hAnsi="Cambria Math"/>
            <w:sz w:val="22"/>
            <w:szCs w:val="22"/>
            <w:lang w:val="en"/>
          </w:rPr>
          <m:t>×</m:t>
        </m:r>
      </m:oMath>
      <w:r>
        <w:rPr>
          <w:rFonts w:ascii="Aptos" w:eastAsia="Times New Roman" w:hAnsi="Aptos"/>
          <w:sz w:val="22"/>
          <w:szCs w:val="22"/>
          <w:lang w:val="en"/>
        </w:rPr>
        <w:t xml:space="preserve"> improvement.</w:t>
      </w:r>
    </w:p>
    <w:p w14:paraId="06BF184A" w14:textId="77777777" w:rsidR="00000000" w:rsidRDefault="00000000">
      <w:pPr>
        <w:numPr>
          <w:ilvl w:val="0"/>
          <w:numId w:val="12"/>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DEB and PEB:</w:t>
      </w:r>
      <w:r>
        <w:rPr>
          <w:rFonts w:ascii="Aptos" w:eastAsia="Times New Roman" w:hAnsi="Aptos"/>
          <w:sz w:val="22"/>
          <w:szCs w:val="22"/>
          <w:lang w:val="en"/>
        </w:rPr>
        <w:t xml:space="preserve"> The information-theoretic lower bounds for direction finding and 3D positioning, respectively, serving as the ultimate performance references.</w:t>
      </w:r>
    </w:p>
    <w:p w14:paraId="6C137ED6"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Beyond these baselines, the revised manuscript now includes a </w:t>
      </w:r>
      <w:r>
        <w:rPr>
          <w:rStyle w:val="lev"/>
          <w:rFonts w:ascii="Aptos" w:hAnsi="Aptos"/>
          <w:sz w:val="22"/>
          <w:szCs w:val="22"/>
          <w:lang w:val="en"/>
        </w:rPr>
        <w:t>comprehensive standalone direction-finding evaluation</w:t>
      </w:r>
      <w:r>
        <w:rPr>
          <w:rFonts w:ascii="Aptos" w:hAnsi="Aptos"/>
          <w:sz w:val="22"/>
          <w:szCs w:val="22"/>
          <w:lang w:val="en"/>
        </w:rPr>
        <w:t xml:space="preserve"> (Section VII-A, entirely new) with dedicated metrics, which was absent from the original submission. This evaluation covers 1,792 positions </w:t>
      </w:r>
      <m:oMath>
        <m:r>
          <w:rPr>
            <w:rFonts w:ascii="Cambria Math" w:hAnsi="Cambria Math"/>
            <w:sz w:val="22"/>
            <w:szCs w:val="22"/>
            <w:lang w:val="en"/>
          </w:rPr>
          <m:t>×</m:t>
        </m:r>
      </m:oMath>
      <w:r>
        <w:rPr>
          <w:rFonts w:ascii="Aptos" w:hAnsi="Aptos"/>
          <w:sz w:val="22"/>
          <w:szCs w:val="22"/>
          <w:lang w:val="en"/>
        </w:rPr>
        <w:t xml:space="preserve"> 1,000 Monte Carlo trials (</w:t>
      </w:r>
      <m:oMath>
        <m:r>
          <w:rPr>
            <w:rFonts w:ascii="Cambria Math" w:hAnsi="Cambria Math"/>
            <w:sz w:val="22"/>
            <w:szCs w:val="22"/>
            <w:lang w:val="en"/>
          </w:rPr>
          <m:t>≈</m:t>
        </m:r>
      </m:oMath>
      <w:r>
        <w:rPr>
          <w:rFonts w:ascii="Aptos" w:hAnsi="Aptos"/>
          <w:sz w:val="22"/>
          <w:szCs w:val="22"/>
          <w:lang w:val="en"/>
        </w:rPr>
        <w:t>1.8 million evaluations per estimator) and reports: (i) sub-degree angular RMSE for all estimators, i.e., DEB: 0.52°, NLS: 0.63°, GLS: 0.66°, WLS: 0.77° (Table III); (ii) CDF 90% below 1.14° for all methods (Fig. 6); (iii) robustness to receiver tilt with &lt;3% degradation (Table III); and (iv) μs-level latency for GLS/WLS (Fig. 7). This standalone evaluation, focused on the direction-finding stage, is arguably the most complete characterization of single-LED direction estimation available in the literature.</w:t>
      </w:r>
    </w:p>
    <w:p w14:paraId="42F5BB2C"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Regarding the MLE, it is important to note that </w:t>
      </w:r>
      <w:r>
        <w:rPr>
          <w:rStyle w:val="lev"/>
          <w:rFonts w:ascii="Aptos" w:hAnsi="Aptos"/>
          <w:sz w:val="22"/>
          <w:szCs w:val="22"/>
          <w:lang w:val="en"/>
        </w:rPr>
        <w:t>GLS is actually the MLE of the linearized ratio model</w:t>
      </w:r>
      <w:r>
        <w:rPr>
          <w:rStyle w:val="lev"/>
          <w:rFonts w:ascii="Aptos" w:hAnsi="Aptos"/>
          <w:b w:val="0"/>
          <w:bCs w:val="0"/>
          <w:sz w:val="22"/>
          <w:szCs w:val="22"/>
          <w:lang w:val="en"/>
        </w:rPr>
        <w:t>, since  (</w:t>
      </w:r>
      <w:r>
        <w:rPr>
          <w:rFonts w:ascii="Aptos" w:hAnsi="Aptos"/>
          <w:sz w:val="22"/>
          <w:szCs w:val="22"/>
          <w:lang w:val="en"/>
        </w:rPr>
        <w:t xml:space="preserve">42) minimizes the </w:t>
      </w:r>
      <w:proofErr w:type="spellStart"/>
      <w:r>
        <w:rPr>
          <w:rFonts w:ascii="Aptos" w:hAnsi="Aptos"/>
          <w:sz w:val="22"/>
          <w:szCs w:val="22"/>
          <w:lang w:val="en"/>
        </w:rPr>
        <w:t>Mahalanobis</w:t>
      </w:r>
      <w:proofErr w:type="spellEnd"/>
      <w:r>
        <w:rPr>
          <w:rFonts w:ascii="Aptos" w:hAnsi="Aptos"/>
          <w:sz w:val="22"/>
          <w:szCs w:val="22"/>
          <w:lang w:val="en"/>
        </w:rPr>
        <w:t xml:space="preserve"> norm with optimal </w:t>
      </w:r>
      <m:oMath>
        <m:sSubSup>
          <m:sSubSupPr>
            <m:ctrlPr>
              <w:rPr>
                <w:rFonts w:ascii="Cambria Math" w:hAnsi="Cambria Math"/>
                <w:i/>
                <w:sz w:val="22"/>
                <w:szCs w:val="22"/>
                <w:lang w:val="en"/>
              </w:rPr>
            </m:ctrlPr>
          </m:sSubSupPr>
          <m:e>
            <m:r>
              <m:rPr>
                <m:sty m:val="b"/>
              </m:rPr>
              <w:rPr>
                <w:rFonts w:ascii="Cambria Math" w:hAnsi="Cambria Math"/>
                <w:sz w:val="22"/>
                <w:szCs w:val="22"/>
                <w:lang w:val="en"/>
              </w:rPr>
              <m:t>Σ</m:t>
            </m:r>
            <m:ctrlPr>
              <w:rPr>
                <w:rFonts w:ascii="Cambria Math" w:hAnsi="Cambria Math"/>
                <w:b/>
                <w:bCs/>
                <w:iCs/>
                <w:sz w:val="22"/>
                <w:szCs w:val="22"/>
                <w:lang w:val="en"/>
              </w:rPr>
            </m:ctrlPr>
          </m:e>
          <m:sub>
            <m:r>
              <w:rPr>
                <w:rFonts w:ascii="Cambria Math" w:hAnsi="Cambria Math"/>
                <w:sz w:val="22"/>
                <w:szCs w:val="22"/>
                <w:vertAlign w:val="subscript"/>
                <w:lang w:val="en"/>
              </w:rPr>
              <m:t>β</m:t>
            </m:r>
            <m:ctrlPr>
              <w:rPr>
                <w:rFonts w:ascii="Cambria Math" w:hAnsi="Cambria Math"/>
                <w:i/>
                <w:sz w:val="22"/>
                <w:szCs w:val="22"/>
                <w:vertAlign w:val="subscript"/>
                <w:lang w:val="en"/>
              </w:rPr>
            </m:ctrlPr>
          </m:sub>
          <m:sup>
            <m:r>
              <w:rPr>
                <w:rFonts w:ascii="Cambria Math" w:hAnsi="Cambria Math"/>
                <w:sz w:val="22"/>
                <w:szCs w:val="22"/>
                <w:lang w:val="en"/>
              </w:rPr>
              <m:t>-1</m:t>
            </m:r>
          </m:sup>
        </m:sSubSup>
      </m:oMath>
      <w:r>
        <w:rPr>
          <w:rFonts w:ascii="Aptos" w:hAnsi="Aptos"/>
          <w:sz w:val="22"/>
          <w:szCs w:val="22"/>
          <w:lang w:val="en"/>
        </w:rPr>
        <w:t xml:space="preserve">. </w:t>
      </w:r>
      <w:r>
        <w:rPr>
          <w:rStyle w:val="lev"/>
          <w:rFonts w:ascii="Aptos" w:hAnsi="Aptos"/>
          <w:b w:val="0"/>
          <w:bCs w:val="0"/>
          <w:sz w:val="22"/>
          <w:szCs w:val="22"/>
          <w:lang w:val="en"/>
        </w:rPr>
        <w:t>NLS is not the MLE</w:t>
      </w:r>
      <w:r>
        <w:rPr>
          <w:rFonts w:ascii="Aptos" w:hAnsi="Aptos"/>
          <w:sz w:val="22"/>
          <w:szCs w:val="22"/>
          <w:lang w:val="en"/>
        </w:rPr>
        <w:t xml:space="preserve"> (see the response to Comment 13 of Reviewer 2). A joint MLE over all </w:t>
      </w:r>
      <m:oMath>
        <m:r>
          <w:rPr>
            <w:rFonts w:ascii="Cambria Math" w:hAnsi="Cambria Math"/>
            <w:sz w:val="22"/>
            <w:szCs w:val="22"/>
            <w:lang w:val="en"/>
          </w:rPr>
          <m:t>K+1</m:t>
        </m:r>
      </m:oMath>
      <w:r>
        <w:rPr>
          <w:rFonts w:ascii="Aptos" w:hAnsi="Aptos"/>
          <w:sz w:val="22"/>
          <w:szCs w:val="22"/>
          <w:lang w:val="en"/>
        </w:rPr>
        <w:t xml:space="preserve"> measurements is not implementable because measurement </w:t>
      </w:r>
      <m:oMath>
        <m:r>
          <w:rPr>
            <w:rFonts w:ascii="Cambria Math" w:hAnsi="Cambria Math"/>
            <w:sz w:val="22"/>
            <w:szCs w:val="22"/>
            <w:lang w:val="en"/>
          </w:rPr>
          <m:t>K+1</m:t>
        </m:r>
      </m:oMath>
      <w:r>
        <w:rPr>
          <w:rFonts w:ascii="Aptos" w:hAnsi="Aptos"/>
          <w:sz w:val="22"/>
          <w:szCs w:val="22"/>
          <w:lang w:val="en"/>
        </w:rPr>
        <w:t xml:space="preserve"> is adaptive (depends on the estimated direction), violating the standard likelihood framework.</w:t>
      </w:r>
    </w:p>
    <w:p w14:paraId="681A6252" w14:textId="77777777" w:rsidR="00000000" w:rsidRDefault="00000000">
      <w:pPr>
        <w:pStyle w:val="resp"/>
        <w:spacing w:before="0" w:beforeAutospacing="0" w:after="80" w:line="276" w:lineRule="auto"/>
        <w:divId w:val="1499275216"/>
        <w:rPr>
          <w:rFonts w:ascii="Aptos" w:hAnsi="Aptos"/>
          <w:sz w:val="22"/>
          <w:szCs w:val="22"/>
          <w:lang w:val="en"/>
        </w:rPr>
      </w:pPr>
      <w:r>
        <w:rPr>
          <w:rStyle w:val="lev"/>
          <w:rFonts w:ascii="Aptos" w:hAnsi="Aptos"/>
          <w:sz w:val="22"/>
          <w:szCs w:val="22"/>
          <w:lang w:val="en"/>
        </w:rPr>
        <w:t>(b) Regarding SNR analysis.</w:t>
      </w:r>
      <w:r>
        <w:rPr>
          <w:rFonts w:ascii="Aptos" w:hAnsi="Aptos"/>
          <w:sz w:val="22"/>
          <w:szCs w:val="22"/>
          <w:lang w:val="en"/>
        </w:rPr>
        <w:t xml:space="preserve"> The revised manuscript provides SNR analysis at </w:t>
      </w:r>
      <w:r>
        <w:rPr>
          <w:rStyle w:val="Accentuation"/>
          <w:rFonts w:ascii="Aptos" w:hAnsi="Aptos"/>
          <w:sz w:val="22"/>
          <w:szCs w:val="22"/>
          <w:lang w:val="en"/>
        </w:rPr>
        <w:t>two complementary levels</w:t>
      </w:r>
      <w:r>
        <w:rPr>
          <w:rFonts w:ascii="Aptos" w:hAnsi="Aptos"/>
          <w:sz w:val="22"/>
          <w:szCs w:val="22"/>
          <w:lang w:val="en"/>
        </w:rPr>
        <w:t>:</w:t>
      </w:r>
    </w:p>
    <w:p w14:paraId="573ACDBD" w14:textId="77777777" w:rsidR="00000000" w:rsidRDefault="00000000">
      <w:pPr>
        <w:numPr>
          <w:ilvl w:val="0"/>
          <w:numId w:val="13"/>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Theoretical bounds vs. SNR (Fig. 5, Section IV):</w:t>
      </w:r>
      <w:r>
        <w:rPr>
          <w:rFonts w:ascii="Aptos" w:eastAsia="Times New Roman" w:hAnsi="Aptos"/>
          <w:sz w:val="22"/>
          <w:szCs w:val="22"/>
          <w:lang w:val="en"/>
        </w:rPr>
        <w:t xml:space="preserve"> RMS-DEB and RMS-PEB vs. SNR for </w:t>
      </w:r>
      <m:oMath>
        <m:r>
          <w:rPr>
            <w:rFonts w:ascii="Cambria Math" w:eastAsia="Times New Roman" w:hAnsi="Cambria Math"/>
            <w:sz w:val="22"/>
            <w:szCs w:val="22"/>
            <w:lang w:val="en"/>
          </w:rPr>
          <m:t>K</m:t>
        </m:r>
        <m:r>
          <w:rPr>
            <w:rFonts w:ascii="Cambria Math" w:eastAsia="Times New Roman" w:hAnsi="Cambria Math" w:cs="Cambria Math"/>
            <w:sz w:val="22"/>
            <w:szCs w:val="22"/>
            <w:lang w:val="en"/>
          </w:rPr>
          <m:t>∈</m:t>
        </m:r>
        <m:r>
          <w:rPr>
            <w:rFonts w:ascii="Cambria Math" w:eastAsia="Times New Roman" w:hAnsi="Cambria Math"/>
            <w:sz w:val="22"/>
            <w:szCs w:val="22"/>
            <w:lang w:val="en"/>
          </w:rPr>
          <m:t>{3,...,9}</m:t>
        </m:r>
      </m:oMath>
      <w:r>
        <w:rPr>
          <w:rFonts w:ascii="Aptos" w:eastAsia="Times New Roman" w:hAnsi="Aptos"/>
          <w:sz w:val="22"/>
          <w:szCs w:val="22"/>
          <w:lang w:val="en"/>
        </w:rPr>
        <w:t xml:space="preserve">, confirming the 1/√SNR CRLB scaling. This shows the best </w:t>
      </w:r>
      <w:r>
        <w:rPr>
          <w:rStyle w:val="Accentuation"/>
          <w:rFonts w:ascii="Aptos" w:eastAsia="Times New Roman" w:hAnsi="Aptos"/>
          <w:sz w:val="22"/>
          <w:szCs w:val="22"/>
          <w:lang w:val="en"/>
        </w:rPr>
        <w:t>achievable</w:t>
      </w:r>
      <w:r>
        <w:rPr>
          <w:rFonts w:ascii="Aptos" w:eastAsia="Times New Roman" w:hAnsi="Aptos"/>
          <w:sz w:val="22"/>
          <w:szCs w:val="22"/>
          <w:lang w:val="en"/>
        </w:rPr>
        <w:t xml:space="preserve"> performance.</w:t>
      </w:r>
    </w:p>
    <w:p w14:paraId="05F39F5C" w14:textId="77777777" w:rsidR="00000000" w:rsidRDefault="00000000">
      <w:pPr>
        <w:numPr>
          <w:ilvl w:val="0"/>
          <w:numId w:val="13"/>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Realized estimator performance vs. SNR (Fig. 10, Section VII-C, entirely new):</w:t>
      </w:r>
      <w:r>
        <w:rPr>
          <w:rFonts w:ascii="Aptos" w:eastAsia="Times New Roman" w:hAnsi="Aptos"/>
          <w:sz w:val="22"/>
          <w:szCs w:val="22"/>
          <w:lang w:val="en"/>
        </w:rPr>
        <w:t xml:space="preserve"> Full Monte Carlo simulation of GLS, WLS, and NLS over SNR </w:t>
      </w:r>
      <m:oMath>
        <m:r>
          <w:rPr>
            <w:rFonts w:ascii="Cambria Math" w:eastAsia="Times New Roman" w:hAnsi="Cambria Math" w:cs="Cambria Math"/>
            <w:sz w:val="22"/>
            <w:szCs w:val="22"/>
            <w:lang w:val="en"/>
          </w:rPr>
          <m:t>∈</m:t>
        </m:r>
      </m:oMath>
      <w:r>
        <w:rPr>
          <w:rFonts w:ascii="Aptos" w:eastAsia="Times New Roman" w:hAnsi="Aptos"/>
          <w:sz w:val="22"/>
          <w:szCs w:val="22"/>
          <w:lang w:val="en"/>
        </w:rPr>
        <w:t xml:space="preserve"> [10,50] dB (1,792 testbed positions, 1,000 trials per position per SNR point—totaling </w:t>
      </w:r>
      <m:oMath>
        <m:r>
          <w:rPr>
            <w:rFonts w:ascii="Cambria Math" w:eastAsia="Times New Roman" w:hAnsi="Cambria Math"/>
            <w:sz w:val="22"/>
            <w:szCs w:val="22"/>
            <w:lang w:val="en"/>
          </w:rPr>
          <m:t>≈</m:t>
        </m:r>
      </m:oMath>
      <w:r>
        <w:rPr>
          <w:rFonts w:ascii="Aptos" w:eastAsia="Times New Roman" w:hAnsi="Aptos"/>
          <w:sz w:val="22"/>
          <w:szCs w:val="22"/>
          <w:lang w:val="en"/>
        </w:rPr>
        <w:t xml:space="preserve">16.1 million estimator evaluations per method). This shows what the proposed estimators </w:t>
      </w:r>
      <w:r>
        <w:rPr>
          <w:rStyle w:val="Accentuation"/>
          <w:rFonts w:ascii="Aptos" w:eastAsia="Times New Roman" w:hAnsi="Aptos"/>
          <w:sz w:val="22"/>
          <w:szCs w:val="22"/>
          <w:lang w:val="en"/>
        </w:rPr>
        <w:t>actually achieve</w:t>
      </w:r>
      <w:r>
        <w:rPr>
          <w:rFonts w:ascii="Aptos" w:eastAsia="Times New Roman" w:hAnsi="Aptos"/>
          <w:sz w:val="22"/>
          <w:szCs w:val="22"/>
          <w:lang w:val="en"/>
        </w:rPr>
        <w:t xml:space="preserve">. Key findings: </w:t>
      </w:r>
    </w:p>
    <w:p w14:paraId="6E353BC6" w14:textId="77777777" w:rsidR="00000000" w:rsidRDefault="00000000">
      <w:pPr>
        <w:numPr>
          <w:ilvl w:val="1"/>
          <w:numId w:val="13"/>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All estimators follow the 1/√SNR slope, confirming asymptotic-regime operation across the entire range.</w:t>
      </w:r>
    </w:p>
    <w:p w14:paraId="0B431358" w14:textId="77777777" w:rsidR="00000000" w:rsidRDefault="00000000">
      <w:pPr>
        <w:numPr>
          <w:ilvl w:val="1"/>
          <w:numId w:val="13"/>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 xml:space="preserve">NLS tracks the DEB within a factor </w:t>
      </w:r>
      <m:oMath>
        <m:r>
          <w:rPr>
            <w:rFonts w:ascii="Cambria Math" w:eastAsia="Times New Roman" w:hAnsi="Cambria Math"/>
            <w:sz w:val="22"/>
            <w:szCs w:val="22"/>
            <w:lang w:val="en"/>
          </w:rPr>
          <m:t>≈</m:t>
        </m:r>
      </m:oMath>
      <w:r>
        <w:rPr>
          <w:rFonts w:ascii="Aptos" w:eastAsia="Times New Roman" w:hAnsi="Aptos"/>
          <w:sz w:val="22"/>
          <w:szCs w:val="22"/>
          <w:lang w:val="en"/>
        </w:rPr>
        <w:t>1.00</w:t>
      </w:r>
      <m:oMath>
        <m:r>
          <w:rPr>
            <w:rFonts w:ascii="Cambria Math" w:eastAsia="Times New Roman" w:hAnsi="Cambria Math"/>
            <w:sz w:val="22"/>
            <w:szCs w:val="22"/>
            <w:lang w:val="en"/>
          </w:rPr>
          <m:t>×</m:t>
        </m:r>
      </m:oMath>
      <w:r>
        <w:rPr>
          <w:rFonts w:ascii="Aptos" w:eastAsia="Times New Roman" w:hAnsi="Aptos"/>
          <w:sz w:val="22"/>
          <w:szCs w:val="22"/>
          <w:lang w:val="en"/>
        </w:rPr>
        <w:t xml:space="preserve"> (near-efficient), achieving 0.28° angular RMSE and 1.10 cm positioning RMSE at 20 dB.</w:t>
      </w:r>
    </w:p>
    <w:p w14:paraId="2749C68D" w14:textId="77777777" w:rsidR="00000000" w:rsidRDefault="00000000">
      <w:pPr>
        <w:numPr>
          <w:ilvl w:val="1"/>
          <w:numId w:val="13"/>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 xml:space="preserve">GLS remains at </w:t>
      </w:r>
      <m:oMath>
        <m:r>
          <w:rPr>
            <w:rFonts w:ascii="Cambria Math" w:eastAsia="Times New Roman" w:hAnsi="Cambria Math"/>
            <w:sz w:val="22"/>
            <w:szCs w:val="22"/>
            <w:lang w:val="en"/>
          </w:rPr>
          <m:t>≈</m:t>
        </m:r>
      </m:oMath>
      <w:r>
        <w:rPr>
          <w:rFonts w:ascii="Aptos" w:eastAsia="Times New Roman" w:hAnsi="Aptos"/>
          <w:sz w:val="22"/>
          <w:szCs w:val="22"/>
          <w:lang w:val="en"/>
        </w:rPr>
        <w:t>1.3</w:t>
      </w:r>
      <m:oMath>
        <m:r>
          <w:rPr>
            <w:rFonts w:ascii="Cambria Math" w:eastAsia="Times New Roman" w:hAnsi="Cambria Math"/>
            <w:sz w:val="22"/>
            <w:szCs w:val="22"/>
            <w:lang w:val="en"/>
          </w:rPr>
          <m:t>×</m:t>
        </m:r>
      </m:oMath>
      <w:r>
        <w:rPr>
          <w:rFonts w:ascii="Aptos" w:eastAsia="Times New Roman" w:hAnsi="Aptos"/>
          <w:sz w:val="22"/>
          <w:szCs w:val="22"/>
          <w:lang w:val="en"/>
        </w:rPr>
        <w:t xml:space="preserve"> and WLS at </w:t>
      </w:r>
      <m:oMath>
        <m:r>
          <w:rPr>
            <w:rFonts w:ascii="Cambria Math" w:eastAsia="Times New Roman" w:hAnsi="Cambria Math"/>
            <w:sz w:val="22"/>
            <w:szCs w:val="22"/>
            <w:lang w:val="en"/>
          </w:rPr>
          <m:t>≈</m:t>
        </m:r>
      </m:oMath>
      <w:r>
        <w:rPr>
          <w:rFonts w:ascii="Aptos" w:eastAsia="Times New Roman" w:hAnsi="Aptos"/>
          <w:sz w:val="22"/>
          <w:szCs w:val="22"/>
          <w:lang w:val="en"/>
        </w:rPr>
        <w:t>1.6</w:t>
      </w:r>
      <m:oMath>
        <m:r>
          <w:rPr>
            <w:rFonts w:ascii="Cambria Math" w:eastAsia="Times New Roman" w:hAnsi="Cambria Math"/>
            <w:sz w:val="22"/>
            <w:szCs w:val="22"/>
            <w:lang w:val="en"/>
          </w:rPr>
          <m:t>×</m:t>
        </m:r>
      </m:oMath>
      <w:r>
        <w:rPr>
          <w:rFonts w:ascii="Aptos" w:eastAsia="Times New Roman" w:hAnsi="Aptos"/>
          <w:sz w:val="22"/>
          <w:szCs w:val="22"/>
          <w:lang w:val="en"/>
        </w:rPr>
        <w:t xml:space="preserve"> above the DEB—constant-factor gaps that persist at all SNR levels, confirming the differences are structural.</w:t>
      </w:r>
    </w:p>
    <w:p w14:paraId="5452CFCF" w14:textId="77777777" w:rsidR="00000000" w:rsidRDefault="00000000">
      <w:pPr>
        <w:numPr>
          <w:ilvl w:val="1"/>
          <w:numId w:val="13"/>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 xml:space="preserve">The SNR axis maps directly to ambient light levels: higher ambient illuminance increases </w:t>
      </w:r>
      <m:oMath>
        <m:r>
          <w:rPr>
            <w:rFonts w:ascii="Cambria Math" w:eastAsia="Times New Roman" w:hAnsi="Cambria Math"/>
            <w:sz w:val="22"/>
            <w:szCs w:val="22"/>
            <w:lang w:val="en"/>
          </w:rPr>
          <m:t>σ²</m:t>
        </m:r>
      </m:oMath>
      <w:r>
        <w:rPr>
          <w:rFonts w:ascii="Aptos" w:eastAsia="Times New Roman" w:hAnsi="Aptos"/>
          <w:sz w:val="22"/>
          <w:szCs w:val="22"/>
          <w:lang w:val="en"/>
        </w:rPr>
        <w:t>, shifting the operating point leftward.</w:t>
      </w:r>
    </w:p>
    <w:p w14:paraId="07FB2812"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lastRenderedPageBreak/>
        <w:t>Figure 9 directly responds to this comment by providing estimator performance (not just bounds) across SNR, and closes the gap between the theoretical analysis (Fig. 5) and the single-point results (Table IV).</w:t>
      </w:r>
    </w:p>
    <w:p w14:paraId="493CF548"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We have therefore added Section VII-A (direction-finding evaluation), which is entirely new, along with Table II, Table III, and Fig. 6. Fig. 5 (bounds vs. SNR), that have been added in Section IV. </w:t>
      </w:r>
      <w:r>
        <w:rPr>
          <w:rStyle w:val="lev"/>
          <w:rFonts w:ascii="Aptos" w:hAnsi="Aptos"/>
          <w:b w:val="0"/>
          <w:bCs w:val="0"/>
          <w:sz w:val="22"/>
          <w:szCs w:val="22"/>
          <w:lang w:val="en"/>
        </w:rPr>
        <w:t>Section VII-C and Fig. 10 (estimator RMSE vs. SNR)</w:t>
      </w:r>
      <w:r>
        <w:rPr>
          <w:rFonts w:ascii="Aptos" w:hAnsi="Aptos"/>
          <w:sz w:val="22"/>
          <w:szCs w:val="22"/>
          <w:lang w:val="en"/>
        </w:rPr>
        <w:t xml:space="preserve"> have also been added in the revised manuscript, whereas Fig. 8 and Table IV include [26] baseline.</w:t>
      </w:r>
    </w:p>
    <w:p w14:paraId="429AB495"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In Table IV, the meanings of "RMSE," "CDF 90%," and "APE" of CRLB are unclear. RMSE and APE are statistical metrics obtained from multiple Monte Carlo trials, whereas the CRLB represents a theoretical performance bound for unbiased estimators and should not be treated as a random statistic.</w:t>
      </w:r>
    </w:p>
    <w:p w14:paraId="440E8169"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 xml:space="preserve">The reviewer is correct that the PEB is deterministic at each position. However, it </w:t>
      </w:r>
      <w:r>
        <w:rPr>
          <w:rStyle w:val="Accentuation"/>
          <w:rFonts w:ascii="Aptos" w:hAnsi="Aptos"/>
          <w:sz w:val="22"/>
          <w:szCs w:val="22"/>
          <w:lang w:val="en"/>
        </w:rPr>
        <w:t>varies spatially</w:t>
      </w:r>
      <w:r>
        <w:rPr>
          <w:rFonts w:ascii="Aptos" w:hAnsi="Aptos"/>
          <w:sz w:val="22"/>
          <w:szCs w:val="22"/>
          <w:lang w:val="en"/>
        </w:rPr>
        <w:t xml:space="preserve"> across 1,792 positions because it depends on </w:t>
      </w:r>
      <m:oMath>
        <m:r>
          <m:rPr>
            <m:sty m:val="b"/>
          </m:rPr>
          <w:rPr>
            <w:rStyle w:val="lev"/>
            <w:rFonts w:ascii="Cambria Math" w:hAnsi="Cambria Math"/>
            <w:sz w:val="22"/>
            <w:szCs w:val="22"/>
            <w:lang w:val="en"/>
          </w:rPr>
          <m:t>r</m:t>
        </m:r>
      </m:oMath>
      <w:r>
        <w:rPr>
          <w:rFonts w:ascii="Aptos" w:hAnsi="Aptos"/>
          <w:sz w:val="22"/>
          <w:szCs w:val="22"/>
          <w:lang w:val="en"/>
        </w:rPr>
        <w:t xml:space="preserve"> through the FIM. The metrics for PEB rows are therefore </w:t>
      </w:r>
      <w:r>
        <w:rPr>
          <w:rStyle w:val="lev"/>
          <w:rFonts w:ascii="Aptos" w:hAnsi="Aptos"/>
          <w:b w:val="0"/>
          <w:bCs w:val="0"/>
          <w:sz w:val="22"/>
          <w:szCs w:val="22"/>
          <w:lang w:val="en"/>
        </w:rPr>
        <w:t>spatial statistics</w:t>
      </w:r>
      <w:r>
        <w:rPr>
          <w:rFonts w:ascii="Aptos" w:hAnsi="Aptos"/>
          <w:sz w:val="22"/>
          <w:szCs w:val="22"/>
          <w:lang w:val="en"/>
        </w:rPr>
        <w:t>:</w:t>
      </w:r>
    </w:p>
    <w:p w14:paraId="7B876558" w14:textId="77777777" w:rsidR="00000000" w:rsidRDefault="00000000">
      <w:pPr>
        <w:numPr>
          <w:ilvl w:val="0"/>
          <w:numId w:val="14"/>
        </w:numPr>
        <w:spacing w:after="80" w:line="276" w:lineRule="auto"/>
        <w:ind w:left="714" w:hanging="357"/>
        <w:jc w:val="both"/>
        <w:divId w:val="1499275216"/>
        <w:rPr>
          <w:rFonts w:ascii="Aptos" w:eastAsia="Times New Roman" w:hAnsi="Aptos"/>
          <w:sz w:val="22"/>
          <w:szCs w:val="22"/>
          <w:lang w:val="en"/>
        </w:rPr>
      </w:pPr>
      <w:r>
        <w:rPr>
          <w:rFonts w:ascii="Aptos" w:eastAsia="Times New Roman" w:hAnsi="Aptos"/>
          <w:sz w:val="22"/>
          <w:szCs w:val="22"/>
          <w:lang w:val="en"/>
        </w:rPr>
        <w:t xml:space="preserve">“RMSE”: </w:t>
      </w:r>
      <m:oMath>
        <m:r>
          <w:rPr>
            <w:rFonts w:ascii="Cambria Math" w:eastAsia="Times New Roman" w:hAnsi="Cambria Math"/>
            <w:sz w:val="22"/>
            <w:szCs w:val="22"/>
            <w:lang w:val="en"/>
          </w:rPr>
          <m:t>√{(1/</m:t>
        </m:r>
        <m:d>
          <m:dPr>
            <m:begChr m:val="|"/>
            <m:endChr m:val="|"/>
            <m:ctrlPr>
              <w:rPr>
                <w:rFonts w:ascii="Cambria Math" w:eastAsia="Times New Roman" w:hAnsi="Cambria Math"/>
                <w:i/>
                <w:sz w:val="22"/>
                <w:szCs w:val="22"/>
                <w:lang w:val="en"/>
              </w:rPr>
            </m:ctrlPr>
          </m:dPr>
          <m:e>
            <m:r>
              <m:rPr>
                <m:scr m:val="script"/>
              </m:rPr>
              <w:rPr>
                <w:rFonts w:ascii="Cambria Math" w:eastAsia="Times New Roman" w:hAnsi="Cambria Math"/>
                <w:sz w:val="22"/>
                <w:szCs w:val="22"/>
                <w:lang w:val="en"/>
              </w:rPr>
              <m:t>R</m:t>
            </m:r>
          </m:e>
        </m:d>
        <m:r>
          <w:rPr>
            <w:rFonts w:ascii="Cambria Math" w:eastAsia="Times New Roman" w:hAnsi="Cambria Math"/>
            <w:sz w:val="22"/>
            <w:szCs w:val="22"/>
            <w:lang w:val="en"/>
          </w:rPr>
          <m:t>)∑</m:t>
        </m:r>
        <m:r>
          <m:rPr>
            <m:sty m:val="p"/>
          </m:rPr>
          <w:rPr>
            <w:rFonts w:ascii="Cambria Math" w:eastAsia="Times New Roman" w:hAnsi="Cambria Math"/>
            <w:sz w:val="22"/>
            <w:szCs w:val="22"/>
            <w:lang w:val="en"/>
          </w:rPr>
          <m:t>PEB</m:t>
        </m:r>
        <m:r>
          <w:rPr>
            <w:rFonts w:ascii="Cambria Math" w:eastAsia="Times New Roman" w:hAnsi="Cambria Math"/>
            <w:sz w:val="22"/>
            <w:szCs w:val="22"/>
            <w:lang w:val="en"/>
          </w:rPr>
          <m:t>²(r)}</m:t>
        </m:r>
      </m:oMath>
      <w:r>
        <w:rPr>
          <w:rFonts w:ascii="Aptos" w:eastAsia="Times New Roman" w:hAnsi="Aptos"/>
          <w:sz w:val="22"/>
          <w:szCs w:val="22"/>
          <w:lang w:val="en"/>
        </w:rPr>
        <w:t>, is the deterministic spatial RMS, not Monte Carlo.</w:t>
      </w:r>
    </w:p>
    <w:p w14:paraId="1447D6C2" w14:textId="77777777" w:rsidR="00000000" w:rsidRDefault="00000000">
      <w:pPr>
        <w:numPr>
          <w:ilvl w:val="0"/>
          <w:numId w:val="14"/>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“CDF 90%”: 90th percentile of PEB across positions.</w:t>
      </w:r>
    </w:p>
    <w:p w14:paraId="230698A2" w14:textId="77777777" w:rsidR="00000000" w:rsidRDefault="00000000">
      <w:pPr>
        <w:numPr>
          <w:ilvl w:val="0"/>
          <w:numId w:val="14"/>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 xml:space="preserve">“APE”: spatial mean </w:t>
      </w:r>
      <m:oMath>
        <m:r>
          <w:rPr>
            <w:rFonts w:ascii="Cambria Math" w:eastAsia="Times New Roman" w:hAnsi="Cambria Math"/>
            <w:sz w:val="22"/>
            <w:szCs w:val="22"/>
            <w:lang w:val="en"/>
          </w:rPr>
          <m:t>(1/|</m:t>
        </m:r>
        <m:r>
          <m:rPr>
            <m:scr m:val="script"/>
          </m:rPr>
          <w:rPr>
            <w:rFonts w:ascii="Cambria Math" w:eastAsia="Times New Roman" w:hAnsi="Cambria Math"/>
            <w:sz w:val="22"/>
            <w:szCs w:val="22"/>
            <w:lang w:val="en"/>
          </w:rPr>
          <m:t>R|)∑</m:t>
        </m:r>
        <m:r>
          <m:rPr>
            <m:sty m:val="p"/>
          </m:rPr>
          <w:rPr>
            <w:rFonts w:ascii="Cambria Math" w:eastAsia="Times New Roman" w:hAnsi="Cambria Math"/>
            <w:sz w:val="22"/>
            <w:szCs w:val="22"/>
            <w:lang w:val="en"/>
          </w:rPr>
          <m:t>PEB</m:t>
        </m:r>
        <m:r>
          <w:rPr>
            <w:rFonts w:ascii="Cambria Math" w:eastAsia="Times New Roman" w:hAnsi="Cambria Math"/>
            <w:sz w:val="22"/>
            <w:szCs w:val="22"/>
            <w:lang w:val="en"/>
          </w:rPr>
          <m:t>(r)</m:t>
        </m:r>
      </m:oMath>
      <w:r>
        <w:rPr>
          <w:rFonts w:ascii="Aptos" w:eastAsia="Times New Roman" w:hAnsi="Aptos"/>
          <w:sz w:val="22"/>
          <w:szCs w:val="22"/>
          <w:lang w:val="en"/>
        </w:rPr>
        <w:t>.</w:t>
      </w:r>
    </w:p>
    <w:p w14:paraId="4F1A559E"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A note has been added below Table IV: “For the PEB rows, ‘RMSE’ denotes the root-mean-square of the PEB over all testbed positions (a deterministic spatial statistic, not a Monte Carlo estimate); ‘CDF 90%’ is the 90th percentile across positions; ‘APE’ is the spatial mean PEB”. The term “CRLB” has also been replaced by “PEB” in the table.</w:t>
      </w:r>
    </w:p>
    <w:p w14:paraId="40537546"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Section VII-B-3) states that the NL estimator is implemented using Gauss-Newton iterations. Since Gauss-Newton is a typical implementation of MLE under Gaussian noise, it is expected to achieve the CRLB asymptotically. The observed performance gap requires further explanation.</w:t>
      </w:r>
    </w:p>
    <w:p w14:paraId="5CC6E754" w14:textId="77777777" w:rsidR="00000000" w:rsidRDefault="00000000">
      <w:pPr>
        <w:pStyle w:val="resp"/>
        <w:spacing w:before="0" w:beforeAutospacing="0" w:after="80" w:line="276" w:lineRule="auto"/>
        <w:divId w:val="1499275216"/>
        <w:rPr>
          <w:rFonts w:ascii="Aptos" w:hAnsi="Aptos"/>
          <w:sz w:val="22"/>
          <w:szCs w:val="22"/>
          <w:lang w:val="en"/>
        </w:rPr>
      </w:pPr>
      <w:r>
        <w:rPr>
          <w:rStyle w:val="lev"/>
          <w:rFonts w:ascii="Aptos" w:hAnsi="Aptos"/>
          <w:b w:val="0"/>
          <w:bCs w:val="0"/>
          <w:sz w:val="22"/>
          <w:szCs w:val="22"/>
          <w:lang w:val="en"/>
        </w:rPr>
        <w:t>In line with the response to Comment 11 from Reviewer 2, it is important to note that the NLS is not the MLE</w:t>
      </w:r>
      <w:r>
        <w:rPr>
          <w:rFonts w:ascii="Aptos" w:hAnsi="Aptos"/>
          <w:sz w:val="22"/>
          <w:szCs w:val="22"/>
          <w:lang w:val="en"/>
        </w:rPr>
        <w:t xml:space="preserve"> and is therefore not expected to achieve the CRLB/PEB. The reasons are:</w:t>
      </w:r>
    </w:p>
    <w:p w14:paraId="55A566BE" w14:textId="77777777" w:rsidR="00000000" w:rsidRDefault="00000000">
      <w:pPr>
        <w:numPr>
          <w:ilvl w:val="0"/>
          <w:numId w:val="15"/>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NLS does not fit the full likelihood.</w:t>
      </w:r>
      <w:r>
        <w:rPr>
          <w:rFonts w:ascii="Aptos" w:eastAsia="Times New Roman" w:hAnsi="Aptos"/>
          <w:sz w:val="22"/>
          <w:szCs w:val="22"/>
          <w:lang w:val="en"/>
        </w:rPr>
        <w:t xml:space="preserve"> It operates on max-normalized powers (24), which eliminates </w:t>
      </w:r>
      <m:oMath>
        <m:r>
          <w:rPr>
            <w:rFonts w:ascii="Cambria Math" w:eastAsia="Times New Roman" w:hAnsi="Cambria Math"/>
            <w:sz w:val="22"/>
            <w:szCs w:val="22"/>
            <w:lang w:val="en"/>
          </w:rPr>
          <m:t>η</m:t>
        </m:r>
      </m:oMath>
      <w:r>
        <w:rPr>
          <w:rFonts w:ascii="Aptos" w:eastAsia="Times New Roman" w:hAnsi="Aptos"/>
          <w:sz w:val="22"/>
          <w:szCs w:val="22"/>
          <w:lang w:val="en"/>
        </w:rPr>
        <w:t xml:space="preserve"> (and hence distance information) by design. The MLE would jointly process all </w:t>
      </w:r>
      <m:oMath>
        <m:r>
          <w:rPr>
            <w:rFonts w:ascii="Cambria Math" w:eastAsia="Times New Roman" w:hAnsi="Cambria Math"/>
            <w:sz w:val="22"/>
            <w:szCs w:val="22"/>
            <w:lang w:val="en"/>
          </w:rPr>
          <m:t>K+1</m:t>
        </m:r>
      </m:oMath>
      <w:r>
        <w:rPr>
          <w:rFonts w:ascii="Aptos" w:eastAsia="Times New Roman" w:hAnsi="Aptos"/>
          <w:sz w:val="22"/>
          <w:szCs w:val="22"/>
          <w:lang w:val="en"/>
        </w:rPr>
        <w:t xml:space="preserve"> raw powers to estimate </w:t>
      </w:r>
      <m:oMath>
        <m:r>
          <w:rPr>
            <w:rFonts w:ascii="Cambria Math" w:eastAsia="Times New Roman" w:hAnsi="Cambria Math"/>
            <w:sz w:val="22"/>
            <w:szCs w:val="22"/>
            <w:lang w:val="en"/>
          </w:rPr>
          <m:t>(</m:t>
        </m:r>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n</m:t>
            </m:r>
          </m:e>
          <m:sub>
            <m:r>
              <w:rPr>
                <w:rFonts w:ascii="Cambria Math" w:eastAsia="Times New Roman" w:hAnsi="Cambria Math"/>
                <w:sz w:val="22"/>
                <w:szCs w:val="22"/>
                <w:vertAlign w:val="subscript"/>
                <w:lang w:val="en"/>
              </w:rPr>
              <m:t>d</m:t>
            </m:r>
          </m:sub>
        </m:sSub>
        <m:r>
          <w:rPr>
            <w:rFonts w:ascii="Cambria Math" w:eastAsia="Times New Roman" w:hAnsi="Cambria Math"/>
            <w:sz w:val="22"/>
            <w:szCs w:val="22"/>
            <w:lang w:val="en"/>
          </w:rPr>
          <m:t>, d)</m:t>
        </m:r>
      </m:oMath>
      <w:r>
        <w:rPr>
          <w:rFonts w:ascii="Aptos" w:eastAsia="Times New Roman" w:hAnsi="Aptos"/>
          <w:sz w:val="22"/>
          <w:szCs w:val="22"/>
          <w:lang w:val="en"/>
        </w:rPr>
        <w:t xml:space="preserve"> simultaneously. Our NLS estimates only the direction from </w:t>
      </w:r>
      <m:oMath>
        <m:r>
          <w:rPr>
            <w:rFonts w:ascii="Cambria Math" w:eastAsia="Times New Roman" w:hAnsi="Cambria Math"/>
            <w:sz w:val="22"/>
            <w:szCs w:val="22"/>
            <w:lang w:val="en"/>
          </w:rPr>
          <m:t>K</m:t>
        </m:r>
      </m:oMath>
      <w:r>
        <w:rPr>
          <w:rFonts w:ascii="Aptos" w:eastAsia="Times New Roman" w:hAnsi="Aptos"/>
          <w:sz w:val="22"/>
          <w:szCs w:val="22"/>
          <w:lang w:val="en"/>
        </w:rPr>
        <w:t xml:space="preserve"> normalized measurements.</w:t>
      </w:r>
    </w:p>
    <w:p w14:paraId="45637013" w14:textId="77777777" w:rsidR="00000000" w:rsidRDefault="00000000">
      <w:pPr>
        <w:numPr>
          <w:ilvl w:val="0"/>
          <w:numId w:val="15"/>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Two-stage decomposition loss.</w:t>
      </w:r>
      <w:r>
        <w:rPr>
          <w:rFonts w:ascii="Aptos" w:eastAsia="Times New Roman" w:hAnsi="Aptos"/>
          <w:sz w:val="22"/>
          <w:szCs w:val="22"/>
          <w:lang w:val="en"/>
        </w:rPr>
        <w:t xml:space="preserve"> By decomposing direction finding and distance recovery into separate stages, the absolute power information (which carries distance information) is discarded during direction finding. The PEB assumes joint estimation from all </w:t>
      </w:r>
      <m:oMath>
        <m:r>
          <w:rPr>
            <w:rFonts w:ascii="Cambria Math" w:eastAsia="Times New Roman" w:hAnsi="Cambria Math"/>
            <w:sz w:val="22"/>
            <w:szCs w:val="22"/>
            <w:lang w:val="en"/>
          </w:rPr>
          <m:t>K+1</m:t>
        </m:r>
      </m:oMath>
      <w:r>
        <w:rPr>
          <w:rFonts w:ascii="Aptos" w:eastAsia="Times New Roman" w:hAnsi="Aptos"/>
          <w:sz w:val="22"/>
          <w:szCs w:val="22"/>
          <w:lang w:val="en"/>
        </w:rPr>
        <w:t xml:space="preserve"> measurements.</w:t>
      </w:r>
    </w:p>
    <w:p w14:paraId="12CF55B5" w14:textId="77777777" w:rsidR="00000000" w:rsidRDefault="00000000">
      <w:pPr>
        <w:numPr>
          <w:ilvl w:val="0"/>
          <w:numId w:val="15"/>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PEB assumes perfect beam alignment.</w:t>
      </w:r>
      <w:r>
        <w:rPr>
          <w:rFonts w:ascii="Aptos" w:eastAsia="Times New Roman" w:hAnsi="Aptos"/>
          <w:sz w:val="22"/>
          <w:szCs w:val="22"/>
          <w:lang w:val="en"/>
        </w:rPr>
        <w:t xml:space="preserve"> In the (</w:t>
      </w:r>
      <m:oMath>
        <m:r>
          <w:rPr>
            <w:rFonts w:ascii="Cambria Math" w:eastAsia="Times New Roman" w:hAnsi="Cambria Math"/>
            <w:sz w:val="22"/>
            <w:szCs w:val="22"/>
            <w:lang w:val="en"/>
          </w:rPr>
          <m:t>K+1</m:t>
        </m:r>
      </m:oMath>
      <w:r>
        <w:rPr>
          <w:rFonts w:ascii="Aptos" w:eastAsia="Times New Roman" w:hAnsi="Aptos"/>
          <w:sz w:val="22"/>
          <w:szCs w:val="22"/>
          <w:lang w:val="en"/>
        </w:rPr>
        <w:t xml:space="preserve">)-th measurement, the PEB assumes </w:t>
      </w:r>
      <m:oMath>
        <m:func>
          <m:funcPr>
            <m:ctrlPr>
              <w:rPr>
                <w:rFonts w:ascii="Cambria Math" w:eastAsia="Times New Roman" w:hAnsi="Cambria Math"/>
                <w:i/>
                <w:sz w:val="22"/>
                <w:szCs w:val="22"/>
                <w:lang w:val="en"/>
              </w:rPr>
            </m:ctrlPr>
          </m:funcPr>
          <m:fName>
            <m:r>
              <m:rPr>
                <m:sty m:val="p"/>
              </m:rPr>
              <w:rPr>
                <w:rFonts w:ascii="Cambria Math" w:eastAsia="Times New Roman" w:hAnsi="Cambria Math"/>
                <w:sz w:val="22"/>
                <w:szCs w:val="22"/>
                <w:lang w:val="en"/>
              </w:rPr>
              <m:t>cos</m:t>
            </m:r>
          </m:fName>
          <m:e>
            <m:r>
              <w:rPr>
                <w:rFonts w:ascii="Cambria Math" w:eastAsia="Times New Roman" w:hAnsi="Cambria Math"/>
                <w:sz w:val="22"/>
                <w:szCs w:val="22"/>
                <w:lang w:val="en"/>
              </w:rPr>
              <m:t>ϕ</m:t>
            </m:r>
          </m:e>
        </m:func>
        <m:r>
          <w:rPr>
            <w:rFonts w:ascii="Cambria Math" w:eastAsia="Times New Roman" w:hAnsi="Cambria Math"/>
            <w:sz w:val="22"/>
            <w:szCs w:val="22"/>
            <w:lang w:val="en"/>
          </w:rPr>
          <m:t>=</m:t>
        </m:r>
        <m:func>
          <m:funcPr>
            <m:ctrlPr>
              <w:rPr>
                <w:rFonts w:ascii="Cambria Math" w:eastAsia="Times New Roman" w:hAnsi="Cambria Math"/>
                <w:i/>
                <w:sz w:val="22"/>
                <w:szCs w:val="22"/>
                <w:lang w:val="en"/>
              </w:rPr>
            </m:ctrlPr>
          </m:funcPr>
          <m:fName>
            <m:r>
              <m:rPr>
                <m:sty m:val="p"/>
              </m:rPr>
              <w:rPr>
                <w:rFonts w:ascii="Cambria Math" w:eastAsia="Times New Roman" w:hAnsi="Cambria Math"/>
                <w:sz w:val="22"/>
                <w:szCs w:val="22"/>
                <w:lang w:val="en"/>
              </w:rPr>
              <m:t>cos</m:t>
            </m:r>
          </m:fName>
          <m:e>
            <m:r>
              <w:rPr>
                <w:rFonts w:ascii="Cambria Math" w:eastAsia="Times New Roman" w:hAnsi="Cambria Math"/>
                <w:sz w:val="22"/>
                <w:szCs w:val="22"/>
                <w:lang w:val="en"/>
              </w:rPr>
              <m:t>ψ</m:t>
            </m:r>
          </m:e>
        </m:func>
        <m:r>
          <w:rPr>
            <w:rFonts w:ascii="Cambria Math" w:eastAsia="Times New Roman" w:hAnsi="Cambria Math"/>
            <w:sz w:val="22"/>
            <w:szCs w:val="22"/>
            <w:lang w:val="en"/>
          </w:rPr>
          <m:t>=1</m:t>
        </m:r>
      </m:oMath>
      <w:r>
        <w:rPr>
          <w:rFonts w:ascii="Aptos" w:eastAsia="Times New Roman" w:hAnsi="Aptos"/>
          <w:sz w:val="22"/>
          <w:szCs w:val="22"/>
          <w:lang w:val="en"/>
        </w:rPr>
        <w:t xml:space="preserve"> exactly, which no practical estimator can achieve since it relies on the estimated (imperfect) direction.</w:t>
      </w:r>
    </w:p>
    <w:p w14:paraId="3717BB33" w14:textId="77777777" w:rsidR="00000000" w:rsidRDefault="00000000">
      <w:pPr>
        <w:numPr>
          <w:ilvl w:val="0"/>
          <w:numId w:val="15"/>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Implementation:</w:t>
      </w:r>
      <w:r>
        <w:rPr>
          <w:rFonts w:ascii="Aptos" w:eastAsia="Times New Roman" w:hAnsi="Aptos"/>
          <w:sz w:val="22"/>
          <w:szCs w:val="22"/>
          <w:lang w:val="en"/>
        </w:rPr>
        <w:t xml:space="preserve"> The NLS in the revised manuscript is solved via a spherical-coordinate reparameterization (eliminating the unit-sphere constraint) using MATLAB’s </w:t>
      </w:r>
      <w:proofErr w:type="spellStart"/>
      <w:r>
        <w:rPr>
          <w:rStyle w:val="CodeHTML"/>
          <w:lang w:val="en"/>
        </w:rPr>
        <w:t>lsqnonlin</w:t>
      </w:r>
      <w:proofErr w:type="spellEnd"/>
      <w:r>
        <w:rPr>
          <w:rFonts w:ascii="Aptos" w:eastAsia="Times New Roman" w:hAnsi="Aptos"/>
          <w:sz w:val="22"/>
          <w:szCs w:val="22"/>
          <w:lang w:val="en"/>
        </w:rPr>
        <w:t xml:space="preserve"> </w:t>
      </w:r>
      <w:r>
        <w:rPr>
          <w:rFonts w:ascii="Aptos" w:eastAsia="Times New Roman" w:hAnsi="Aptos"/>
          <w:sz w:val="22"/>
          <w:szCs w:val="22"/>
          <w:lang w:val="en"/>
        </w:rPr>
        <w:lastRenderedPageBreak/>
        <w:t xml:space="preserve">(Levenberg–Marquardt), which exploits the sum-of-squares structure of the cost function through the Gauss–Newton Hessian approximation </w:t>
      </w:r>
      <m:oMath>
        <m:sSup>
          <m:sSupPr>
            <m:ctrlPr>
              <w:rPr>
                <w:rFonts w:ascii="Cambria Math" w:eastAsia="Times New Roman" w:hAnsi="Cambria Math"/>
                <w:iCs/>
                <w:sz w:val="22"/>
                <w:szCs w:val="22"/>
                <w:lang w:val="en"/>
              </w:rPr>
            </m:ctrlPr>
          </m:sSupPr>
          <m:e>
            <m:r>
              <m:rPr>
                <m:sty m:val="b"/>
              </m:rPr>
              <w:rPr>
                <w:rStyle w:val="lev"/>
                <w:rFonts w:ascii="Cambria Math" w:eastAsia="Times New Roman" w:hAnsi="Cambria Math"/>
                <w:sz w:val="22"/>
                <w:szCs w:val="22"/>
                <w:lang w:val="en"/>
              </w:rPr>
              <m:t>J</m:t>
            </m:r>
          </m:e>
          <m:sup>
            <m:r>
              <w:rPr>
                <w:rFonts w:ascii="Cambria Math" w:eastAsia="Times New Roman" w:hAnsi="Cambria Math"/>
                <w:sz w:val="22"/>
                <w:szCs w:val="22"/>
                <w:vertAlign w:val="superscript"/>
                <w:lang w:val="en"/>
              </w:rPr>
              <m:t>T</m:t>
            </m:r>
          </m:sup>
        </m:sSup>
        <m:r>
          <m:rPr>
            <m:sty m:val="b"/>
          </m:rPr>
          <w:rPr>
            <w:rStyle w:val="lev"/>
            <w:rFonts w:ascii="Cambria Math" w:eastAsia="Times New Roman" w:hAnsi="Cambria Math"/>
            <w:sz w:val="22"/>
            <w:szCs w:val="22"/>
            <w:lang w:val="en"/>
          </w:rPr>
          <m:t>J</m:t>
        </m:r>
      </m:oMath>
      <w:r>
        <w:rPr>
          <w:rFonts w:ascii="Aptos" w:eastAsia="Times New Roman" w:hAnsi="Aptos"/>
          <w:sz w:val="22"/>
          <w:szCs w:val="22"/>
          <w:lang w:val="en"/>
        </w:rPr>
        <w:t>, achieving quadratic convergence near the zero-residual solution.</w:t>
      </w:r>
    </w:p>
    <w:p w14:paraId="24756115"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The performance gap with respect to the </w:t>
      </w:r>
      <w:r>
        <w:rPr>
          <w:rStyle w:val="lev"/>
          <w:rFonts w:ascii="Aptos" w:hAnsi="Aptos"/>
          <w:b w:val="0"/>
          <w:bCs w:val="0"/>
          <w:sz w:val="22"/>
          <w:szCs w:val="22"/>
          <w:lang w:val="en"/>
        </w:rPr>
        <w:t>PEB</w:t>
      </w:r>
      <w:r>
        <w:rPr>
          <w:rFonts w:ascii="Aptos" w:hAnsi="Aptos"/>
          <w:sz w:val="22"/>
          <w:szCs w:val="22"/>
          <w:lang w:val="en"/>
        </w:rPr>
        <w:t xml:space="preserve"> (3D positioning bound) is therefore </w:t>
      </w:r>
      <w:r>
        <w:rPr>
          <w:rStyle w:val="lev"/>
          <w:rFonts w:ascii="Aptos" w:hAnsi="Aptos"/>
          <w:b w:val="0"/>
          <w:bCs w:val="0"/>
          <w:sz w:val="22"/>
          <w:szCs w:val="22"/>
          <w:lang w:val="en"/>
        </w:rPr>
        <w:t>structural</w:t>
      </w:r>
      <w:r>
        <w:rPr>
          <w:rFonts w:ascii="Aptos" w:hAnsi="Aptos"/>
          <w:sz w:val="22"/>
          <w:szCs w:val="22"/>
          <w:lang w:val="en"/>
        </w:rPr>
        <w:t xml:space="preserve"> (inherent to the two-stage architecture) rather than algorithmic. Crucially, when examining the </w:t>
      </w:r>
      <w:r>
        <w:rPr>
          <w:rStyle w:val="lev"/>
          <w:rFonts w:ascii="Aptos" w:hAnsi="Aptos"/>
          <w:b w:val="0"/>
          <w:bCs w:val="0"/>
          <w:sz w:val="22"/>
          <w:szCs w:val="22"/>
          <w:lang w:val="en"/>
        </w:rPr>
        <w:t>direction-finding stage in isolation</w:t>
      </w:r>
      <w:r>
        <w:rPr>
          <w:rFonts w:ascii="Aptos" w:hAnsi="Aptos"/>
          <w:sz w:val="22"/>
          <w:szCs w:val="22"/>
          <w:lang w:val="en"/>
        </w:rPr>
        <w:t xml:space="preserve"> (which is the primary contribution), the NLS estimator is </w:t>
      </w:r>
      <w:r>
        <w:rPr>
          <w:rStyle w:val="lev"/>
          <w:rFonts w:ascii="Aptos" w:hAnsi="Aptos"/>
          <w:b w:val="0"/>
          <w:bCs w:val="0"/>
          <w:sz w:val="22"/>
          <w:szCs w:val="22"/>
          <w:lang w:val="en"/>
        </w:rPr>
        <w:t>near-efficient</w:t>
      </w:r>
      <w:r>
        <w:rPr>
          <w:rFonts w:ascii="Aptos" w:hAnsi="Aptos"/>
          <w:sz w:val="22"/>
          <w:szCs w:val="22"/>
          <w:lang w:val="en"/>
        </w:rPr>
        <w:t xml:space="preserve">: it tracks the DEB within a factor </w:t>
      </w:r>
      <m:oMath>
        <m:r>
          <w:rPr>
            <w:rFonts w:ascii="Cambria Math" w:hAnsi="Cambria Math"/>
            <w:sz w:val="22"/>
            <w:szCs w:val="22"/>
            <w:lang w:val="en"/>
          </w:rPr>
          <m:t>≈</m:t>
        </m:r>
      </m:oMath>
      <w:r>
        <w:rPr>
          <w:rFonts w:ascii="Aptos" w:hAnsi="Aptos"/>
          <w:sz w:val="22"/>
          <w:szCs w:val="22"/>
          <w:lang w:val="en"/>
        </w:rPr>
        <w:t>1.00</w:t>
      </w:r>
      <m:oMath>
        <m:r>
          <w:rPr>
            <w:rFonts w:ascii="Cambria Math" w:hAnsi="Cambria Math"/>
            <w:sz w:val="22"/>
            <w:szCs w:val="22"/>
            <w:lang w:val="en"/>
          </w:rPr>
          <m:t>×</m:t>
        </m:r>
      </m:oMath>
      <w:r>
        <w:rPr>
          <w:rFonts w:ascii="Aptos" w:hAnsi="Aptos"/>
          <w:sz w:val="22"/>
          <w:szCs w:val="22"/>
          <w:lang w:val="en"/>
        </w:rPr>
        <w:t xml:space="preserve"> across the entire SNR range (Fig. 10(a), Section VII-C). This confirms that the Levenberg–Marquardt solver with spherical reparameterization converges to the true minimum of the NLS cost function, and that the remaining gap with the PEB originates exclusively from the two-stage decomposition (direction finding + distance recovery), not from the direction-finding algorithm itself.</w:t>
      </w:r>
    </w:p>
    <w:p w14:paraId="461A1608"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For 3D positioning (NLS: 2.40 cm vs. PEB: 1.64 cm, factor 1.46</w:t>
      </w:r>
      <m:oMath>
        <m:r>
          <w:rPr>
            <w:rFonts w:ascii="Cambria Math" w:hAnsi="Cambria Math"/>
            <w:sz w:val="22"/>
            <w:szCs w:val="22"/>
            <w:lang w:val="en"/>
          </w:rPr>
          <m:t>×</m:t>
        </m:r>
      </m:oMath>
      <w:r>
        <w:rPr>
          <w:rFonts w:ascii="Aptos" w:hAnsi="Aptos"/>
          <w:sz w:val="22"/>
          <w:szCs w:val="22"/>
          <w:lang w:val="en"/>
        </w:rPr>
        <w:t xml:space="preserve">, Table IV), the additional loss arises from the distance-recovery stage as described above. The text now states: </w:t>
      </w:r>
      <w:r>
        <w:rPr>
          <w:rFonts w:ascii="Aptos" w:hAnsi="Aptos"/>
          <w:color w:val="0000FF"/>
          <w:sz w:val="22"/>
          <w:szCs w:val="22"/>
          <w:lang w:val="en"/>
        </w:rPr>
        <w:t>“The performance gap arises from: (</w:t>
      </w:r>
      <w:proofErr w:type="spellStart"/>
      <w:r>
        <w:rPr>
          <w:rFonts w:ascii="Aptos" w:hAnsi="Aptos"/>
          <w:color w:val="0000FF"/>
          <w:sz w:val="22"/>
          <w:szCs w:val="22"/>
          <w:lang w:val="en"/>
        </w:rPr>
        <w:t>i</w:t>
      </w:r>
      <w:proofErr w:type="spellEnd"/>
      <w:r>
        <w:rPr>
          <w:rFonts w:ascii="Aptos" w:hAnsi="Aptos"/>
          <w:color w:val="0000FF"/>
          <w:sz w:val="22"/>
          <w:szCs w:val="22"/>
          <w:lang w:val="en"/>
        </w:rPr>
        <w:t>) the two-stage architecture discards distance information during direction finding; and (ii) the PEB assumes perfect beam alignment in the distance-recovery measurement, which no practical estimator can achieve”</w:t>
      </w:r>
      <w:r>
        <w:rPr>
          <w:rFonts w:ascii="Aptos" w:hAnsi="Aptos"/>
          <w:sz w:val="22"/>
          <w:szCs w:val="22"/>
          <w:lang w:val="en"/>
        </w:rPr>
        <w:t>.</w:t>
      </w:r>
    </w:p>
    <w:p w14:paraId="71CBFB9B"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Section V describes the spherical reparameterization and the Levenberg–Marquardt solver (</w:t>
      </w:r>
      <w:proofErr w:type="spellStart"/>
      <w:r>
        <w:rPr>
          <w:rStyle w:val="CodeHTML"/>
          <w:lang w:val="en"/>
        </w:rPr>
        <w:t>lsqnonlin</w:t>
      </w:r>
      <w:proofErr w:type="spellEnd"/>
      <w:r>
        <w:rPr>
          <w:rFonts w:ascii="Aptos" w:hAnsi="Aptos"/>
          <w:sz w:val="22"/>
          <w:szCs w:val="22"/>
          <w:lang w:val="en"/>
        </w:rPr>
        <w:t xml:space="preserve">). Section VII-B explains the two sources of the PEB gap. Section VII-C (Fig. 10) confirms NLS tracks the DEB across SNR </w:t>
      </w:r>
      <m:oMath>
        <m:r>
          <w:rPr>
            <w:rFonts w:ascii="Cambria Math" w:hAnsi="Cambria Math" w:cs="Cambria Math"/>
            <w:sz w:val="22"/>
            <w:szCs w:val="22"/>
            <w:lang w:val="en"/>
          </w:rPr>
          <m:t xml:space="preserve">∈ </m:t>
        </m:r>
      </m:oMath>
      <w:r>
        <w:rPr>
          <w:rFonts w:ascii="Aptos" w:hAnsi="Aptos"/>
          <w:sz w:val="22"/>
          <w:szCs w:val="22"/>
          <w:lang w:val="en"/>
        </w:rPr>
        <w:t>[10,50] dB.</w:t>
      </w:r>
    </w:p>
    <w:p w14:paraId="39806D2F" w14:textId="77777777" w:rsidR="00000000" w:rsidRDefault="00000000">
      <w:pPr>
        <w:pStyle w:val="rc"/>
        <w:numPr>
          <w:ilvl w:val="0"/>
          <w:numId w:val="8"/>
        </w:numPr>
        <w:spacing w:before="0" w:beforeAutospacing="0" w:line="276" w:lineRule="auto"/>
        <w:divId w:val="1499275216"/>
        <w:rPr>
          <w:rFonts w:ascii="Aptos" w:hAnsi="Aptos"/>
          <w:sz w:val="22"/>
          <w:szCs w:val="22"/>
          <w:lang w:val="en"/>
        </w:rPr>
      </w:pPr>
      <w:r>
        <w:rPr>
          <w:rFonts w:ascii="Aptos" w:hAnsi="Aptos"/>
          <w:sz w:val="22"/>
          <w:szCs w:val="22"/>
          <w:lang w:val="en"/>
        </w:rPr>
        <w:t>Several issues in language usage should be corrected: (a) “They presumes...” should be “They presume...”; (b) The sentence beginning with “Therefore, there is a need for dedicated indoor position systems (IPS), which use...” is grammatically broken; (c) “transformer” should be capitalized as “Transformer.”</w:t>
      </w:r>
    </w:p>
    <w:p w14:paraId="0EE971EE"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All three issues have been corrected in the revised manuscript:</w:t>
      </w:r>
    </w:p>
    <w:p w14:paraId="2CC46060" w14:textId="77777777" w:rsidR="00000000" w:rsidRDefault="00000000">
      <w:pPr>
        <w:numPr>
          <w:ilvl w:val="0"/>
          <w:numId w:val="16"/>
        </w:numPr>
        <w:spacing w:after="80" w:line="276" w:lineRule="auto"/>
        <w:ind w:left="714" w:hanging="357"/>
        <w:jc w:val="both"/>
        <w:divId w:val="1499275216"/>
        <w:rPr>
          <w:rFonts w:ascii="Aptos" w:eastAsia="Times New Roman" w:hAnsi="Aptos"/>
          <w:sz w:val="22"/>
          <w:szCs w:val="22"/>
          <w:lang w:val="en"/>
        </w:rPr>
      </w:pPr>
      <w:r>
        <w:rPr>
          <w:rFonts w:ascii="Aptos" w:eastAsia="Times New Roman" w:hAnsi="Aptos"/>
          <w:sz w:val="22"/>
          <w:szCs w:val="22"/>
          <w:lang w:val="en"/>
        </w:rPr>
        <w:t xml:space="preserve">(a) “They presumes” </w:t>
      </w:r>
      <m:oMath>
        <m:r>
          <w:rPr>
            <w:rFonts w:ascii="Cambria Math" w:eastAsia="Times New Roman" w:hAnsi="Cambria Math"/>
            <w:sz w:val="22"/>
            <w:szCs w:val="22"/>
            <w:lang w:val="en"/>
          </w:rPr>
          <m:t>→</m:t>
        </m:r>
      </m:oMath>
      <w:r>
        <w:rPr>
          <w:rFonts w:ascii="Aptos" w:eastAsia="Times New Roman" w:hAnsi="Aptos"/>
          <w:sz w:val="22"/>
          <w:szCs w:val="22"/>
          <w:lang w:val="en"/>
        </w:rPr>
        <w:t xml:space="preserve"> “They presume” (corrected).</w:t>
      </w:r>
    </w:p>
    <w:p w14:paraId="04B1FD19" w14:textId="77777777" w:rsidR="00000000" w:rsidRDefault="00000000">
      <w:pPr>
        <w:numPr>
          <w:ilvl w:val="0"/>
          <w:numId w:val="16"/>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 xml:space="preserve">(b) The sentence has been rewritten for clarity: </w:t>
      </w:r>
      <w:r>
        <w:rPr>
          <w:rFonts w:ascii="Aptos" w:eastAsia="Times New Roman" w:hAnsi="Aptos"/>
          <w:color w:val="0000FF"/>
          <w:sz w:val="22"/>
          <w:szCs w:val="22"/>
          <w:lang w:val="en"/>
        </w:rPr>
        <w:t>“Dedicated indoor positioning systems (IPS) are therefore required, and radio-frequency (RF) techniques [...] are widely studied and deployed”</w:t>
      </w:r>
      <w:r>
        <w:rPr>
          <w:rFonts w:ascii="Aptos" w:eastAsia="Times New Roman" w:hAnsi="Aptos"/>
          <w:sz w:val="22"/>
          <w:szCs w:val="22"/>
          <w:lang w:val="en"/>
        </w:rPr>
        <w:t>.</w:t>
      </w:r>
    </w:p>
    <w:p w14:paraId="3B4760BA" w14:textId="77777777" w:rsidR="00000000" w:rsidRDefault="00000000">
      <w:pPr>
        <w:numPr>
          <w:ilvl w:val="0"/>
          <w:numId w:val="16"/>
        </w:numPr>
        <w:spacing w:before="100" w:beforeAutospacing="1" w:after="80" w:line="276" w:lineRule="auto"/>
        <w:jc w:val="both"/>
        <w:divId w:val="1499275216"/>
        <w:rPr>
          <w:rFonts w:ascii="Aptos" w:eastAsia="Times New Roman" w:hAnsi="Aptos"/>
          <w:sz w:val="22"/>
          <w:szCs w:val="22"/>
          <w:lang w:val="en"/>
        </w:rPr>
      </w:pPr>
      <w:r>
        <w:rPr>
          <w:rFonts w:ascii="Aptos" w:eastAsia="Times New Roman" w:hAnsi="Aptos"/>
          <w:sz w:val="22"/>
          <w:szCs w:val="22"/>
          <w:lang w:val="en"/>
        </w:rPr>
        <w:t xml:space="preserve">(c) “transformer” </w:t>
      </w:r>
      <m:oMath>
        <m:r>
          <w:rPr>
            <w:rFonts w:ascii="Cambria Math" w:eastAsia="Times New Roman" w:hAnsi="Cambria Math"/>
            <w:sz w:val="22"/>
            <w:szCs w:val="22"/>
            <w:lang w:val="en"/>
          </w:rPr>
          <m:t>→</m:t>
        </m:r>
      </m:oMath>
      <w:r>
        <w:rPr>
          <w:rFonts w:ascii="Aptos" w:eastAsia="Times New Roman" w:hAnsi="Aptos"/>
          <w:sz w:val="22"/>
          <w:szCs w:val="22"/>
          <w:lang w:val="en"/>
        </w:rPr>
        <w:t xml:space="preserve"> “Transformer” when referring to the model architecture (corrected).</w:t>
      </w:r>
    </w:p>
    <w:p w14:paraId="3C56A5B3"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All grammar corrections have been applied in Section I of the revised manuscript.</w:t>
      </w:r>
    </w:p>
    <w:p w14:paraId="631F8D9B" w14:textId="77777777" w:rsidR="00000000" w:rsidRDefault="00000000">
      <w:pPr>
        <w:spacing w:line="276" w:lineRule="auto"/>
        <w:jc w:val="center"/>
        <w:divId w:val="477692123"/>
        <w:rPr>
          <w:rFonts w:ascii="Aptos" w:eastAsia="Times New Roman" w:hAnsi="Aptos"/>
          <w:sz w:val="22"/>
          <w:szCs w:val="22"/>
          <w:lang w:val="en"/>
        </w:rPr>
      </w:pPr>
    </w:p>
    <w:p w14:paraId="4C885B62" w14:textId="77777777" w:rsidR="00000000" w:rsidRDefault="00000000">
      <w:pPr>
        <w:pStyle w:val="NormalWeb"/>
        <w:spacing w:line="276" w:lineRule="auto"/>
        <w:jc w:val="center"/>
        <w:divId w:val="1499275216"/>
        <w:rPr>
          <w:rFonts w:ascii="Aptos" w:hAnsi="Aptos"/>
          <w:sz w:val="28"/>
          <w:szCs w:val="28"/>
          <w:lang w:val="en"/>
        </w:rPr>
      </w:pPr>
      <w:r>
        <w:rPr>
          <w:rFonts w:ascii="Aptos" w:eastAsia="Times New Roman" w:hAnsi="Aptos"/>
          <w:sz w:val="22"/>
          <w:szCs w:val="22"/>
          <w:lang w:val="en" w:eastAsia="es-PE"/>
        </w:rPr>
        <w:br w:type="page"/>
      </w:r>
      <w:r>
        <w:rPr>
          <w:rStyle w:val="lev"/>
          <w:rFonts w:ascii="Aptos" w:hAnsi="Aptos"/>
          <w:sz w:val="28"/>
          <w:szCs w:val="28"/>
          <w:lang w:val="en"/>
        </w:rPr>
        <w:lastRenderedPageBreak/>
        <w:t>Responses to Reviewer 3</w:t>
      </w:r>
    </w:p>
    <w:p w14:paraId="2626A3E8"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We sincerely thank the reviewer for the constructive and detailed evaluation, and hope that these responses and the corresponding revisions adequately address all of Reviewer 3's concerns. </w:t>
      </w:r>
    </w:p>
    <w:p w14:paraId="336AC4F0" w14:textId="77777777" w:rsidR="00000000" w:rsidRDefault="00000000">
      <w:pPr>
        <w:pStyle w:val="rc"/>
        <w:numPr>
          <w:ilvl w:val="2"/>
          <w:numId w:val="8"/>
        </w:numPr>
        <w:spacing w:before="0" w:beforeAutospacing="0" w:line="276" w:lineRule="auto"/>
        <w:ind w:left="714" w:hanging="357"/>
        <w:divId w:val="1499275216"/>
        <w:rPr>
          <w:rFonts w:ascii="Aptos" w:hAnsi="Aptos"/>
          <w:sz w:val="22"/>
          <w:szCs w:val="22"/>
          <w:lang w:val="en"/>
        </w:rPr>
      </w:pPr>
      <w:r>
        <w:rPr>
          <w:rFonts w:ascii="Aptos" w:hAnsi="Aptos"/>
          <w:sz w:val="22"/>
          <w:szCs w:val="22"/>
          <w:lang w:val="en"/>
        </w:rPr>
        <w:t>The authors should summarize and highlight the specific features of the beam-steered single-LED positioning problem, as research in optical wireless localization is already extensive and this distinction is central to the work's significance and motivation.</w:t>
      </w:r>
    </w:p>
    <w:p w14:paraId="2211F3DF"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We fully agree that the distinguishing features of the single-LED beam-steered paradigm must be made explicit. In the revised manuscript, the Introduction (Section I) has been completely rewritten to clearly articulate these features. Specifically:</w:t>
      </w:r>
    </w:p>
    <w:p w14:paraId="25C56CD5" w14:textId="77777777" w:rsidR="00000000" w:rsidRDefault="00000000">
      <w:pPr>
        <w:numPr>
          <w:ilvl w:val="0"/>
          <w:numId w:val="17"/>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Infrastructure minimalism:</w:t>
      </w:r>
      <w:r>
        <w:rPr>
          <w:rFonts w:ascii="Aptos" w:eastAsia="Times New Roman" w:hAnsi="Aptos"/>
          <w:sz w:val="22"/>
          <w:szCs w:val="22"/>
          <w:lang w:val="en"/>
        </w:rPr>
        <w:t xml:space="preserve"> A single LED replaces the dense multi-LED arrays (3–4 simultaneously visible anchors) required by conventional OWP, eliminating the need for unique identifiers or modulation per lamp and reducing deployment cost (fourth paragraph of Section I).</w:t>
      </w:r>
    </w:p>
    <w:p w14:paraId="21ECF169" w14:textId="77777777" w:rsidR="00000000" w:rsidRDefault="00000000">
      <w:pPr>
        <w:numPr>
          <w:ilvl w:val="0"/>
          <w:numId w:val="1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Temporal diversity replacing spatial redundancy:</w:t>
      </w:r>
      <w:r>
        <w:rPr>
          <w:rFonts w:ascii="Aptos" w:eastAsia="Times New Roman" w:hAnsi="Aptos"/>
          <w:sz w:val="22"/>
          <w:szCs w:val="22"/>
          <w:lang w:val="en"/>
        </w:rPr>
        <w:t xml:space="preserve"> The </w:t>
      </w:r>
      <m:oMath>
        <m:r>
          <w:rPr>
            <w:rFonts w:ascii="Cambria Math" w:eastAsia="Times New Roman" w:hAnsi="Cambria Math"/>
            <w:sz w:val="22"/>
            <w:szCs w:val="22"/>
            <w:lang w:val="en"/>
          </w:rPr>
          <m:t>K</m:t>
        </m:r>
      </m:oMath>
      <w:r>
        <w:rPr>
          <w:rFonts w:ascii="Aptos" w:eastAsia="Times New Roman" w:hAnsi="Aptos"/>
          <w:sz w:val="22"/>
          <w:szCs w:val="22"/>
          <w:lang w:val="en"/>
        </w:rPr>
        <w:t xml:space="preserve"> sequential beam orientations create temporal diversity at the transmitter that replaces the spatial diversity traditionally provided by multiple LEDs or multiple PDs. This is a fundamentally different information structure (seventh paragraph of Section I).</w:t>
      </w:r>
    </w:p>
    <w:p w14:paraId="19F60E4E" w14:textId="77777777" w:rsidR="00000000" w:rsidRDefault="00000000">
      <w:pPr>
        <w:numPr>
          <w:ilvl w:val="0"/>
          <w:numId w:val="1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Receiver-side simplicity:</w:t>
      </w:r>
      <w:r>
        <w:rPr>
          <w:rFonts w:ascii="Aptos" w:eastAsia="Times New Roman" w:hAnsi="Aptos"/>
          <w:sz w:val="22"/>
          <w:szCs w:val="22"/>
          <w:lang w:val="en"/>
        </w:rPr>
        <w:t xml:space="preserve"> A single PD with no rotation, no camera, and no PD array is sufficient. The direction-finding stage is mathematically independent of the receiver orientation </w:t>
      </w:r>
      <m:oMath>
        <m:sSub>
          <m:sSubPr>
            <m:ctrlPr>
              <w:rPr>
                <w:rFonts w:ascii="Cambria Math" w:eastAsia="Times New Roman" w:hAnsi="Cambria Math"/>
                <w:i/>
                <w:sz w:val="22"/>
                <w:szCs w:val="22"/>
                <w:lang w:val="en"/>
              </w:rPr>
            </m:ctrlPr>
          </m:sSubPr>
          <m:e>
            <m:r>
              <m:rPr>
                <m:sty m:val="b"/>
              </m:rPr>
              <w:rPr>
                <w:rFonts w:ascii="Cambria Math" w:eastAsia="Times New Roman" w:hAnsi="Cambria Math"/>
                <w:sz w:val="22"/>
                <w:szCs w:val="22"/>
                <w:lang w:val="en"/>
              </w:rPr>
              <m:t>n</m:t>
            </m:r>
          </m:e>
          <m:sub>
            <m:r>
              <w:rPr>
                <w:rFonts w:ascii="Cambria Math" w:eastAsia="Times New Roman" w:hAnsi="Cambria Math"/>
                <w:sz w:val="22"/>
                <w:szCs w:val="22"/>
                <w:vertAlign w:val="subscript"/>
                <w:lang w:val="en"/>
              </w:rPr>
              <m:t>r</m:t>
            </m:r>
          </m:sub>
        </m:sSub>
      </m:oMath>
      <w:r>
        <w:rPr>
          <w:rFonts w:ascii="Aptos" w:eastAsia="Times New Roman" w:hAnsi="Aptos"/>
          <w:sz w:val="22"/>
          <w:szCs w:val="22"/>
          <w:lang w:val="en"/>
        </w:rPr>
        <w:t xml:space="preserve"> (Section VI-C), so no pose calibration is needed.</w:t>
      </w:r>
    </w:p>
    <w:p w14:paraId="0F8F92EA" w14:textId="77777777" w:rsidR="00000000" w:rsidRDefault="00000000">
      <w:pPr>
        <w:numPr>
          <w:ilvl w:val="0"/>
          <w:numId w:val="1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NIR operation:</w:t>
      </w:r>
      <w:r>
        <w:rPr>
          <w:rFonts w:ascii="Aptos" w:eastAsia="Times New Roman" w:hAnsi="Aptos"/>
          <w:sz w:val="22"/>
          <w:szCs w:val="22"/>
          <w:lang w:val="en"/>
        </w:rPr>
        <w:t xml:space="preserve"> Decoupling from visible-light illumination constraints allows unrestricted beam steering without affecting room lighting (sixth paragraph of Section I).</w:t>
      </w:r>
    </w:p>
    <w:p w14:paraId="1203E6EA" w14:textId="77777777" w:rsidR="00000000" w:rsidRDefault="00000000">
      <w:pPr>
        <w:numPr>
          <w:ilvl w:val="0"/>
          <w:numId w:val="1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Ratio-based direction finding:</w:t>
      </w:r>
      <w:r>
        <w:rPr>
          <w:rFonts w:ascii="Aptos" w:eastAsia="Times New Roman" w:hAnsi="Aptos"/>
          <w:sz w:val="22"/>
          <w:szCs w:val="22"/>
          <w:lang w:val="en"/>
        </w:rPr>
        <w:t xml:space="preserve"> By forming power ratios, the unknown distance, transmitted power, and all receiver-dependent terms cancel, yielding linear constraints on the direction vector. This is a unique analytical property of the single-LED beam-steered setting.</w:t>
      </w:r>
    </w:p>
    <w:p w14:paraId="3ABE528F"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Table I further contextualizes these features by comparing our system against 12 representative single-LED OWP works, showing that all prior approaches compensate for the single-source limitation at the receiver side (PD arrays, continuous rotation, sensor fusion), whereas ours shifts the burden to the infrastructure via beam steering.</w:t>
      </w:r>
    </w:p>
    <w:p w14:paraId="32721097"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The entire Introduction (Section I) has been rewritten to clearly highlight these distinguishing features. Table I has been updated to include our system with a detailed comparison.</w:t>
      </w:r>
    </w:p>
    <w:p w14:paraId="5CF3461F" w14:textId="77777777" w:rsidR="00000000" w:rsidRDefault="00000000">
      <w:pPr>
        <w:pStyle w:val="rc"/>
        <w:numPr>
          <w:ilvl w:val="2"/>
          <w:numId w:val="8"/>
        </w:numPr>
        <w:spacing w:before="0" w:beforeAutospacing="0" w:line="276" w:lineRule="auto"/>
        <w:ind w:left="714" w:hanging="357"/>
        <w:divId w:val="1499275216"/>
        <w:rPr>
          <w:rFonts w:ascii="Aptos" w:hAnsi="Aptos"/>
          <w:sz w:val="22"/>
          <w:szCs w:val="22"/>
          <w:lang w:val="en"/>
        </w:rPr>
      </w:pPr>
      <w:r>
        <w:rPr>
          <w:rFonts w:ascii="Aptos" w:hAnsi="Aptos"/>
          <w:sz w:val="22"/>
          <w:szCs w:val="22"/>
          <w:lang w:val="en"/>
        </w:rPr>
        <w:t>If unique characteristics are not sufficiently distinct from existing multi-LED or multi-PD schemes, the authors should strengthen the motivation to clearly justify the transition to a single-source steering architecture.</w:t>
      </w:r>
    </w:p>
    <w:p w14:paraId="7BD60839"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The motivation is now explicitly articulated in the revised Introduction through three complementary arguments:</w:t>
      </w:r>
    </w:p>
    <w:p w14:paraId="5D06614D" w14:textId="77777777" w:rsidR="00000000" w:rsidRDefault="00000000">
      <w:pPr>
        <w:numPr>
          <w:ilvl w:val="0"/>
          <w:numId w:val="18"/>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Deployment cost and scalability:</w:t>
      </w:r>
      <w:r>
        <w:rPr>
          <w:rFonts w:ascii="Aptos" w:eastAsia="Times New Roman" w:hAnsi="Aptos"/>
          <w:sz w:val="22"/>
          <w:szCs w:val="22"/>
          <w:lang w:val="en"/>
        </w:rPr>
        <w:t xml:space="preserve"> Multi-LED OWP requires installing and maintaining dense anchor networks with unique identifiers, wiring, and synchronization. A single </w:t>
      </w:r>
      <w:r>
        <w:rPr>
          <w:rFonts w:ascii="Aptos" w:eastAsia="Times New Roman" w:hAnsi="Aptos"/>
          <w:sz w:val="22"/>
          <w:szCs w:val="22"/>
          <w:lang w:val="en"/>
        </w:rPr>
        <w:lastRenderedPageBreak/>
        <w:t>steerable LED concentrates all complexity in one infrastructure node, dramatically reducing installation burden (Section I, fourth paragraph).</w:t>
      </w:r>
    </w:p>
    <w:p w14:paraId="58CFA4B5" w14:textId="77777777" w:rsidR="00000000" w:rsidRDefault="00000000">
      <w:pPr>
        <w:numPr>
          <w:ilvl w:val="0"/>
          <w:numId w:val="18"/>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Availability constraints:</w:t>
      </w:r>
      <w:r>
        <w:rPr>
          <w:rFonts w:ascii="Aptos" w:eastAsia="Times New Roman" w:hAnsi="Aptos"/>
          <w:sz w:val="22"/>
          <w:szCs w:val="22"/>
          <w:lang w:val="en"/>
        </w:rPr>
        <w:t xml:space="preserve"> In many indoor environments (warehouses, industrial floors, corridors), luminaire density is insufficient to guarantee 3–4 simultaneous LED visibility—the minimum for multi-LED 3D positioning. A single-LED system eliminates this geometric constraint (Section I, fourth paragraph).</w:t>
      </w:r>
    </w:p>
    <w:p w14:paraId="30EE9683" w14:textId="77777777" w:rsidR="00000000" w:rsidRDefault="00000000">
      <w:pPr>
        <w:numPr>
          <w:ilvl w:val="0"/>
          <w:numId w:val="18"/>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Technological readiness:</w:t>
      </w:r>
      <w:r>
        <w:rPr>
          <w:rFonts w:ascii="Aptos" w:eastAsia="Times New Roman" w:hAnsi="Aptos"/>
          <w:sz w:val="22"/>
          <w:szCs w:val="22"/>
          <w:lang w:val="en"/>
        </w:rPr>
        <w:t xml:space="preserve"> Recent advances in MEMS micromirror gimbals have made high-speed beam steering practical for indoor OWC at kHz rates (Section I, sixth paragraph, with references to [36]). A recent comparative study [40] further demonstrates that beam-steered transmitters substantially outperform fixed-antenna configurations in communication coverage, motivating the exploitation of the same capability for positioning.</w:t>
      </w:r>
    </w:p>
    <w:p w14:paraId="4C10E280"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The distinction from multi-PD schemes is equally clear: systems using 4 tilted PDs [17], [19] or continuously rotating PDs </w:t>
      </w:r>
      <w:r>
        <w:rPr>
          <w:rFonts w:ascii="Aptos" w:eastAsia="Times New Roman" w:hAnsi="Aptos"/>
          <w:sz w:val="22"/>
          <w:szCs w:val="22"/>
          <w:lang w:val="en"/>
        </w:rPr>
        <w:t>[20], [24], [27]</w:t>
      </w:r>
      <w:r>
        <w:rPr>
          <w:rFonts w:ascii="Aptos" w:hAnsi="Aptos"/>
          <w:sz w:val="22"/>
          <w:szCs w:val="22"/>
          <w:lang w:val="en"/>
        </w:rPr>
        <w:t xml:space="preserve"> place hardware complexity on the user device, limiting form factor and increasing cost per receiver. Our approach keeps the receiver as simple as possible (single PD, no rotation during direction finding) while shifting diversity to the infrastructure.</w:t>
      </w:r>
    </w:p>
    <w:p w14:paraId="3ECE2A35"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Section I now includes the three-argument motivation structure described above, with supporting references and the updated Table I comparison.</w:t>
      </w:r>
    </w:p>
    <w:p w14:paraId="063607B4" w14:textId="77777777" w:rsidR="00000000" w:rsidRDefault="00000000">
      <w:pPr>
        <w:pStyle w:val="rc"/>
        <w:numPr>
          <w:ilvl w:val="0"/>
          <w:numId w:val="19"/>
        </w:numPr>
        <w:spacing w:before="0" w:beforeAutospacing="0" w:line="276" w:lineRule="auto"/>
        <w:divId w:val="1499275216"/>
        <w:rPr>
          <w:rFonts w:ascii="Aptos" w:hAnsi="Aptos"/>
          <w:sz w:val="22"/>
          <w:szCs w:val="22"/>
          <w:lang w:val="en"/>
        </w:rPr>
      </w:pPr>
      <w:r>
        <w:rPr>
          <w:rFonts w:ascii="Aptos" w:hAnsi="Aptos"/>
          <w:sz w:val="22"/>
          <w:szCs w:val="22"/>
          <w:lang w:val="en"/>
        </w:rPr>
        <w:t>The authors should provide a detailed sensitivity analysis regarding the impact of synchronization errors between the transmitter's steering timing and the receiver's sampling intervals.</w:t>
      </w:r>
    </w:p>
    <w:p w14:paraId="61D22CB3"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We thank the reviewer for this practical concern. In the proposed architecture, the transmitter steers sequentially through </w:t>
      </w:r>
      <m:oMath>
        <m:r>
          <w:rPr>
            <w:rFonts w:ascii="Cambria Math" w:hAnsi="Cambria Math"/>
            <w:sz w:val="22"/>
            <w:szCs w:val="22"/>
            <w:lang w:val="en"/>
          </w:rPr>
          <m:t>K</m:t>
        </m:r>
      </m:oMath>
      <w:r>
        <w:rPr>
          <w:rFonts w:ascii="Aptos" w:hAnsi="Aptos"/>
          <w:sz w:val="22"/>
          <w:szCs w:val="22"/>
          <w:lang w:val="en"/>
        </w:rPr>
        <w:t xml:space="preserve"> known orientations, and the receiver collects </w:t>
      </w:r>
      <m:oMath>
        <m:r>
          <w:rPr>
            <w:rFonts w:ascii="Cambria Math" w:hAnsi="Cambria Math"/>
            <w:sz w:val="22"/>
            <w:szCs w:val="22"/>
            <w:lang w:val="en"/>
          </w:rPr>
          <m:t>N</m:t>
        </m:r>
      </m:oMath>
      <w:r>
        <w:rPr>
          <w:rFonts w:ascii="Aptos" w:hAnsi="Aptos"/>
          <w:sz w:val="22"/>
          <w:szCs w:val="22"/>
          <w:lang w:val="en"/>
        </w:rPr>
        <w:t xml:space="preserve"> power samples per orientation. Synchronization requires the receiver to know </w:t>
      </w:r>
      <w:r>
        <w:rPr>
          <w:rStyle w:val="Accentuation"/>
          <w:rFonts w:ascii="Aptos" w:hAnsi="Aptos"/>
          <w:i w:val="0"/>
          <w:iCs w:val="0"/>
          <w:sz w:val="22"/>
          <w:szCs w:val="22"/>
          <w:lang w:val="en"/>
        </w:rPr>
        <w:t>which</w:t>
      </w:r>
      <w:r>
        <w:rPr>
          <w:rFonts w:ascii="Aptos" w:hAnsi="Aptos"/>
          <w:sz w:val="22"/>
          <w:szCs w:val="22"/>
          <w:lang w:val="en"/>
        </w:rPr>
        <w:t xml:space="preserve"> orientation is active during each sampling window. We note the following:</w:t>
      </w:r>
    </w:p>
    <w:p w14:paraId="5709C497" w14:textId="77777777" w:rsidR="00000000" w:rsidRDefault="00000000">
      <w:pPr>
        <w:numPr>
          <w:ilvl w:val="0"/>
          <w:numId w:val="20"/>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Timing structure:</w:t>
      </w:r>
      <w:r>
        <w:rPr>
          <w:rFonts w:ascii="Aptos" w:eastAsia="Times New Roman" w:hAnsi="Aptos"/>
          <w:sz w:val="22"/>
          <w:szCs w:val="22"/>
          <w:lang w:val="en"/>
        </w:rPr>
        <w:t xml:space="preserve"> The transmitter follows a predetermined periodic scan pattern (</w:t>
      </w:r>
      <m:oMath>
        <m:r>
          <w:rPr>
            <w:rFonts w:ascii="Cambria Math" w:eastAsia="Times New Roman" w:hAnsi="Cambria Math"/>
            <w:sz w:val="22"/>
            <w:szCs w:val="22"/>
            <w:lang w:val="en"/>
          </w:rPr>
          <m:t>K</m:t>
        </m:r>
      </m:oMath>
      <w:r>
        <w:rPr>
          <w:rFonts w:ascii="Aptos" w:eastAsia="Times New Roman" w:hAnsi="Aptos"/>
          <w:sz w:val="22"/>
          <w:szCs w:val="22"/>
          <w:lang w:val="en"/>
        </w:rPr>
        <w:t xml:space="preserve"> orientations per cycle). With state-of-the-art MEMS mirrors operating at kHz rates [36], each orientation dwell time is on the order of 1 ms. The receiver simply needs to associate each batch of </w:t>
      </w:r>
      <m:oMath>
        <m:r>
          <w:rPr>
            <w:rFonts w:ascii="Cambria Math" w:eastAsia="Times New Roman" w:hAnsi="Cambria Math"/>
            <w:sz w:val="22"/>
            <w:szCs w:val="22"/>
            <w:lang w:val="en"/>
          </w:rPr>
          <m:t>N</m:t>
        </m:r>
      </m:oMath>
      <w:r>
        <w:rPr>
          <w:rFonts w:ascii="Aptos" w:eastAsia="Times New Roman" w:hAnsi="Aptos"/>
          <w:sz w:val="22"/>
          <w:szCs w:val="22"/>
          <w:lang w:val="en"/>
        </w:rPr>
        <w:t xml:space="preserve"> samples with the correct orientation index.</w:t>
      </w:r>
    </w:p>
    <w:p w14:paraId="2CC7AE79" w14:textId="77777777" w:rsidR="00000000" w:rsidRDefault="00000000">
      <w:pPr>
        <w:numPr>
          <w:ilvl w:val="0"/>
          <w:numId w:val="20"/>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Robustness of time-averaged measurements:</w:t>
      </w:r>
      <w:r>
        <w:rPr>
          <w:rFonts w:ascii="Aptos" w:eastAsia="Times New Roman" w:hAnsi="Aptos"/>
          <w:sz w:val="22"/>
          <w:szCs w:val="22"/>
          <w:lang w:val="en"/>
        </w:rPr>
        <w:t xml:space="preserve"> The estimators operate on sample means (5). Provided the majority of the </w:t>
      </w:r>
      <m:oMath>
        <m:r>
          <w:rPr>
            <w:rFonts w:ascii="Cambria Math" w:eastAsia="Times New Roman" w:hAnsi="Cambria Math"/>
            <w:sz w:val="22"/>
            <w:szCs w:val="22"/>
            <w:lang w:val="en"/>
          </w:rPr>
          <m:t>N</m:t>
        </m:r>
      </m:oMath>
      <w:r>
        <w:rPr>
          <w:rFonts w:ascii="Aptos" w:eastAsia="Times New Roman" w:hAnsi="Aptos"/>
          <w:sz w:val="22"/>
          <w:szCs w:val="22"/>
          <w:lang w:val="en"/>
        </w:rPr>
        <w:t xml:space="preserve"> samples within each window correspond to the intended orientation, small timing offsets (i.e., a few samples acquired during transitions) are averaged out. This inherent averaging provides robustness to jitter.</w:t>
      </w:r>
    </w:p>
    <w:p w14:paraId="037D14BA" w14:textId="77777777" w:rsidR="00000000" w:rsidRDefault="00000000">
      <w:pPr>
        <w:numPr>
          <w:ilvl w:val="0"/>
          <w:numId w:val="20"/>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Standard synchronization mechanisms:</w:t>
      </w:r>
      <w:r>
        <w:rPr>
          <w:rFonts w:ascii="Aptos" w:eastAsia="Times New Roman" w:hAnsi="Aptos"/>
          <w:sz w:val="22"/>
          <w:szCs w:val="22"/>
          <w:lang w:val="en"/>
        </w:rPr>
        <w:t xml:space="preserve"> Frame-level synchronization between transmitter and receiver is a well-studied problem in OWC systems [11]. Pilot symbols, header sequences, or a simple periodic beacon can achieve the required alignment without adding significant overhead.</w:t>
      </w:r>
    </w:p>
    <w:p w14:paraId="7090E2F5"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A detailed Monte Carlo analysis of synchronization errors under various jitter distributions is an interesting direction. However, given the scope of the present contribution, which focuses on the theoretical framework, bound derivation, estimator design, and direction-finding analysis, and </w:t>
      </w:r>
      <w:r>
        <w:rPr>
          <w:rFonts w:ascii="Aptos" w:hAnsi="Aptos"/>
          <w:sz w:val="22"/>
          <w:szCs w:val="22"/>
          <w:lang w:val="en"/>
        </w:rPr>
        <w:lastRenderedPageBreak/>
        <w:t>the availability of established OWC synchronization techniques, we believe that a full synchronization sensitivity study is best addressed in future experimental work, where real hardware timing impairments can be characterized directly.</w:t>
      </w:r>
    </w:p>
    <w:p w14:paraId="015FC479"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The Conclusion (Section VIII) now mentions experimental validation as future work item (</w:t>
      </w:r>
      <w:proofErr w:type="spellStart"/>
      <w:r>
        <w:rPr>
          <w:rFonts w:ascii="Aptos" w:hAnsi="Aptos"/>
          <w:sz w:val="22"/>
          <w:szCs w:val="22"/>
          <w:lang w:val="en"/>
        </w:rPr>
        <w:t>i</w:t>
      </w:r>
      <w:proofErr w:type="spellEnd"/>
      <w:r>
        <w:rPr>
          <w:rFonts w:ascii="Aptos" w:hAnsi="Aptos"/>
          <w:sz w:val="22"/>
          <w:szCs w:val="22"/>
          <w:lang w:val="en"/>
        </w:rPr>
        <w:t>), which naturally encompasses synchronization characterization with real hardware.</w:t>
      </w:r>
    </w:p>
    <w:p w14:paraId="520105FC" w14:textId="77777777" w:rsidR="00000000" w:rsidRDefault="00000000">
      <w:pPr>
        <w:pStyle w:val="rc"/>
        <w:numPr>
          <w:ilvl w:val="0"/>
          <w:numId w:val="20"/>
        </w:numPr>
        <w:spacing w:before="0" w:beforeAutospacing="0" w:line="276" w:lineRule="auto"/>
        <w:divId w:val="1499275216"/>
        <w:rPr>
          <w:rFonts w:ascii="Aptos" w:hAnsi="Aptos"/>
          <w:sz w:val="22"/>
          <w:szCs w:val="22"/>
          <w:lang w:val="en"/>
        </w:rPr>
      </w:pPr>
      <w:r>
        <w:rPr>
          <w:rFonts w:ascii="Aptos" w:hAnsi="Aptos"/>
          <w:sz w:val="22"/>
          <w:szCs w:val="22"/>
          <w:lang w:val="en"/>
        </w:rPr>
        <w:t>The authors should supplement the current results with an analysis of positioning performance under different indoor reflection coefficients to evaluate the robustness of the model-based approach against multipath interference.</w:t>
      </w:r>
    </w:p>
    <w:p w14:paraId="0C4F7EF3"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We appreciate this comment. The current model considers only the LOS channel, which is the standard approach in model-based OWP literature [9], [29] and [42]. We justify this choice as follows:</w:t>
      </w:r>
    </w:p>
    <w:p w14:paraId="60C5EC85" w14:textId="77777777" w:rsidR="00000000" w:rsidRDefault="00000000">
      <w:pPr>
        <w:numPr>
          <w:ilvl w:val="0"/>
          <w:numId w:val="21"/>
        </w:numPr>
        <w:spacing w:after="80" w:line="276" w:lineRule="auto"/>
        <w:ind w:left="714" w:hanging="357"/>
        <w:jc w:val="both"/>
        <w:divId w:val="1499275216"/>
        <w:rPr>
          <w:rFonts w:ascii="Aptos" w:eastAsia="Times New Roman" w:hAnsi="Aptos"/>
          <w:sz w:val="22"/>
          <w:szCs w:val="22"/>
          <w:lang w:val="en"/>
        </w:rPr>
      </w:pPr>
      <w:r>
        <w:rPr>
          <w:rFonts w:ascii="Aptos" w:eastAsia="Times New Roman" w:hAnsi="Aptos"/>
          <w:b/>
          <w:bCs/>
          <w:sz w:val="22"/>
          <w:szCs w:val="22"/>
          <w:lang w:val="en"/>
        </w:rPr>
        <w:t>Near-infrared (</w:t>
      </w:r>
      <w:r>
        <w:rPr>
          <w:rStyle w:val="lev"/>
          <w:rFonts w:ascii="Aptos" w:eastAsia="Times New Roman" w:hAnsi="Aptos"/>
          <w:sz w:val="22"/>
          <w:szCs w:val="22"/>
          <w:lang w:val="en"/>
        </w:rPr>
        <w:t>NIR) wavelength:</w:t>
      </w:r>
      <w:r>
        <w:rPr>
          <w:rFonts w:ascii="Aptos" w:eastAsia="Times New Roman" w:hAnsi="Aptos"/>
          <w:sz w:val="22"/>
          <w:szCs w:val="22"/>
          <w:lang w:val="en"/>
        </w:rPr>
        <w:t xml:space="preserve"> The system operates at NIR wavelengths, where wall reflectivity is generally lower than in the visible spectrum, reducing non-LOS (NLOS) contributions.</w:t>
      </w:r>
    </w:p>
    <w:p w14:paraId="240F85A8" w14:textId="77777777" w:rsidR="00000000" w:rsidRDefault="00000000">
      <w:pPr>
        <w:numPr>
          <w:ilvl w:val="0"/>
          <w:numId w:val="21"/>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Directional steering:</w:t>
      </w:r>
      <w:r>
        <w:rPr>
          <w:rFonts w:ascii="Aptos" w:eastAsia="Times New Roman" w:hAnsi="Aptos"/>
          <w:sz w:val="22"/>
          <w:szCs w:val="22"/>
          <w:lang w:val="en"/>
        </w:rPr>
        <w:t xml:space="preserve"> The beam-steered LED produces a directional beam (Lambertian order </w:t>
      </w:r>
      <m:oMath>
        <m:r>
          <w:rPr>
            <w:rFonts w:ascii="Cambria Math" w:eastAsia="Times New Roman" w:hAnsi="Cambria Math"/>
            <w:sz w:val="22"/>
            <w:szCs w:val="22"/>
            <w:lang w:val="en"/>
          </w:rPr>
          <m:t>m</m:t>
        </m:r>
      </m:oMath>
      <w:r>
        <w:rPr>
          <w:rFonts w:ascii="Aptos" w:eastAsia="Times New Roman" w:hAnsi="Aptos"/>
          <w:sz w:val="22"/>
          <w:szCs w:val="22"/>
          <w:lang w:val="en"/>
        </w:rPr>
        <w:t xml:space="preserve"> corresponding to </w:t>
      </w:r>
      <m:oMath>
        <m:sSub>
          <m:sSubPr>
            <m:ctrlPr>
              <w:rPr>
                <w:rFonts w:ascii="Cambria Math" w:eastAsia="Times New Roman" w:hAnsi="Cambria Math"/>
                <w:iCs/>
                <w:sz w:val="22"/>
                <w:szCs w:val="22"/>
                <w:lang w:val="en"/>
              </w:rPr>
            </m:ctrlPr>
          </m:sSubPr>
          <m:e>
            <m:r>
              <m:rPr>
                <m:sty m:val="p"/>
              </m:rPr>
              <w:rPr>
                <w:rFonts w:ascii="Cambria Math" w:eastAsia="Times New Roman" w:hAnsi="Cambria Math"/>
                <w:sz w:val="22"/>
                <w:szCs w:val="22"/>
                <w:lang w:val="en"/>
              </w:rPr>
              <m:t>Φ</m:t>
            </m:r>
          </m:e>
          <m:sub>
            <m:r>
              <m:rPr>
                <m:sty m:val="p"/>
              </m:rPr>
              <w:rPr>
                <w:rFonts w:ascii="Cambria Math" w:eastAsia="Times New Roman" w:hAnsi="Cambria Math"/>
                <w:sz w:val="22"/>
                <w:szCs w:val="22"/>
                <w:lang w:val="en"/>
              </w:rPr>
              <m:t>1/2</m:t>
            </m:r>
          </m:sub>
        </m:sSub>
        <m:r>
          <w:rPr>
            <w:rFonts w:ascii="Cambria Math" w:eastAsia="Times New Roman" w:hAnsi="Cambria Math"/>
            <w:sz w:val="22"/>
            <w:szCs w:val="22"/>
            <w:lang w:val="en"/>
          </w:rPr>
          <m:t xml:space="preserve">= </m:t>
        </m:r>
      </m:oMath>
      <w:r>
        <w:rPr>
          <w:rFonts w:ascii="Aptos" w:eastAsia="Times New Roman" w:hAnsi="Aptos"/>
          <w:sz w:val="22"/>
          <w:szCs w:val="22"/>
          <w:lang w:val="en"/>
        </w:rPr>
        <w:t>45°), which concentrates the transmitted power along the LOS path. The ratio of NLOS to LOS power is therefore small for most receiver positions within the room, particularly near the center.</w:t>
      </w:r>
    </w:p>
    <w:p w14:paraId="0287419F" w14:textId="77777777" w:rsidR="00000000" w:rsidRDefault="00000000">
      <w:pPr>
        <w:numPr>
          <w:ilvl w:val="0"/>
          <w:numId w:val="21"/>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Ratio-based cancellation:</w:t>
      </w:r>
      <w:r>
        <w:rPr>
          <w:rFonts w:ascii="Aptos" w:eastAsia="Times New Roman" w:hAnsi="Aptos"/>
          <w:sz w:val="22"/>
          <w:szCs w:val="22"/>
          <w:lang w:val="en"/>
        </w:rPr>
        <w:t xml:space="preserve"> The GLS/WLS estimators rely on </w:t>
      </w:r>
      <w:r>
        <w:rPr>
          <w:rStyle w:val="Accentuation"/>
          <w:rFonts w:ascii="Aptos" w:eastAsia="Times New Roman" w:hAnsi="Aptos"/>
          <w:sz w:val="22"/>
          <w:szCs w:val="22"/>
          <w:lang w:val="en"/>
        </w:rPr>
        <w:t>power ratios</w:t>
      </w:r>
      <w:r>
        <w:rPr>
          <w:rFonts w:ascii="Aptos" w:eastAsia="Times New Roman" w:hAnsi="Aptos"/>
          <w:sz w:val="22"/>
          <w:szCs w:val="22"/>
          <w:lang w:val="en"/>
        </w:rPr>
        <w:t xml:space="preserve"> between orientations. Since NLOS components (dominated by first-order wall reflections) change slowly with the transmitter orientation compared to the LOS component, the ratio-based formulation provides a degree of inherent robustness to multipath, as the NLOS contribution partially cancels in the ratio.</w:t>
      </w:r>
    </w:p>
    <w:p w14:paraId="19ED1E19"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A systematic study of multipath sensitivity under varying reflection coefficients and room geometries would require integrating a frequency-domain or recursive NLOS channel model, which substantially increases the computational burden and is beyond the scope of the present contribution. We agree, however, that this is an important practical concern and have added it as a future work direction.</w:t>
      </w:r>
    </w:p>
    <w:p w14:paraId="38A85471"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The Conclusion (Section VIII) now includes experimental validation as future work item (</w:t>
      </w:r>
      <w:proofErr w:type="spellStart"/>
      <w:r>
        <w:rPr>
          <w:rFonts w:ascii="Aptos" w:hAnsi="Aptos"/>
          <w:sz w:val="22"/>
          <w:szCs w:val="22"/>
          <w:lang w:val="en"/>
        </w:rPr>
        <w:t>i</w:t>
      </w:r>
      <w:proofErr w:type="spellEnd"/>
      <w:r>
        <w:rPr>
          <w:rFonts w:ascii="Aptos" w:hAnsi="Aptos"/>
          <w:sz w:val="22"/>
          <w:szCs w:val="22"/>
          <w:lang w:val="en"/>
        </w:rPr>
        <w:t>), which will naturally address multipath effects in real environments. The LOS assumption is standard in the OWP literature and is explicitly stated in Section II-A.</w:t>
      </w:r>
    </w:p>
    <w:p w14:paraId="2CBC35BD" w14:textId="77777777" w:rsidR="00000000" w:rsidRDefault="00000000">
      <w:pPr>
        <w:pStyle w:val="rc"/>
        <w:numPr>
          <w:ilvl w:val="0"/>
          <w:numId w:val="22"/>
        </w:numPr>
        <w:spacing w:before="0" w:beforeAutospacing="0" w:line="276" w:lineRule="auto"/>
        <w:divId w:val="1499275216"/>
        <w:rPr>
          <w:rFonts w:ascii="Aptos" w:hAnsi="Aptos"/>
          <w:sz w:val="22"/>
          <w:szCs w:val="22"/>
          <w:lang w:val="en"/>
        </w:rPr>
      </w:pPr>
      <w:r>
        <w:rPr>
          <w:rFonts w:ascii="Aptos" w:hAnsi="Aptos"/>
          <w:sz w:val="22"/>
          <w:szCs w:val="22"/>
          <w:lang w:val="en"/>
        </w:rPr>
        <w:t>The authors should include an experimental or simulation-based analysis of the system’s performance when the receiver is not perfectly horizontal, as tilt is a common factor in practical mobile scenarios.</w:t>
      </w:r>
    </w:p>
    <w:p w14:paraId="4B666076"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We are pleased to report that </w:t>
      </w:r>
      <w:r>
        <w:rPr>
          <w:rStyle w:val="lev"/>
          <w:rFonts w:ascii="Aptos" w:hAnsi="Aptos"/>
          <w:b w:val="0"/>
          <w:bCs w:val="0"/>
          <w:sz w:val="22"/>
          <w:szCs w:val="22"/>
          <w:lang w:val="en"/>
        </w:rPr>
        <w:t>this analysis is already included</w:t>
      </w:r>
      <w:r>
        <w:rPr>
          <w:rFonts w:ascii="Aptos" w:hAnsi="Aptos"/>
          <w:sz w:val="22"/>
          <w:szCs w:val="22"/>
          <w:lang w:val="en"/>
        </w:rPr>
        <w:t xml:space="preserve"> in the revised manuscript as a major new contribution. Section VII-A-2 (“Robustness to Receiver Tilt”) presents a comprehensive Monte Carlo evaluation under random receiver tilts:</w:t>
      </w:r>
    </w:p>
    <w:p w14:paraId="318F6FAD" w14:textId="77777777" w:rsidR="00000000" w:rsidRDefault="00000000">
      <w:pPr>
        <w:numPr>
          <w:ilvl w:val="0"/>
          <w:numId w:val="23"/>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Tilt model:</w:t>
      </w:r>
      <w:r>
        <w:rPr>
          <w:rFonts w:ascii="Aptos" w:eastAsia="Times New Roman" w:hAnsi="Aptos"/>
          <w:sz w:val="22"/>
          <w:szCs w:val="22"/>
          <w:lang w:val="en"/>
        </w:rPr>
        <w:t xml:space="preserve"> </w:t>
      </w:r>
      <m:oMath>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θ</m:t>
            </m:r>
          </m:e>
          <m:sub>
            <m:r>
              <m:rPr>
                <m:sty m:val="p"/>
              </m:rPr>
              <w:rPr>
                <w:rFonts w:ascii="Cambria Math" w:eastAsia="Times New Roman" w:hAnsi="Cambria Math"/>
                <w:sz w:val="22"/>
                <w:szCs w:val="22"/>
                <w:vertAlign w:val="subscript"/>
                <w:lang w:val="en"/>
              </w:rPr>
              <m:t>tilt</m:t>
            </m:r>
          </m:sub>
        </m:sSub>
      </m:oMath>
      <w:r>
        <w:rPr>
          <w:rFonts w:ascii="Aptos" w:eastAsia="Times New Roman" w:hAnsi="Aptos"/>
          <w:sz w:val="22"/>
          <w:szCs w:val="22"/>
          <w:lang w:val="en"/>
        </w:rPr>
        <w:t xml:space="preserve"> drawn from a half-normal distribution with </w:t>
      </w:r>
      <m:oMath>
        <m:r>
          <w:rPr>
            <w:rFonts w:ascii="Cambria Math" w:eastAsia="Times New Roman" w:hAnsi="Cambria Math"/>
            <w:sz w:val="22"/>
            <w:szCs w:val="22"/>
            <w:lang w:val="en"/>
          </w:rPr>
          <m:t>σ=</m:t>
        </m:r>
      </m:oMath>
      <w:r>
        <w:rPr>
          <w:rFonts w:ascii="Aptos" w:eastAsia="Times New Roman" w:hAnsi="Aptos"/>
          <w:sz w:val="22"/>
          <w:szCs w:val="22"/>
          <w:lang w:val="en"/>
        </w:rPr>
        <w:t xml:space="preserve"> 5° truncated at 30°; azimuth </w:t>
      </w:r>
      <m:oMath>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φ</m:t>
            </m:r>
          </m:e>
          <m:sub>
            <m:r>
              <m:rPr>
                <m:sty m:val="p"/>
              </m:rPr>
              <w:rPr>
                <w:rFonts w:ascii="Cambria Math" w:eastAsia="Times New Roman" w:hAnsi="Cambria Math"/>
                <w:sz w:val="22"/>
                <w:szCs w:val="22"/>
                <w:vertAlign w:val="subscript"/>
                <w:lang w:val="en"/>
              </w:rPr>
              <m:t>tilt</m:t>
            </m:r>
          </m:sub>
        </m:sSub>
      </m:oMath>
      <w:r>
        <w:rPr>
          <w:rFonts w:ascii="Aptos" w:eastAsia="Times New Roman" w:hAnsi="Aptos"/>
          <w:sz w:val="22"/>
          <w:szCs w:val="22"/>
          <w:lang w:val="en"/>
        </w:rPr>
        <w:t xml:space="preserve"> uniform on [0°, 360°).</w:t>
      </w:r>
    </w:p>
    <w:p w14:paraId="66BC0D65" w14:textId="77777777" w:rsidR="00000000" w:rsidRDefault="00000000">
      <w:pPr>
        <w:numPr>
          <w:ilvl w:val="0"/>
          <w:numId w:val="23"/>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lastRenderedPageBreak/>
        <w:t>Scale:</w:t>
      </w:r>
      <w:r>
        <w:rPr>
          <w:rFonts w:ascii="Aptos" w:eastAsia="Times New Roman" w:hAnsi="Aptos"/>
          <w:sz w:val="22"/>
          <w:szCs w:val="22"/>
          <w:lang w:val="en"/>
        </w:rPr>
        <w:t xml:space="preserve"> 1,792 positions </w:t>
      </w:r>
      <m:oMath>
        <m:r>
          <w:rPr>
            <w:rFonts w:ascii="Cambria Math" w:eastAsia="Times New Roman" w:hAnsi="Cambria Math"/>
            <w:sz w:val="22"/>
            <w:szCs w:val="22"/>
            <w:lang w:val="en"/>
          </w:rPr>
          <m:t>×</m:t>
        </m:r>
      </m:oMath>
      <w:r>
        <w:rPr>
          <w:rFonts w:ascii="Aptos" w:eastAsia="Times New Roman" w:hAnsi="Aptos"/>
          <w:sz w:val="22"/>
          <w:szCs w:val="22"/>
          <w:lang w:val="en"/>
        </w:rPr>
        <w:t xml:space="preserve"> 100 independent random tilts per position </w:t>
      </w:r>
      <m:oMath>
        <m:r>
          <w:rPr>
            <w:rFonts w:ascii="Cambria Math" w:eastAsia="Times New Roman" w:hAnsi="Cambria Math"/>
            <w:sz w:val="22"/>
            <w:szCs w:val="22"/>
            <w:lang w:val="en"/>
          </w:rPr>
          <m:t>×</m:t>
        </m:r>
      </m:oMath>
      <w:r>
        <w:rPr>
          <w:rFonts w:ascii="Aptos" w:eastAsia="Times New Roman" w:hAnsi="Aptos"/>
          <w:sz w:val="22"/>
          <w:szCs w:val="22"/>
          <w:lang w:val="en"/>
        </w:rPr>
        <w:t xml:space="preserve"> 1,000 noise trials per tilt = 179.2 million evaluations per estimator.</w:t>
      </w:r>
    </w:p>
    <w:p w14:paraId="575ADBD1" w14:textId="77777777" w:rsidR="00000000" w:rsidRDefault="00000000">
      <w:pPr>
        <w:numPr>
          <w:ilvl w:val="0"/>
          <w:numId w:val="23"/>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Results (Table III):</w:t>
      </w:r>
      <w:r>
        <w:rPr>
          <w:rFonts w:ascii="Aptos" w:eastAsia="Times New Roman" w:hAnsi="Aptos"/>
          <w:sz w:val="22"/>
          <w:szCs w:val="22"/>
          <w:lang w:val="en"/>
        </w:rPr>
        <w:t xml:space="preserve"> All estimators exhibit degradation below 3%, i.e., GLS: +2.24%, WLS: +2.62%, NLS: +1.68%, DEB: +1.69%.</w:t>
      </w:r>
    </w:p>
    <w:p w14:paraId="53AFD1FE" w14:textId="77777777" w:rsidR="00000000" w:rsidRDefault="00000000">
      <w:pPr>
        <w:numPr>
          <w:ilvl w:val="0"/>
          <w:numId w:val="23"/>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Visual confirmation (Fig. 6):</w:t>
      </w:r>
      <w:r>
        <w:rPr>
          <w:rFonts w:ascii="Aptos" w:eastAsia="Times New Roman" w:hAnsi="Aptos"/>
          <w:sz w:val="22"/>
          <w:szCs w:val="22"/>
          <w:lang w:val="en"/>
        </w:rPr>
        <w:t xml:space="preserve"> The empirical CDFs under random tilt (dashed curves) are virtually indistinguishable from the vertical-receiver baseline (solid curves).</w:t>
      </w:r>
    </w:p>
    <w:p w14:paraId="1B17DAC9"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This near-zero degradation is not coincidental but follows from the </w:t>
      </w:r>
      <w:r>
        <w:rPr>
          <w:rStyle w:val="lev"/>
          <w:rFonts w:ascii="Aptos" w:hAnsi="Aptos"/>
          <w:b w:val="0"/>
          <w:bCs w:val="0"/>
          <w:sz w:val="22"/>
          <w:szCs w:val="22"/>
          <w:lang w:val="en"/>
        </w:rPr>
        <w:t>analytical proof of receiver-orientation independence</w:t>
      </w:r>
      <w:r>
        <w:rPr>
          <w:rFonts w:ascii="Aptos" w:hAnsi="Aptos"/>
          <w:b/>
          <w:bCs/>
          <w:sz w:val="22"/>
          <w:szCs w:val="22"/>
          <w:lang w:val="en"/>
        </w:rPr>
        <w:t xml:space="preserve"> </w:t>
      </w:r>
      <w:r>
        <w:rPr>
          <w:rFonts w:ascii="Aptos" w:hAnsi="Aptos"/>
          <w:sz w:val="22"/>
          <w:szCs w:val="22"/>
          <w:lang w:val="en"/>
        </w:rPr>
        <w:t xml:space="preserve">in Section VI-C: all three estimators are mathematically independent of </w:t>
      </w:r>
      <m:oMath>
        <m:sSub>
          <m:sSubPr>
            <m:ctrlPr>
              <w:rPr>
                <w:rFonts w:ascii="Cambria Math" w:hAnsi="Cambria Math"/>
                <w:i/>
                <w:sz w:val="22"/>
                <w:szCs w:val="22"/>
                <w:lang w:val="en"/>
              </w:rPr>
            </m:ctrlPr>
          </m:sSubPr>
          <m:e>
            <m:r>
              <m:rPr>
                <m:sty m:val="b"/>
              </m:rPr>
              <w:rPr>
                <w:rFonts w:ascii="Cambria Math" w:hAnsi="Cambria Math"/>
                <w:sz w:val="22"/>
                <w:szCs w:val="22"/>
                <w:lang w:val="en"/>
              </w:rPr>
              <m:t>n</m:t>
            </m:r>
          </m:e>
          <m:sub>
            <m:r>
              <w:rPr>
                <w:rFonts w:ascii="Cambria Math" w:hAnsi="Cambria Math"/>
                <w:sz w:val="22"/>
                <w:szCs w:val="22"/>
                <w:vertAlign w:val="subscript"/>
                <w:lang w:val="en"/>
              </w:rPr>
              <m:t>r</m:t>
            </m:r>
          </m:sub>
        </m:sSub>
      </m:oMath>
      <w:r>
        <w:rPr>
          <w:rFonts w:ascii="Aptos" w:hAnsi="Aptos"/>
          <w:sz w:val="22"/>
          <w:szCs w:val="22"/>
          <w:lang w:val="en"/>
        </w:rPr>
        <w:t xml:space="preserve"> by construction (the common factor </w:t>
      </w:r>
      <m:oMath>
        <m:r>
          <w:rPr>
            <w:rFonts w:ascii="Cambria Math" w:hAnsi="Cambria Math"/>
            <w:sz w:val="22"/>
            <w:szCs w:val="22"/>
            <w:lang w:val="en"/>
          </w:rPr>
          <m:t>η</m:t>
        </m:r>
      </m:oMath>
      <w:r>
        <w:rPr>
          <w:rFonts w:ascii="Aptos" w:hAnsi="Aptos"/>
          <w:sz w:val="22"/>
          <w:szCs w:val="22"/>
          <w:lang w:val="en"/>
        </w:rPr>
        <w:t xml:space="preserve"> cancels in the ratio-based and max-normalized formulations). The residual &lt;3% degradation is attributable solely to SNR reduction, as a tilted PD intercepts less optical power (</w:t>
      </w:r>
      <m:oMath>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r>
              <w:rPr>
                <w:rFonts w:ascii="Cambria Math" w:hAnsi="Cambria Math"/>
                <w:sz w:val="22"/>
                <w:szCs w:val="22"/>
                <w:lang w:val="en"/>
              </w:rPr>
              <m:t>ψ</m:t>
            </m:r>
          </m:e>
        </m:func>
      </m:oMath>
      <w:r>
        <w:rPr>
          <w:rFonts w:ascii="Aptos" w:hAnsi="Aptos"/>
          <w:sz w:val="22"/>
          <w:szCs w:val="22"/>
          <w:lang w:val="en"/>
        </w:rPr>
        <w:t xml:space="preserve"> &lt; 1), lowering the effective SNR, rather than to structural bias.</w:t>
      </w:r>
    </w:p>
    <w:p w14:paraId="7D311EDE"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Section VI-C now provides the analytical proof, whereas Section VII-A-2 presents the Monte Carlo validation with Table III and Fig. 6.</w:t>
      </w:r>
    </w:p>
    <w:p w14:paraId="607A2049" w14:textId="77777777" w:rsidR="00000000" w:rsidRDefault="00000000">
      <w:pPr>
        <w:pStyle w:val="rc"/>
        <w:numPr>
          <w:ilvl w:val="0"/>
          <w:numId w:val="22"/>
        </w:numPr>
        <w:spacing w:before="0" w:beforeAutospacing="0" w:line="276" w:lineRule="auto"/>
        <w:divId w:val="1499275216"/>
        <w:rPr>
          <w:rFonts w:ascii="Aptos" w:hAnsi="Aptos"/>
          <w:sz w:val="22"/>
          <w:szCs w:val="22"/>
          <w:lang w:val="en"/>
        </w:rPr>
      </w:pPr>
      <w:r>
        <w:rPr>
          <w:rFonts w:ascii="Aptos" w:hAnsi="Aptos"/>
          <w:sz w:val="22"/>
          <w:szCs w:val="22"/>
          <w:lang w:val="en"/>
        </w:rPr>
        <w:t>The authors should analyze the impact of different ambient light power levels on the direction estimation stage to quantify the operational limits of the NIR-based positioning link.</w:t>
      </w:r>
    </w:p>
    <w:p w14:paraId="48357140"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In our model, the noise variance </w:t>
      </w:r>
      <m:oMath>
        <m:r>
          <w:rPr>
            <w:rFonts w:ascii="Cambria Math" w:hAnsi="Cambria Math"/>
            <w:sz w:val="22"/>
            <w:szCs w:val="22"/>
            <w:lang w:val="en"/>
          </w:rPr>
          <m:t>σ²</m:t>
        </m:r>
      </m:oMath>
      <w:r>
        <w:rPr>
          <w:rFonts w:ascii="Aptos" w:hAnsi="Aptos"/>
          <w:sz w:val="22"/>
          <w:szCs w:val="22"/>
          <w:lang w:val="en"/>
        </w:rPr>
        <w:t xml:space="preserve"> lumps together all receiver noise sources: thermal noise and ambient-light-induced shot noise (both modeled as AWGN, as is standard in the OWC literature [42]). Varying the ambient light level is therefore equivalent to varying </w:t>
      </w:r>
      <m:oMath>
        <m:r>
          <w:rPr>
            <w:rFonts w:ascii="Cambria Math" w:hAnsi="Cambria Math"/>
            <w:sz w:val="22"/>
            <w:szCs w:val="22"/>
            <w:lang w:val="en"/>
          </w:rPr>
          <m:t>σ²</m:t>
        </m:r>
      </m:oMath>
      <w:r>
        <w:rPr>
          <w:rFonts w:ascii="Aptos" w:hAnsi="Aptos"/>
          <w:sz w:val="22"/>
          <w:szCs w:val="22"/>
          <w:lang w:val="en"/>
        </w:rPr>
        <w:t xml:space="preserve">, which in turn changes the SNR. The revised manuscript addresses this concern through </w:t>
      </w:r>
      <w:r>
        <w:rPr>
          <w:rStyle w:val="lev"/>
          <w:rFonts w:ascii="Aptos" w:hAnsi="Aptos"/>
          <w:b w:val="0"/>
          <w:bCs w:val="0"/>
          <w:sz w:val="22"/>
          <w:szCs w:val="22"/>
          <w:lang w:val="en"/>
        </w:rPr>
        <w:t>two complementary analyses</w:t>
      </w:r>
      <w:r>
        <w:rPr>
          <w:rFonts w:ascii="Aptos" w:hAnsi="Aptos"/>
          <w:sz w:val="22"/>
          <w:szCs w:val="22"/>
          <w:lang w:val="en"/>
        </w:rPr>
        <w:t>:</w:t>
      </w:r>
    </w:p>
    <w:p w14:paraId="45469132" w14:textId="77777777" w:rsidR="00000000" w:rsidRDefault="00000000">
      <w:pPr>
        <w:numPr>
          <w:ilvl w:val="0"/>
          <w:numId w:val="24"/>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Theoretical bounds vs. SNR (Fig. 5, Section IV):</w:t>
      </w:r>
      <w:r>
        <w:rPr>
          <w:rFonts w:ascii="Aptos" w:eastAsia="Times New Roman" w:hAnsi="Aptos"/>
          <w:sz w:val="22"/>
          <w:szCs w:val="22"/>
          <w:lang w:val="en"/>
        </w:rPr>
        <w:t xml:space="preserve"> RMS-DEB and RMS-PEB plotted vs. SNR for </w:t>
      </w:r>
      <m:oMath>
        <m:r>
          <w:rPr>
            <w:rFonts w:ascii="Cambria Math" w:eastAsia="Times New Roman" w:hAnsi="Cambria Math"/>
            <w:sz w:val="22"/>
            <w:szCs w:val="22"/>
            <w:lang w:val="en"/>
          </w:rPr>
          <m:t>K</m:t>
        </m:r>
        <m:r>
          <w:rPr>
            <w:rFonts w:ascii="Cambria Math" w:eastAsia="Times New Roman" w:hAnsi="Cambria Math" w:cs="Cambria Math"/>
            <w:sz w:val="22"/>
            <w:szCs w:val="22"/>
            <w:lang w:val="en"/>
          </w:rPr>
          <m:t>∈</m:t>
        </m:r>
        <m:r>
          <w:rPr>
            <w:rFonts w:ascii="Cambria Math" w:eastAsia="Times New Roman" w:hAnsi="Cambria Math"/>
            <w:sz w:val="22"/>
            <w:szCs w:val="22"/>
            <w:lang w:val="en"/>
          </w:rPr>
          <m:t>{3,...,9}</m:t>
        </m:r>
      </m:oMath>
      <w:r>
        <w:rPr>
          <w:rFonts w:ascii="Aptos" w:eastAsia="Times New Roman" w:hAnsi="Aptos"/>
          <w:sz w:val="22"/>
          <w:szCs w:val="22"/>
          <w:lang w:val="en"/>
        </w:rPr>
        <w:t xml:space="preserve"> (</w:t>
      </w:r>
      <m:oMath>
        <m:sSub>
          <m:sSubPr>
            <m:ctrlPr>
              <w:rPr>
                <w:rFonts w:ascii="Cambria Math" w:eastAsia="Times New Roman" w:hAnsi="Cambria Math"/>
                <w:i/>
                <w:sz w:val="22"/>
                <w:szCs w:val="22"/>
                <w:vertAlign w:val="subscript"/>
                <w:lang w:val="en"/>
              </w:rPr>
            </m:ctrlPr>
          </m:sSubPr>
          <m:e>
            <m:r>
              <m:rPr>
                <m:sty m:val="p"/>
              </m:rPr>
              <w:rPr>
                <w:rFonts w:ascii="Cambria Math" w:eastAsia="Times New Roman" w:hAnsi="Cambria Math"/>
                <w:sz w:val="22"/>
                <w:szCs w:val="22"/>
                <w:lang w:val="en"/>
              </w:rPr>
              <m:t>Φ</m:t>
            </m:r>
            <m:ctrlPr>
              <w:rPr>
                <w:rFonts w:ascii="Cambria Math" w:eastAsia="Times New Roman" w:hAnsi="Cambria Math"/>
                <w:iCs/>
                <w:sz w:val="22"/>
                <w:szCs w:val="22"/>
                <w:lang w:val="en"/>
              </w:rPr>
            </m:ctrlPr>
          </m:e>
          <m:sub>
            <m:r>
              <w:rPr>
                <w:rFonts w:ascii="Cambria Math" w:eastAsia="Times New Roman" w:hAnsi="Cambria Math"/>
                <w:sz w:val="22"/>
                <w:szCs w:val="22"/>
                <w:vertAlign w:val="subscript"/>
                <w:lang w:val="en"/>
              </w:rPr>
              <m:t>1/2</m:t>
            </m:r>
          </m:sub>
        </m:sSub>
        <m:r>
          <w:rPr>
            <w:rFonts w:ascii="Cambria Math" w:eastAsia="Times New Roman" w:hAnsi="Cambria Math"/>
            <w:sz w:val="22"/>
            <w:szCs w:val="22"/>
            <w:lang w:val="en"/>
          </w:rPr>
          <m:t>=</m:t>
        </m:r>
      </m:oMath>
      <w:r>
        <w:rPr>
          <w:rFonts w:ascii="Aptos" w:eastAsia="Times New Roman" w:hAnsi="Aptos"/>
          <w:sz w:val="22"/>
          <w:szCs w:val="22"/>
          <w:lang w:val="en"/>
        </w:rPr>
        <w:t xml:space="preserve"> 45°). Both bounds decrease as 1/√SNR, confirming the CRLB scaling. At SNR </w:t>
      </w:r>
      <m:oMath>
        <m:r>
          <w:rPr>
            <w:rFonts w:ascii="Cambria Math" w:eastAsia="Times New Roman" w:hAnsi="Cambria Math"/>
            <w:sz w:val="22"/>
            <w:szCs w:val="22"/>
            <w:lang w:val="en"/>
          </w:rPr>
          <m:t>=</m:t>
        </m:r>
      </m:oMath>
      <w:r>
        <w:rPr>
          <w:rFonts w:ascii="Aptos" w:eastAsia="Times New Roman" w:hAnsi="Aptos"/>
          <w:sz w:val="22"/>
          <w:szCs w:val="22"/>
          <w:lang w:val="en"/>
        </w:rPr>
        <w:t xml:space="preserve"> 14 dB, the </w:t>
      </w:r>
      <m:oMath>
        <m:r>
          <w:rPr>
            <w:rFonts w:ascii="Cambria Math" w:eastAsia="Times New Roman" w:hAnsi="Cambria Math"/>
            <w:sz w:val="22"/>
            <w:szCs w:val="22"/>
            <w:lang w:val="en"/>
          </w:rPr>
          <m:t>K=</m:t>
        </m:r>
      </m:oMath>
      <w:r>
        <w:rPr>
          <w:rFonts w:ascii="Aptos" w:eastAsia="Times New Roman" w:hAnsi="Aptos"/>
          <w:sz w:val="22"/>
          <w:szCs w:val="22"/>
          <w:lang w:val="en"/>
        </w:rPr>
        <w:t xml:space="preserve"> 5 set achieves RMS-DEB &lt; 0.3° and RMS-PEB &lt; 1 cm.</w:t>
      </w:r>
    </w:p>
    <w:p w14:paraId="3F3D090D" w14:textId="77777777" w:rsidR="00000000" w:rsidRDefault="00000000">
      <w:pPr>
        <w:numPr>
          <w:ilvl w:val="0"/>
          <w:numId w:val="24"/>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Realized estimator performance vs. SNR (Fig. 10, Section VII-C):</w:t>
      </w:r>
      <w:r>
        <w:rPr>
          <w:rFonts w:ascii="Aptos" w:eastAsia="Times New Roman" w:hAnsi="Aptos"/>
          <w:sz w:val="22"/>
          <w:szCs w:val="22"/>
          <w:lang w:val="en"/>
        </w:rPr>
        <w:t xml:space="preserve"> Full Monte Carlo simulation of GLS, WLS, and NLS over SNR </w:t>
      </w:r>
      <m:oMath>
        <m:r>
          <w:rPr>
            <w:rFonts w:ascii="Cambria Math" w:eastAsia="Times New Roman" w:hAnsi="Cambria Math" w:cs="Cambria Math"/>
            <w:sz w:val="22"/>
            <w:szCs w:val="22"/>
            <w:lang w:val="en"/>
          </w:rPr>
          <m:t>∈</m:t>
        </m:r>
      </m:oMath>
      <w:r>
        <w:rPr>
          <w:rFonts w:ascii="Aptos" w:eastAsia="Times New Roman" w:hAnsi="Aptos"/>
          <w:sz w:val="22"/>
          <w:szCs w:val="22"/>
          <w:lang w:val="en"/>
        </w:rPr>
        <w:t xml:space="preserve"> [10,50] dB (</w:t>
      </w:r>
      <m:oMath>
        <m:r>
          <w:rPr>
            <w:rFonts w:ascii="Cambria Math" w:eastAsia="Times New Roman" w:hAnsi="Cambria Math"/>
            <w:sz w:val="22"/>
            <w:szCs w:val="22"/>
            <w:lang w:val="en"/>
          </w:rPr>
          <m:t>K=</m:t>
        </m:r>
      </m:oMath>
      <w:r>
        <w:rPr>
          <w:rFonts w:ascii="Aptos" w:eastAsia="Times New Roman" w:hAnsi="Aptos"/>
          <w:sz w:val="22"/>
          <w:szCs w:val="22"/>
          <w:lang w:val="en"/>
        </w:rPr>
        <w:t xml:space="preserve"> 5 with 1,792 positions and 1,000 trials/position). All estimator curves follow the 1/√SNR slope, and the NLS direction estimator tracks the DEB within a factor </w:t>
      </w:r>
      <m:oMath>
        <m:r>
          <w:rPr>
            <w:rFonts w:ascii="Cambria Math" w:eastAsia="Times New Roman" w:hAnsi="Cambria Math"/>
            <w:sz w:val="22"/>
            <w:szCs w:val="22"/>
            <w:lang w:val="en"/>
          </w:rPr>
          <m:t>≈</m:t>
        </m:r>
      </m:oMath>
      <w:r>
        <w:rPr>
          <w:rFonts w:ascii="Aptos" w:eastAsia="Times New Roman" w:hAnsi="Aptos"/>
          <w:sz w:val="22"/>
          <w:szCs w:val="22"/>
          <w:lang w:val="en"/>
        </w:rPr>
        <w:t>1.00</w:t>
      </w:r>
      <m:oMath>
        <m:r>
          <w:rPr>
            <w:rFonts w:ascii="Cambria Math" w:eastAsia="Times New Roman" w:hAnsi="Cambria Math"/>
            <w:sz w:val="22"/>
            <w:szCs w:val="22"/>
            <w:lang w:val="en"/>
          </w:rPr>
          <m:t>×</m:t>
        </m:r>
      </m:oMath>
      <w:r>
        <w:rPr>
          <w:rFonts w:ascii="Aptos" w:eastAsia="Times New Roman" w:hAnsi="Aptos"/>
          <w:sz w:val="22"/>
          <w:szCs w:val="22"/>
          <w:lang w:val="en"/>
        </w:rPr>
        <w:t xml:space="preserve">. This demonstrates that at lower SNRs (i.e., higher ambient light), the estimators degrade </w:t>
      </w:r>
      <w:r>
        <w:rPr>
          <w:rStyle w:val="Accentuation"/>
          <w:rFonts w:ascii="Aptos" w:eastAsia="Times New Roman" w:hAnsi="Aptos"/>
          <w:sz w:val="22"/>
          <w:szCs w:val="22"/>
          <w:lang w:val="en"/>
        </w:rPr>
        <w:t>gracefully and predictably</w:t>
      </w:r>
      <w:r>
        <w:rPr>
          <w:rFonts w:ascii="Aptos" w:eastAsia="Times New Roman" w:hAnsi="Aptos"/>
          <w:sz w:val="22"/>
          <w:szCs w:val="22"/>
          <w:lang w:val="en"/>
        </w:rPr>
        <w:t>, with performance fully characterized by the SNR.</w:t>
      </w:r>
    </w:p>
    <w:p w14:paraId="2391020E"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Together, Figs. 5 and 10 provide a complete parametric characterization: Fig. 5 shows the best achievable performance (bounds), while Fig. 10 confirms that the proposed estimators track those bounds at constant offsets across all ambient light conditions. For a specific environment, the reader can compute </w:t>
      </w:r>
      <m:oMath>
        <m:r>
          <w:rPr>
            <w:rFonts w:ascii="Cambria Math" w:hAnsi="Cambria Math"/>
            <w:sz w:val="22"/>
            <w:szCs w:val="22"/>
            <w:lang w:val="en"/>
          </w:rPr>
          <m:t>σ²</m:t>
        </m:r>
      </m:oMath>
      <w:r>
        <w:rPr>
          <w:rFonts w:ascii="Aptos" w:hAnsi="Aptos"/>
          <w:sz w:val="22"/>
          <w:szCs w:val="22"/>
          <w:lang w:val="en"/>
        </w:rPr>
        <w:t xml:space="preserve"> from standard shot-noise formulas [42] and read the expected performance directly from these figures.</w:t>
      </w:r>
    </w:p>
    <w:p w14:paraId="0D088DC2"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Figure 5 (bounds vs. SNR) has been added in Section IV. </w:t>
      </w:r>
      <w:r>
        <w:rPr>
          <w:rStyle w:val="lev"/>
          <w:rFonts w:ascii="Aptos" w:hAnsi="Aptos"/>
          <w:b w:val="0"/>
          <w:bCs w:val="0"/>
          <w:sz w:val="22"/>
          <w:szCs w:val="22"/>
          <w:lang w:val="en"/>
        </w:rPr>
        <w:t>Section VII-C and Fig. 10 (estimator RMSE vs. SNR)</w:t>
      </w:r>
      <w:r>
        <w:rPr>
          <w:rFonts w:ascii="Aptos" w:hAnsi="Aptos"/>
          <w:sz w:val="22"/>
          <w:szCs w:val="22"/>
          <w:lang w:val="en"/>
        </w:rPr>
        <w:t xml:space="preserve"> have also been added, showing realized performance across SNR </w:t>
      </w:r>
      <m:oMath>
        <m:r>
          <w:rPr>
            <w:rFonts w:ascii="Cambria Math" w:hAnsi="Cambria Math" w:cs="Cambria Math"/>
            <w:sz w:val="22"/>
            <w:szCs w:val="22"/>
            <w:lang w:val="en"/>
          </w:rPr>
          <m:t>∈</m:t>
        </m:r>
      </m:oMath>
      <w:r>
        <w:rPr>
          <w:rFonts w:ascii="Aptos" w:hAnsi="Aptos"/>
          <w:sz w:val="22"/>
          <w:szCs w:val="22"/>
          <w:lang w:val="en"/>
        </w:rPr>
        <w:t xml:space="preserve"> [10,50] dB.</w:t>
      </w:r>
    </w:p>
    <w:p w14:paraId="1C330792" w14:textId="77777777" w:rsidR="00000000" w:rsidRDefault="00000000">
      <w:pPr>
        <w:pStyle w:val="rc"/>
        <w:numPr>
          <w:ilvl w:val="0"/>
          <w:numId w:val="22"/>
        </w:numPr>
        <w:spacing w:before="0" w:beforeAutospacing="0" w:line="276" w:lineRule="auto"/>
        <w:divId w:val="1499275216"/>
        <w:rPr>
          <w:rFonts w:ascii="Aptos" w:hAnsi="Aptos"/>
          <w:sz w:val="22"/>
          <w:szCs w:val="22"/>
          <w:lang w:val="en"/>
        </w:rPr>
      </w:pPr>
      <w:r>
        <w:rPr>
          <w:rFonts w:ascii="Aptos" w:hAnsi="Aptos"/>
          <w:sz w:val="22"/>
          <w:szCs w:val="22"/>
          <w:lang w:val="en"/>
        </w:rPr>
        <w:t>The authors should provide a more comprehensive comparison of the genetic algorithm's convergence efficiency against other global optimization heuristics to justify its selection for orientation-set design.</w:t>
      </w:r>
    </w:p>
    <w:p w14:paraId="6CB63970"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lastRenderedPageBreak/>
        <w:t>We chose the GA for the following reasons, which are now discussed in Section IV:</w:t>
      </w:r>
    </w:p>
    <w:p w14:paraId="25C66FE1" w14:textId="77777777" w:rsidR="00000000" w:rsidRDefault="00000000">
      <w:pPr>
        <w:numPr>
          <w:ilvl w:val="0"/>
          <w:numId w:val="25"/>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Non-convex, multimodal landscape:</w:t>
      </w:r>
      <w:r>
        <w:rPr>
          <w:rFonts w:ascii="Aptos" w:eastAsia="Times New Roman" w:hAnsi="Aptos"/>
          <w:sz w:val="22"/>
          <w:szCs w:val="22"/>
          <w:lang w:val="en"/>
        </w:rPr>
        <w:t xml:space="preserve"> The DEB objective (22) involves powers of cosines, distance-dependent factors, and the FOV constraint, producing a non-smooth, multimodal landscape. Gradient-based methods (e.g., SQP, interior-point) are prone to local minima; population-based heuristics are better suited.</w:t>
      </w:r>
    </w:p>
    <w:p w14:paraId="48BEDDAF" w14:textId="77777777" w:rsidR="00000000" w:rsidRDefault="00000000">
      <w:pPr>
        <w:numPr>
          <w:ilvl w:val="0"/>
          <w:numId w:val="25"/>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Bounded, continuous search space:</w:t>
      </w:r>
      <w:r>
        <w:rPr>
          <w:rFonts w:ascii="Aptos" w:eastAsia="Times New Roman" w:hAnsi="Aptos"/>
          <w:sz w:val="22"/>
          <w:szCs w:val="22"/>
          <w:lang w:val="en"/>
        </w:rPr>
        <w:t xml:space="preserve"> The decision variables (tilt–azimuth pairs) lie in compact domains (</w:t>
      </w:r>
      <m:oMath>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θ</m:t>
            </m:r>
          </m:e>
          <m:sub>
            <m:r>
              <w:rPr>
                <w:rFonts w:ascii="Cambria Math" w:eastAsia="Times New Roman" w:hAnsi="Cambria Math"/>
                <w:sz w:val="22"/>
                <w:szCs w:val="22"/>
                <w:vertAlign w:val="subscript"/>
                <w:lang w:val="en"/>
              </w:rPr>
              <m:t>i</m:t>
            </m:r>
          </m:sub>
        </m:sSub>
        <m:r>
          <w:rPr>
            <w:rFonts w:ascii="Cambria Math" w:eastAsia="Times New Roman" w:hAnsi="Cambria Math" w:cs="Cambria Math"/>
            <w:sz w:val="22"/>
            <w:szCs w:val="22"/>
            <w:lang w:val="en"/>
          </w:rPr>
          <m:t>∈</m:t>
        </m:r>
      </m:oMath>
      <w:r>
        <w:rPr>
          <w:rFonts w:ascii="Aptos" w:eastAsia="Times New Roman" w:hAnsi="Aptos"/>
          <w:sz w:val="22"/>
          <w:szCs w:val="22"/>
          <w:lang w:val="en"/>
        </w:rPr>
        <w:t xml:space="preserve"> [0°,80°], </w:t>
      </w:r>
      <m:oMath>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ϕ</m:t>
            </m:r>
          </m:e>
          <m:sub>
            <m:r>
              <w:rPr>
                <w:rFonts w:ascii="Cambria Math" w:eastAsia="Times New Roman" w:hAnsi="Cambria Math"/>
                <w:sz w:val="22"/>
                <w:szCs w:val="22"/>
                <w:vertAlign w:val="subscript"/>
                <w:lang w:val="en"/>
              </w:rPr>
              <m:t>i</m:t>
            </m:r>
          </m:sub>
        </m:sSub>
        <m:r>
          <w:rPr>
            <w:rFonts w:ascii="Cambria Math" w:eastAsia="Times New Roman" w:hAnsi="Cambria Math" w:cs="Cambria Math"/>
            <w:sz w:val="22"/>
            <w:szCs w:val="22"/>
            <w:lang w:val="en"/>
          </w:rPr>
          <m:t xml:space="preserve">∈ </m:t>
        </m:r>
      </m:oMath>
      <w:r>
        <w:rPr>
          <w:rFonts w:ascii="Aptos" w:eastAsia="Times New Roman" w:hAnsi="Aptos"/>
          <w:sz w:val="22"/>
          <w:szCs w:val="22"/>
          <w:lang w:val="en"/>
        </w:rPr>
        <w:t>[0°,360°]). GAs with real-valued encoding handle such bounded continuous problems naturally.</w:t>
      </w:r>
    </w:p>
    <w:p w14:paraId="5D4B5F55" w14:textId="77777777" w:rsidR="00000000" w:rsidRDefault="00000000">
      <w:pPr>
        <w:numPr>
          <w:ilvl w:val="0"/>
          <w:numId w:val="25"/>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MATLAB integration:</w:t>
      </w:r>
      <w:r>
        <w:rPr>
          <w:rFonts w:ascii="Aptos" w:eastAsia="Times New Roman" w:hAnsi="Aptos"/>
          <w:sz w:val="22"/>
          <w:szCs w:val="22"/>
          <w:lang w:val="en"/>
        </w:rPr>
        <w:t xml:space="preserve"> MATLAB’s Global Optimization Toolbox provides a mature, well-tested GA implementation with built-in parallel evaluation, adaptive feasible mutation, and early-termination criteria, facilitating reproducibility.</w:t>
      </w:r>
    </w:p>
    <w:p w14:paraId="2F953B23" w14:textId="77777777" w:rsidR="00000000" w:rsidRDefault="00000000">
      <w:pPr>
        <w:numPr>
          <w:ilvl w:val="0"/>
          <w:numId w:val="25"/>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Empirical quality of solutions:</w:t>
      </w:r>
      <w:r>
        <w:rPr>
          <w:rFonts w:ascii="Aptos" w:eastAsia="Times New Roman" w:hAnsi="Aptos"/>
          <w:sz w:val="22"/>
          <w:szCs w:val="22"/>
          <w:lang w:val="en"/>
        </w:rPr>
        <w:t xml:space="preserve"> As shown in Table III, the GA-optimized sets exhibit physically interpretable and symmetric patterns (e.g., </w:t>
      </w:r>
      <m:oMath>
        <m:r>
          <w:rPr>
            <w:rFonts w:ascii="Cambria Math" w:eastAsia="Times New Roman" w:hAnsi="Cambria Math"/>
            <w:sz w:val="22"/>
            <w:szCs w:val="22"/>
            <w:lang w:val="en"/>
          </w:rPr>
          <m:t xml:space="preserve">K= </m:t>
        </m:r>
      </m:oMath>
      <w:r>
        <w:rPr>
          <w:rFonts w:ascii="Aptos" w:eastAsia="Times New Roman" w:hAnsi="Aptos"/>
          <w:sz w:val="22"/>
          <w:szCs w:val="22"/>
          <w:lang w:val="en"/>
        </w:rPr>
        <w:t xml:space="preserve">4: four orientations at 29.9° tilt, uniformly spaced by 90° in azimuth—the intuitively optimal configuration). Figure 2 further demonstrates that the GA consistently outperforms 50 random realizations per </w:t>
      </w:r>
      <m:oMath>
        <m:r>
          <w:rPr>
            <w:rFonts w:ascii="Cambria Math" w:eastAsia="Times New Roman" w:hAnsi="Cambria Math"/>
            <w:sz w:val="22"/>
            <w:szCs w:val="22"/>
            <w:lang w:val="en"/>
          </w:rPr>
          <m:t>K</m:t>
        </m:r>
      </m:oMath>
      <w:r>
        <w:rPr>
          <w:rFonts w:ascii="Aptos" w:eastAsia="Times New Roman" w:hAnsi="Aptos"/>
          <w:sz w:val="22"/>
          <w:szCs w:val="22"/>
          <w:lang w:val="en"/>
        </w:rPr>
        <w:t>, reducing the median DEB by 49%–72%.</w:t>
      </w:r>
    </w:p>
    <w:p w14:paraId="0B0A7FD7"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We acknowledge that a systematic comparison with alternative metaheuristics (particle swarm optimization, differential evolution, simulated annealing) would be informative. However, the orientation-set design is an </w:t>
      </w:r>
      <w:r>
        <w:rPr>
          <w:rStyle w:val="Accentuation"/>
          <w:rFonts w:ascii="Aptos" w:hAnsi="Aptos"/>
          <w:sz w:val="22"/>
          <w:szCs w:val="22"/>
          <w:lang w:val="en"/>
        </w:rPr>
        <w:t>offline</w:t>
      </w:r>
      <w:r>
        <w:rPr>
          <w:rFonts w:ascii="Aptos" w:hAnsi="Aptos"/>
          <w:sz w:val="22"/>
          <w:szCs w:val="22"/>
          <w:lang w:val="en"/>
        </w:rPr>
        <w:t xml:space="preserve"> one-time computation (not repeated per measurement), so absolute convergence speed is not a critical bottleneck. The quality of the resulting sets—demonstrated by their monotonically decreasing DEB (1.30° </w:t>
      </w:r>
      <m:oMath>
        <m:r>
          <w:rPr>
            <w:rFonts w:ascii="Cambria Math" w:hAnsi="Cambria Math"/>
            <w:sz w:val="22"/>
            <w:szCs w:val="22"/>
            <w:lang w:val="en"/>
          </w:rPr>
          <m:t>→</m:t>
        </m:r>
      </m:oMath>
      <w:r>
        <w:rPr>
          <w:rFonts w:ascii="Aptos" w:hAnsi="Aptos"/>
          <w:sz w:val="22"/>
          <w:szCs w:val="22"/>
          <w:lang w:val="en"/>
        </w:rPr>
        <w:t xml:space="preserve"> 0.36°), physically interpretable patterns, and consistent superiority over random sets—provides strong empirical evidence that the GA produces high-quality solutions. A formal comparison of metaheuristics for this specific problem is an interesting algorithmic study that we plan to pursue in future work.</w:t>
      </w:r>
    </w:p>
    <w:p w14:paraId="2CD71194"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Section IV now includes a paragraph justifying the GA choice. Table III and Fig. 2 provide empirical validation of solution quality.</w:t>
      </w:r>
    </w:p>
    <w:p w14:paraId="51CA36A0" w14:textId="77777777" w:rsidR="00000000" w:rsidRDefault="00000000">
      <w:pPr>
        <w:pStyle w:val="rc"/>
        <w:numPr>
          <w:ilvl w:val="0"/>
          <w:numId w:val="22"/>
        </w:numPr>
        <w:spacing w:before="0" w:beforeAutospacing="0" w:line="276" w:lineRule="auto"/>
        <w:divId w:val="1499275216"/>
        <w:rPr>
          <w:rFonts w:ascii="Aptos" w:hAnsi="Aptos"/>
          <w:sz w:val="22"/>
          <w:szCs w:val="22"/>
          <w:lang w:val="en"/>
        </w:rPr>
      </w:pPr>
      <w:r>
        <w:rPr>
          <w:rFonts w:ascii="Aptos" w:hAnsi="Aptos"/>
          <w:sz w:val="22"/>
          <w:szCs w:val="22"/>
          <w:lang w:val="en"/>
        </w:rPr>
        <w:t>The authors should clarify the physical constraints of the mechanical steering system and analyze how the maximum angular velocity of the beam-steerer affects the overall localization latency.</w:t>
      </w:r>
    </w:p>
    <w:p w14:paraId="559E8C7D"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We address this through the new latency analysis in Section VII-B-3 and the Conclusion:</w:t>
      </w:r>
    </w:p>
    <w:p w14:paraId="3E80749F" w14:textId="77777777" w:rsidR="00000000" w:rsidRDefault="00000000">
      <w:pPr>
        <w:numPr>
          <w:ilvl w:val="0"/>
          <w:numId w:val="26"/>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Computational latency (Section VII-B-3, Fig. 7):</w:t>
      </w:r>
      <w:r>
        <w:rPr>
          <w:rFonts w:ascii="Aptos" w:eastAsia="Times New Roman" w:hAnsi="Aptos"/>
          <w:sz w:val="22"/>
          <w:szCs w:val="22"/>
          <w:lang w:val="en"/>
        </w:rPr>
        <w:t xml:space="preserve"> For </w:t>
      </w:r>
      <m:oMath>
        <m:r>
          <w:rPr>
            <w:rFonts w:ascii="Cambria Math" w:eastAsia="Times New Roman" w:hAnsi="Cambria Math"/>
            <w:sz w:val="22"/>
            <w:szCs w:val="22"/>
            <w:lang w:val="en"/>
          </w:rPr>
          <m:t xml:space="preserve">K= </m:t>
        </m:r>
      </m:oMath>
      <w:r>
        <w:rPr>
          <w:rFonts w:ascii="Aptos" w:eastAsia="Times New Roman" w:hAnsi="Aptos"/>
          <w:sz w:val="22"/>
          <w:szCs w:val="22"/>
          <w:lang w:val="en"/>
        </w:rPr>
        <w:t>5 with powers pre-acquired, GLS completes in 0.025 ms (median) and WLS in 0.018 ms. NLS requires 0.65 ms due to the iterative Levenberg–Marquardt solve. The closed-form estimators are therefore negligible contributors to overall latency.</w:t>
      </w:r>
    </w:p>
    <w:p w14:paraId="6106D01A" w14:textId="77777777" w:rsidR="00000000" w:rsidRDefault="00000000">
      <w:pPr>
        <w:numPr>
          <w:ilvl w:val="0"/>
          <w:numId w:val="26"/>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Steering latency:</w:t>
      </w:r>
      <w:r>
        <w:rPr>
          <w:rFonts w:ascii="Aptos" w:eastAsia="Times New Roman" w:hAnsi="Aptos"/>
          <w:sz w:val="22"/>
          <w:szCs w:val="22"/>
          <w:lang w:val="en"/>
        </w:rPr>
        <w:t xml:space="preserve"> The total pipeline requires </w:t>
      </w:r>
      <m:oMath>
        <m:r>
          <w:rPr>
            <w:rFonts w:ascii="Cambria Math" w:eastAsia="Times New Roman" w:hAnsi="Cambria Math"/>
            <w:sz w:val="22"/>
            <w:szCs w:val="22"/>
            <w:lang w:val="en"/>
          </w:rPr>
          <m:t>K+1</m:t>
        </m:r>
      </m:oMath>
      <w:r>
        <w:rPr>
          <w:rFonts w:ascii="Aptos" w:eastAsia="Times New Roman" w:hAnsi="Aptos"/>
          <w:sz w:val="22"/>
          <w:szCs w:val="22"/>
          <w:lang w:val="en"/>
        </w:rPr>
        <w:t xml:space="preserve"> sequential measurements. The dominant latency contributor is the physical steering time between orientations. With state-of-the-art MEMS micromirror gimbals achieving angular velocities on the order of 10</w:t>
      </w:r>
      <w:r>
        <w:rPr>
          <w:rFonts w:ascii="Aptos" w:eastAsia="Times New Roman" w:hAnsi="Aptos"/>
          <w:sz w:val="22"/>
          <w:szCs w:val="22"/>
          <w:vertAlign w:val="superscript"/>
          <w:lang w:val="en"/>
        </w:rPr>
        <w:t>4</w:t>
      </w:r>
      <w:r>
        <w:rPr>
          <w:rFonts w:ascii="Aptos" w:eastAsia="Times New Roman" w:hAnsi="Aptos"/>
          <w:sz w:val="22"/>
          <w:szCs w:val="22"/>
          <w:lang w:val="en"/>
        </w:rPr>
        <w:t>–10</w:t>
      </w:r>
      <w:r>
        <w:rPr>
          <w:rFonts w:ascii="Aptos" w:eastAsia="Times New Roman" w:hAnsi="Aptos"/>
          <w:sz w:val="22"/>
          <w:szCs w:val="22"/>
          <w:vertAlign w:val="superscript"/>
          <w:lang w:val="en"/>
        </w:rPr>
        <w:t>5</w:t>
      </w:r>
      <w:r>
        <w:rPr>
          <w:rFonts w:ascii="Aptos" w:eastAsia="Times New Roman" w:hAnsi="Aptos"/>
          <w:sz w:val="22"/>
          <w:szCs w:val="22"/>
          <w:lang w:val="en"/>
        </w:rPr>
        <w:t xml:space="preserve"> °/s [36], a typical 60° reorientation takes ~0.6–6 </w:t>
      </w:r>
      <w:proofErr w:type="spellStart"/>
      <w:r>
        <w:rPr>
          <w:rFonts w:ascii="Aptos" w:eastAsia="Times New Roman" w:hAnsi="Aptos"/>
          <w:sz w:val="22"/>
          <w:szCs w:val="22"/>
          <w:lang w:val="en"/>
        </w:rPr>
        <w:t>ms.</w:t>
      </w:r>
      <w:proofErr w:type="spellEnd"/>
      <w:r>
        <w:rPr>
          <w:rFonts w:ascii="Aptos" w:eastAsia="Times New Roman" w:hAnsi="Aptos"/>
          <w:sz w:val="22"/>
          <w:szCs w:val="22"/>
          <w:lang w:val="en"/>
        </w:rPr>
        <w:t xml:space="preserve"> For </w:t>
      </w:r>
      <m:oMath>
        <m:r>
          <w:rPr>
            <w:rFonts w:ascii="Cambria Math" w:eastAsia="Times New Roman" w:hAnsi="Cambria Math"/>
            <w:sz w:val="22"/>
            <w:szCs w:val="22"/>
            <w:lang w:val="en"/>
          </w:rPr>
          <m:t xml:space="preserve">K= </m:t>
        </m:r>
      </m:oMath>
      <w:r>
        <w:rPr>
          <w:rFonts w:ascii="Aptos" w:eastAsia="Times New Roman" w:hAnsi="Aptos"/>
          <w:sz w:val="22"/>
          <w:szCs w:val="22"/>
          <w:lang w:val="en"/>
        </w:rPr>
        <w:t>5, the six beam transitions and sampling windows result in a total acquisition time on the order of a few milliseconds to tens of milliseconds, depending on the specific hardware.</w:t>
      </w:r>
    </w:p>
    <w:p w14:paraId="5D6A5534" w14:textId="77777777" w:rsidR="00000000" w:rsidRDefault="00000000">
      <w:pPr>
        <w:numPr>
          <w:ilvl w:val="0"/>
          <w:numId w:val="26"/>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lastRenderedPageBreak/>
        <w:t>Impact on user motion:</w:t>
      </w:r>
      <w:r>
        <w:rPr>
          <w:rFonts w:ascii="Aptos" w:eastAsia="Times New Roman" w:hAnsi="Aptos"/>
          <w:sz w:val="22"/>
          <w:szCs w:val="22"/>
          <w:lang w:val="en"/>
        </w:rPr>
        <w:t xml:space="preserve"> At pedestrian speed (</w:t>
      </w:r>
      <m:oMath>
        <m:r>
          <w:rPr>
            <w:rFonts w:ascii="Cambria Math" w:eastAsia="Times New Roman" w:hAnsi="Cambria Math"/>
            <w:sz w:val="22"/>
            <w:szCs w:val="22"/>
            <w:lang w:val="en"/>
          </w:rPr>
          <m:t>~</m:t>
        </m:r>
      </m:oMath>
      <w:r>
        <w:rPr>
          <w:rFonts w:ascii="Aptos" w:eastAsia="Times New Roman" w:hAnsi="Aptos"/>
          <w:sz w:val="22"/>
          <w:szCs w:val="22"/>
          <w:lang w:val="en"/>
        </w:rPr>
        <w:t xml:space="preserve">1.4 m/s), a 6 ms acquisition window corresponds to </w:t>
      </w:r>
      <m:oMath>
        <m:r>
          <w:rPr>
            <w:rFonts w:ascii="Cambria Math" w:eastAsia="Times New Roman" w:hAnsi="Cambria Math"/>
            <w:sz w:val="22"/>
            <w:szCs w:val="22"/>
            <w:lang w:val="en"/>
          </w:rPr>
          <m:t>~</m:t>
        </m:r>
      </m:oMath>
      <w:r>
        <w:rPr>
          <w:rFonts w:ascii="Aptos" w:eastAsia="Times New Roman" w:hAnsi="Aptos"/>
          <w:sz w:val="22"/>
          <w:szCs w:val="22"/>
          <w:lang w:val="en"/>
        </w:rPr>
        <w:t>8.4 mm displacement, well below the centimeter-level positioning accuracy (Table IV). Even with slower steering mechanisms (tens of ms total), the displacement remains within the system's accuracy budget.</w:t>
      </w:r>
    </w:p>
    <w:p w14:paraId="53538AF9" w14:textId="77777777" w:rsidR="00000000" w:rsidRDefault="00000000">
      <w:pPr>
        <w:pStyle w:val="resp"/>
        <w:spacing w:before="0" w:beforeAutospacing="0" w:line="276" w:lineRule="auto"/>
        <w:divId w:val="1499275216"/>
        <w:rPr>
          <w:rFonts w:ascii="Aptos" w:hAnsi="Aptos"/>
          <w:sz w:val="22"/>
          <w:szCs w:val="22"/>
          <w:lang w:val="en"/>
        </w:rPr>
      </w:pPr>
      <w:r w:rsidRPr="00A33911">
        <w:rPr>
          <w:rFonts w:ascii="Aptos" w:hAnsi="Aptos"/>
          <w:sz w:val="22"/>
          <w:szCs w:val="22"/>
          <w:lang w:val="en"/>
        </w:rPr>
        <w:t xml:space="preserve">We note that the proposed framework is agnostic to the specific steering technology, provided the beam-steerer preserves the native LED emission pattern. The key requirement is that it can reach the </w:t>
      </w:r>
      <m:oMath>
        <m:r>
          <w:rPr>
            <w:rFonts w:ascii="Cambria Math" w:hAnsi="Cambria Math"/>
            <w:sz w:val="22"/>
            <w:szCs w:val="22"/>
            <w:lang w:val="en"/>
          </w:rPr>
          <m:t>K</m:t>
        </m:r>
      </m:oMath>
      <w:r w:rsidRPr="00A33911">
        <w:rPr>
          <w:rFonts w:ascii="Aptos" w:hAnsi="Aptos"/>
          <w:sz w:val="22"/>
          <w:szCs w:val="22"/>
          <w:lang w:val="en"/>
        </w:rPr>
        <w:t xml:space="preserve"> predefined orientations with sufficient accuracy and speed relative to the user's mobility. A detailed hardware characterization is planned as part of the experimental validation (future work item (</w:t>
      </w:r>
      <w:proofErr w:type="spellStart"/>
      <w:r w:rsidRPr="00A33911">
        <w:rPr>
          <w:rFonts w:ascii="Aptos" w:hAnsi="Aptos"/>
          <w:sz w:val="22"/>
          <w:szCs w:val="22"/>
          <w:lang w:val="en"/>
        </w:rPr>
        <w:t>i</w:t>
      </w:r>
      <w:proofErr w:type="spellEnd"/>
      <w:r w:rsidRPr="00A33911">
        <w:rPr>
          <w:rFonts w:ascii="Aptos" w:hAnsi="Aptos"/>
          <w:sz w:val="22"/>
          <w:szCs w:val="22"/>
          <w:lang w:val="en"/>
        </w:rPr>
        <w:t>)).</w:t>
      </w:r>
    </w:p>
    <w:p w14:paraId="47075F8D"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 xml:space="preserve">Section VII-B-3 provides the computational latency analysis with Fig. 7. The Conclusion states: “For </w:t>
      </w:r>
      <m:oMath>
        <m:r>
          <w:rPr>
            <w:rFonts w:ascii="Cambria Math" w:hAnsi="Cambria Math"/>
            <w:sz w:val="22"/>
            <w:szCs w:val="22"/>
            <w:lang w:val="en"/>
          </w:rPr>
          <m:t>K=</m:t>
        </m:r>
      </m:oMath>
      <w:r>
        <w:rPr>
          <w:rFonts w:ascii="Aptos" w:hAnsi="Aptos"/>
          <w:sz w:val="22"/>
          <w:szCs w:val="22"/>
          <w:lang w:val="en"/>
        </w:rPr>
        <w:t xml:space="preserve"> 5 with state-of-the-art steering mechanisms, the total acquisition window is on the order of milliseconds, resulting in sub-centimeter displacement at pedestrian speeds”.</w:t>
      </w:r>
    </w:p>
    <w:p w14:paraId="00E9900C" w14:textId="77777777" w:rsidR="00000000" w:rsidRDefault="00000000">
      <w:pPr>
        <w:pStyle w:val="rc"/>
        <w:numPr>
          <w:ilvl w:val="0"/>
          <w:numId w:val="22"/>
        </w:numPr>
        <w:spacing w:before="0" w:beforeAutospacing="0" w:line="276" w:lineRule="auto"/>
        <w:divId w:val="1499275216"/>
        <w:rPr>
          <w:rFonts w:ascii="Aptos" w:hAnsi="Aptos"/>
          <w:sz w:val="22"/>
          <w:szCs w:val="22"/>
          <w:lang w:val="en"/>
        </w:rPr>
      </w:pPr>
      <w:r>
        <w:rPr>
          <w:rFonts w:ascii="Aptos" w:hAnsi="Aptos"/>
          <w:sz w:val="22"/>
          <w:szCs w:val="22"/>
          <w:lang w:val="en"/>
        </w:rPr>
        <w:t xml:space="preserve">The authors should analyze the Fisher Information Matrix rank conditions for cases where </w:t>
      </w:r>
      <m:oMath>
        <m:r>
          <w:rPr>
            <w:rFonts w:ascii="Cambria Math" w:hAnsi="Cambria Math"/>
            <w:sz w:val="22"/>
            <w:szCs w:val="22"/>
            <w:lang w:val="en"/>
          </w:rPr>
          <m:t>K ≥</m:t>
        </m:r>
      </m:oMath>
      <w:r>
        <w:rPr>
          <w:rFonts w:ascii="Aptos" w:hAnsi="Aptos"/>
          <w:sz w:val="22"/>
          <w:szCs w:val="22"/>
          <w:lang w:val="en"/>
        </w:rPr>
        <w:t xml:space="preserve"> 3 but the chosen orientations are nearly coplanar, as this affects the practical deployment rules.</w:t>
      </w:r>
    </w:p>
    <w:p w14:paraId="1B47DE73"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This is an insightful observation. Section III-E (“Number of LED Orientations”) already discusses the three FIM regimes:</w:t>
      </w:r>
    </w:p>
    <w:p w14:paraId="2F2D9D33" w14:textId="77777777" w:rsidR="00000000" w:rsidRDefault="00000000">
      <w:pPr>
        <w:numPr>
          <w:ilvl w:val="0"/>
          <w:numId w:val="27"/>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Underdetermined (</w:t>
      </w:r>
      <m:oMath>
        <m:r>
          <m:rPr>
            <m:sty m:val="bi"/>
          </m:rPr>
          <w:rPr>
            <w:rStyle w:val="lev"/>
            <w:rFonts w:ascii="Cambria Math" w:eastAsia="Times New Roman" w:hAnsi="Cambria Math"/>
            <w:sz w:val="22"/>
            <w:szCs w:val="22"/>
            <w:lang w:val="en"/>
          </w:rPr>
          <m:t>K</m:t>
        </m:r>
        <m:r>
          <w:rPr>
            <w:rStyle w:val="lev"/>
            <w:rFonts w:ascii="Cambria Math" w:eastAsia="Times New Roman" w:hAnsi="Cambria Math"/>
            <w:sz w:val="22"/>
            <w:szCs w:val="22"/>
            <w:lang w:val="en"/>
          </w:rPr>
          <m:t xml:space="preserve">≤ </m:t>
        </m:r>
      </m:oMath>
      <w:r>
        <w:rPr>
          <w:rStyle w:val="lev"/>
          <w:rFonts w:ascii="Aptos" w:eastAsia="Times New Roman" w:hAnsi="Aptos"/>
          <w:sz w:val="22"/>
          <w:szCs w:val="22"/>
          <w:lang w:val="en"/>
        </w:rPr>
        <w:t>2):</w:t>
      </w:r>
      <w:r>
        <w:rPr>
          <w:rFonts w:ascii="Aptos" w:eastAsia="Times New Roman" w:hAnsi="Aptos"/>
          <w:sz w:val="22"/>
          <w:szCs w:val="22"/>
          <w:lang w:val="en"/>
        </w:rPr>
        <w:t xml:space="preserve"> The FIM is rank-deficient and the CRLB diverges.</w:t>
      </w:r>
    </w:p>
    <w:p w14:paraId="03F46E15" w14:textId="77777777" w:rsidR="00000000" w:rsidRDefault="00000000">
      <w:pPr>
        <w:numPr>
          <w:ilvl w:val="0"/>
          <w:numId w:val="2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Just-determined (</w:t>
      </w:r>
      <m:oMath>
        <m:r>
          <m:rPr>
            <m:sty m:val="bi"/>
          </m:rPr>
          <w:rPr>
            <w:rStyle w:val="lev"/>
            <w:rFonts w:ascii="Cambria Math" w:eastAsia="Times New Roman" w:hAnsi="Cambria Math"/>
            <w:sz w:val="22"/>
            <w:szCs w:val="22"/>
            <w:lang w:val="en"/>
          </w:rPr>
          <m:t>K</m:t>
        </m:r>
        <m:r>
          <w:rPr>
            <w:rStyle w:val="lev"/>
            <w:rFonts w:ascii="Cambria Math" w:eastAsia="Times New Roman" w:hAnsi="Cambria Math"/>
            <w:sz w:val="22"/>
            <w:szCs w:val="22"/>
            <w:lang w:val="en"/>
          </w:rPr>
          <m:t xml:space="preserve">= </m:t>
        </m:r>
      </m:oMath>
      <w:r>
        <w:rPr>
          <w:rStyle w:val="lev"/>
          <w:rFonts w:ascii="Aptos" w:eastAsia="Times New Roman" w:hAnsi="Aptos"/>
          <w:sz w:val="22"/>
          <w:szCs w:val="22"/>
          <w:lang w:val="en"/>
        </w:rPr>
        <w:t>3):</w:t>
      </w:r>
      <w:r>
        <w:rPr>
          <w:rFonts w:ascii="Aptos" w:eastAsia="Times New Roman" w:hAnsi="Aptos"/>
          <w:sz w:val="22"/>
          <w:szCs w:val="22"/>
          <w:lang w:val="en"/>
        </w:rPr>
        <w:t xml:space="preserve"> </w:t>
      </w:r>
      <w:r>
        <w:rPr>
          <w:rFonts w:ascii="Aptos" w:eastAsia="Times New Roman" w:hAnsi="Aptos"/>
          <w:color w:val="0000FF"/>
          <w:sz w:val="22"/>
          <w:szCs w:val="22"/>
          <w:lang w:val="en"/>
        </w:rPr>
        <w:t xml:space="preserve">“With three distinct, </w:t>
      </w:r>
      <w:r>
        <w:rPr>
          <w:rStyle w:val="lev"/>
          <w:rFonts w:ascii="Aptos" w:eastAsia="Times New Roman" w:hAnsi="Aptos"/>
          <w:b w:val="0"/>
          <w:bCs w:val="0"/>
          <w:color w:val="0000FF"/>
          <w:sz w:val="22"/>
          <w:szCs w:val="22"/>
          <w:lang w:val="en"/>
        </w:rPr>
        <w:t>non-coplanar</w:t>
      </w:r>
      <w:r>
        <w:rPr>
          <w:rFonts w:ascii="Aptos" w:eastAsia="Times New Roman" w:hAnsi="Aptos"/>
          <w:color w:val="0000FF"/>
          <w:sz w:val="22"/>
          <w:szCs w:val="22"/>
          <w:lang w:val="en"/>
        </w:rPr>
        <w:t xml:space="preserve"> LED orientations plus the range measurement, the total of four gradient vectors can span the 3D parameter space” (emphasis added). The text explicitly notes that the absence of redundancy makes the bound “highly sensitive to small perturbations in orientation geometry”</w:t>
      </w:r>
      <w:r>
        <w:rPr>
          <w:rFonts w:ascii="Aptos" w:eastAsia="Times New Roman" w:hAnsi="Aptos"/>
          <w:sz w:val="22"/>
          <w:szCs w:val="22"/>
          <w:lang w:val="en"/>
        </w:rPr>
        <w:t>.</w:t>
      </w:r>
    </w:p>
    <w:p w14:paraId="532FCE78" w14:textId="77777777" w:rsidR="00000000" w:rsidRDefault="00000000">
      <w:pPr>
        <w:numPr>
          <w:ilvl w:val="0"/>
          <w:numId w:val="27"/>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Overdetermined (</w:t>
      </w:r>
      <m:oMath>
        <m:r>
          <m:rPr>
            <m:sty m:val="bi"/>
          </m:rPr>
          <w:rPr>
            <w:rStyle w:val="lev"/>
            <w:rFonts w:ascii="Cambria Math" w:eastAsia="Times New Roman" w:hAnsi="Cambria Math"/>
            <w:sz w:val="22"/>
            <w:szCs w:val="22"/>
            <w:lang w:val="en"/>
          </w:rPr>
          <m:t>K</m:t>
        </m:r>
        <m:r>
          <w:rPr>
            <w:rStyle w:val="lev"/>
            <w:rFonts w:ascii="Cambria Math" w:eastAsia="Times New Roman" w:hAnsi="Cambria Math"/>
            <w:sz w:val="22"/>
            <w:szCs w:val="22"/>
            <w:lang w:val="en"/>
          </w:rPr>
          <m:t>≥</m:t>
        </m:r>
      </m:oMath>
      <w:r>
        <w:rPr>
          <w:rStyle w:val="lev"/>
          <w:rFonts w:ascii="Aptos" w:eastAsia="Times New Roman" w:hAnsi="Aptos"/>
          <w:sz w:val="22"/>
          <w:szCs w:val="22"/>
          <w:lang w:val="en"/>
        </w:rPr>
        <w:t xml:space="preserve"> 4):</w:t>
      </w:r>
      <w:r>
        <w:rPr>
          <w:rFonts w:ascii="Aptos" w:eastAsia="Times New Roman" w:hAnsi="Aptos"/>
          <w:sz w:val="22"/>
          <w:szCs w:val="22"/>
          <w:lang w:val="en"/>
        </w:rPr>
        <w:t xml:space="preserve"> The FIM accumulates redundant outer products, improving conditioning and reducing the PEB.</w:t>
      </w:r>
    </w:p>
    <w:p w14:paraId="6C10A194"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The near-coplanar case the reviewer raises corresponds to the degenerate </w:t>
      </w:r>
      <m:oMath>
        <m:r>
          <w:rPr>
            <w:rFonts w:ascii="Cambria Math" w:hAnsi="Cambria Math"/>
            <w:sz w:val="22"/>
            <w:szCs w:val="22"/>
            <w:lang w:val="en"/>
          </w:rPr>
          <m:t xml:space="preserve">K= </m:t>
        </m:r>
      </m:oMath>
      <w:r>
        <w:rPr>
          <w:rFonts w:ascii="Aptos" w:hAnsi="Aptos"/>
          <w:sz w:val="22"/>
          <w:szCs w:val="22"/>
          <w:lang w:val="en"/>
        </w:rPr>
        <w:t xml:space="preserve">3 scenario where the gradient vectors become nearly linearly dependent, causing the FIM to become ill-conditioned (large condition number). In the limit of exact coplanarity, the FIM loses rank and the CRLB diverges in the direction orthogonal to the common plane. This is precisely why Section III-E stresses the non-coplanarity requirement and why the GA optimization is essential: </w:t>
      </w:r>
      <w:r>
        <w:rPr>
          <w:rStyle w:val="lev"/>
          <w:rFonts w:ascii="Aptos" w:hAnsi="Aptos"/>
          <w:sz w:val="22"/>
          <w:szCs w:val="22"/>
          <w:lang w:val="en"/>
        </w:rPr>
        <w:t>the GA inherently avoids degenerate configurations</w:t>
      </w:r>
      <w:r>
        <w:rPr>
          <w:rFonts w:ascii="Aptos" w:hAnsi="Aptos"/>
          <w:sz w:val="22"/>
          <w:szCs w:val="22"/>
          <w:lang w:val="en"/>
        </w:rPr>
        <w:t xml:space="preserve"> because they yield very large DEB values and are therefore penalized by the objective function (22).</w:t>
      </w:r>
    </w:p>
    <w:p w14:paraId="551393F7"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This is also visible in the optimized orientation sets (Table III): for </w:t>
      </w:r>
      <m:oMath>
        <m:r>
          <w:rPr>
            <w:rFonts w:ascii="Cambria Math" w:hAnsi="Cambria Math"/>
            <w:sz w:val="22"/>
            <w:szCs w:val="22"/>
            <w:lang w:val="en"/>
          </w:rPr>
          <m:t>K≥5</m:t>
        </m:r>
      </m:oMath>
      <w:r>
        <w:rPr>
          <w:rFonts w:ascii="Aptos" w:hAnsi="Aptos"/>
          <w:sz w:val="22"/>
          <w:szCs w:val="22"/>
          <w:lang w:val="en"/>
        </w:rPr>
        <w:t>, the GA consistently places orientations at two distinct tilt levels (one near 0° and one near 65°–70°), ensuring that the gradient vectors span three dimensions. The DEB heat maps (Fig. 3) further demonstrate that the optimized configurations maintain bounded DEB across the entire testbed, confirming that the GA avoids ill-conditioned geometries.</w:t>
      </w:r>
    </w:p>
    <w:p w14:paraId="6B204577"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Section III-E already discusses the three regimes, including the non-coplanarity requirement for K=3. The GA optimization naturally enforces well-conditioned FIM through the DEB objective.</w:t>
      </w:r>
    </w:p>
    <w:p w14:paraId="5015E529" w14:textId="77777777" w:rsidR="00000000" w:rsidRDefault="00000000">
      <w:pPr>
        <w:pStyle w:val="rc"/>
        <w:numPr>
          <w:ilvl w:val="0"/>
          <w:numId w:val="22"/>
        </w:numPr>
        <w:spacing w:before="0" w:beforeAutospacing="0" w:line="276" w:lineRule="auto"/>
        <w:divId w:val="1499275216"/>
        <w:rPr>
          <w:rFonts w:ascii="Aptos" w:hAnsi="Aptos"/>
          <w:sz w:val="22"/>
          <w:szCs w:val="22"/>
          <w:lang w:val="en"/>
        </w:rPr>
      </w:pPr>
      <w:r>
        <w:rPr>
          <w:rFonts w:ascii="Aptos" w:hAnsi="Aptos"/>
          <w:sz w:val="22"/>
          <w:szCs w:val="22"/>
          <w:lang w:val="en"/>
        </w:rPr>
        <w:t>The authors should analyze the error propagation from the direction-finding stage to the distance-recovery stage to explain the total system error budget more clearly.</w:t>
      </w:r>
    </w:p>
    <w:p w14:paraId="73052457"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lastRenderedPageBreak/>
        <w:t>We agree that understanding the error budget is important. The revised manuscript addresses this through two complementary mechanisms:</w:t>
      </w:r>
    </w:p>
    <w:p w14:paraId="275024A1" w14:textId="77777777" w:rsidR="00000000" w:rsidRDefault="00000000">
      <w:pPr>
        <w:numPr>
          <w:ilvl w:val="0"/>
          <w:numId w:val="28"/>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Theoretical analysis (Section III-D, Eq. 21):</w:t>
      </w:r>
      <w:r>
        <w:rPr>
          <w:rFonts w:ascii="Aptos" w:eastAsia="Times New Roman" w:hAnsi="Aptos"/>
          <w:sz w:val="22"/>
          <w:szCs w:val="22"/>
          <w:lang w:val="en"/>
        </w:rPr>
        <w:t xml:space="preserve"> The PEB is derived from the full (</w:t>
      </w:r>
      <m:oMath>
        <m:r>
          <w:rPr>
            <w:rFonts w:ascii="Cambria Math" w:eastAsia="Times New Roman" w:hAnsi="Cambria Math"/>
            <w:sz w:val="22"/>
            <w:szCs w:val="22"/>
            <w:lang w:val="en"/>
          </w:rPr>
          <m:t>K+1</m:t>
        </m:r>
      </m:oMath>
      <w:r>
        <w:rPr>
          <w:rFonts w:ascii="Aptos" w:eastAsia="Times New Roman" w:hAnsi="Aptos"/>
          <w:sz w:val="22"/>
          <w:szCs w:val="22"/>
          <w:lang w:val="en"/>
        </w:rPr>
        <w:t xml:space="preserve">)-observation FIM, which accounts for all </w:t>
      </w:r>
      <m:oMath>
        <m:r>
          <w:rPr>
            <w:rFonts w:ascii="Cambria Math" w:eastAsia="Times New Roman" w:hAnsi="Cambria Math"/>
            <w:sz w:val="22"/>
            <w:szCs w:val="22"/>
            <w:lang w:val="en"/>
          </w:rPr>
          <m:t>K</m:t>
        </m:r>
      </m:oMath>
      <w:r>
        <w:rPr>
          <w:rFonts w:ascii="Aptos" w:eastAsia="Times New Roman" w:hAnsi="Aptos"/>
          <w:sz w:val="22"/>
          <w:szCs w:val="22"/>
          <w:lang w:val="en"/>
        </w:rPr>
        <w:t xml:space="preserve"> direction-finding measurements plus the distance-recovery measurement. Comparing the DEB (direction-finding only) with the PEB (full pipeline) reveals the relative contribution of each stage. For </w:t>
      </w:r>
      <m:oMath>
        <m:r>
          <w:rPr>
            <w:rFonts w:ascii="Cambria Math" w:eastAsia="Times New Roman" w:hAnsi="Cambria Math"/>
            <w:sz w:val="22"/>
            <w:szCs w:val="22"/>
            <w:lang w:val="en"/>
          </w:rPr>
          <m:t>K=</m:t>
        </m:r>
      </m:oMath>
      <w:r>
        <w:rPr>
          <w:rFonts w:ascii="Aptos" w:eastAsia="Times New Roman" w:hAnsi="Aptos"/>
          <w:sz w:val="22"/>
          <w:szCs w:val="22"/>
          <w:lang w:val="en"/>
        </w:rPr>
        <w:t xml:space="preserve"> 5: RMS-DEB = 0.52° (Table III), RMS-PEB = 1.64 cm (Table IV). The DEB translates to </w:t>
      </w:r>
      <m:oMath>
        <m:r>
          <w:rPr>
            <w:rFonts w:ascii="Cambria Math" w:eastAsia="Times New Roman" w:hAnsi="Cambria Math"/>
            <w:sz w:val="22"/>
            <w:szCs w:val="22"/>
            <w:lang w:val="en"/>
          </w:rPr>
          <m:t>~</m:t>
        </m:r>
      </m:oMath>
      <w:r>
        <w:rPr>
          <w:rFonts w:ascii="Aptos" w:eastAsia="Times New Roman" w:hAnsi="Aptos"/>
          <w:sz w:val="22"/>
          <w:szCs w:val="22"/>
          <w:lang w:val="en"/>
        </w:rPr>
        <w:t xml:space="preserve">1.1 cm direction-induced displacement at </w:t>
      </w:r>
      <m:oMath>
        <m:r>
          <w:rPr>
            <w:rFonts w:ascii="Cambria Math" w:eastAsia="Times New Roman" w:hAnsi="Cambria Math"/>
            <w:sz w:val="22"/>
            <w:szCs w:val="22"/>
            <w:lang w:val="en"/>
          </w:rPr>
          <m:t>d≈</m:t>
        </m:r>
      </m:oMath>
      <w:r>
        <w:rPr>
          <w:rFonts w:ascii="Aptos" w:eastAsia="Times New Roman" w:hAnsi="Aptos"/>
          <w:sz w:val="22"/>
          <w:szCs w:val="22"/>
          <w:lang w:val="en"/>
        </w:rPr>
        <w:t>1.2 m, which dominates the PEB budget.</w:t>
      </w:r>
    </w:p>
    <w:p w14:paraId="4899F441" w14:textId="77777777" w:rsidR="00000000" w:rsidRDefault="00000000">
      <w:pPr>
        <w:numPr>
          <w:ilvl w:val="0"/>
          <w:numId w:val="28"/>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Monte Carlo evidence (Section VII-B, Table VI):</w:t>
      </w:r>
      <w:r>
        <w:rPr>
          <w:rFonts w:ascii="Aptos" w:eastAsia="Times New Roman" w:hAnsi="Aptos"/>
          <w:sz w:val="22"/>
          <w:szCs w:val="22"/>
          <w:lang w:val="en"/>
        </w:rPr>
        <w:t xml:space="preserve"> The performance gap between the estimators and the PEB is explicitly attributed to two sources: </w:t>
      </w:r>
      <w:r>
        <w:rPr>
          <w:rFonts w:ascii="Aptos" w:eastAsia="Times New Roman" w:hAnsi="Aptos"/>
          <w:color w:val="0000FF"/>
          <w:sz w:val="22"/>
          <w:szCs w:val="22"/>
          <w:lang w:val="en"/>
        </w:rPr>
        <w:t>“(</w:t>
      </w:r>
      <w:proofErr w:type="spellStart"/>
      <w:r>
        <w:rPr>
          <w:rFonts w:ascii="Aptos" w:eastAsia="Times New Roman" w:hAnsi="Aptos"/>
          <w:color w:val="0000FF"/>
          <w:sz w:val="22"/>
          <w:szCs w:val="22"/>
          <w:lang w:val="en"/>
        </w:rPr>
        <w:t>i</w:t>
      </w:r>
      <w:proofErr w:type="spellEnd"/>
      <w:r>
        <w:rPr>
          <w:rFonts w:ascii="Aptos" w:eastAsia="Times New Roman" w:hAnsi="Aptos"/>
          <w:color w:val="0000FF"/>
          <w:sz w:val="22"/>
          <w:szCs w:val="22"/>
          <w:lang w:val="en"/>
        </w:rPr>
        <w:t xml:space="preserve">) the two-stage architecture discards distance information contained in the absolute power levels during direction finding, whereas the PEB assumes joint estimation from all </w:t>
      </w:r>
      <m:oMath>
        <m:r>
          <w:rPr>
            <w:rFonts w:ascii="Cambria Math" w:eastAsia="Times New Roman" w:hAnsi="Cambria Math"/>
            <w:color w:val="0000FF"/>
            <w:sz w:val="22"/>
            <w:szCs w:val="22"/>
            <w:lang w:val="en"/>
          </w:rPr>
          <m:t>K+1</m:t>
        </m:r>
      </m:oMath>
      <w:r>
        <w:rPr>
          <w:rFonts w:ascii="Aptos" w:eastAsia="Times New Roman" w:hAnsi="Aptos"/>
          <w:color w:val="0000FF"/>
          <w:sz w:val="22"/>
          <w:szCs w:val="22"/>
          <w:lang w:val="en"/>
        </w:rPr>
        <w:t xml:space="preserve"> measurements; and (ii) the PEB assumes perfect beam alignment in the distance-recovery measurement, which no practical estimator can achieve”.</w:t>
      </w:r>
    </w:p>
    <w:p w14:paraId="553C2B31"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 xml:space="preserve">In other words, the direction-finding error propagates to the distance-recovery stage in two ways: (a) the direction estimate </w:t>
      </w:r>
      <m:oMath>
        <m:sSub>
          <m:sSubPr>
            <m:ctrlPr>
              <w:rPr>
                <w:rFonts w:ascii="Cambria Math" w:hAnsi="Cambria Math"/>
                <w:i/>
                <w:sz w:val="22"/>
                <w:szCs w:val="22"/>
                <w:lang w:val="en"/>
              </w:rPr>
            </m:ctrlPr>
          </m:sSubPr>
          <m:e>
            <m:acc>
              <m:accPr>
                <m:ctrlPr>
                  <w:rPr>
                    <w:rFonts w:ascii="Cambria Math" w:hAnsi="Cambria Math"/>
                    <w:i/>
                    <w:sz w:val="22"/>
                    <w:szCs w:val="22"/>
                    <w:lang w:val="en"/>
                  </w:rPr>
                </m:ctrlPr>
              </m:accPr>
              <m:e>
                <m:r>
                  <m:rPr>
                    <m:sty m:val="b"/>
                  </m:rPr>
                  <w:rPr>
                    <w:rFonts w:ascii="Cambria Math" w:hAnsi="Cambria Math"/>
                    <w:sz w:val="22"/>
                    <w:szCs w:val="22"/>
                    <w:lang w:val="en"/>
                  </w:rPr>
                  <m:t>n</m:t>
                </m:r>
              </m:e>
            </m:acc>
          </m:e>
          <m:sub>
            <m:r>
              <w:rPr>
                <w:rFonts w:ascii="Cambria Math" w:hAnsi="Cambria Math"/>
                <w:sz w:val="22"/>
                <w:szCs w:val="22"/>
                <w:vertAlign w:val="subscript"/>
                <w:lang w:val="en"/>
              </w:rPr>
              <m:t>d</m:t>
            </m:r>
          </m:sub>
        </m:sSub>
      </m:oMath>
      <w:r>
        <w:rPr>
          <w:rFonts w:ascii="Aptos" w:hAnsi="Aptos"/>
          <w:sz w:val="22"/>
          <w:szCs w:val="22"/>
          <w:lang w:val="en"/>
        </w:rPr>
        <w:t xml:space="preserve"> determines the beam-alignment quality for the (K+1)-th measurement (imperfect alignment reduces </w:t>
      </w:r>
      <m:oMath>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r>
              <w:rPr>
                <w:rFonts w:ascii="Cambria Math" w:hAnsi="Cambria Math"/>
                <w:sz w:val="22"/>
                <w:szCs w:val="22"/>
                <w:lang w:val="en"/>
              </w:rPr>
              <m:t>ϕ</m:t>
            </m:r>
          </m:e>
        </m:func>
      </m:oMath>
      <w:r>
        <w:rPr>
          <w:rFonts w:ascii="Aptos" w:hAnsi="Aptos"/>
          <w:sz w:val="22"/>
          <w:szCs w:val="22"/>
          <w:lang w:val="en"/>
        </w:rPr>
        <w:t xml:space="preserve"> and </w:t>
      </w:r>
      <m:oMath>
        <m:func>
          <m:funcPr>
            <m:ctrlPr>
              <w:rPr>
                <w:rFonts w:ascii="Cambria Math" w:hAnsi="Cambria Math"/>
                <w:i/>
                <w:sz w:val="22"/>
                <w:szCs w:val="22"/>
                <w:lang w:val="en"/>
              </w:rPr>
            </m:ctrlPr>
          </m:funcPr>
          <m:fName>
            <m:r>
              <m:rPr>
                <m:sty m:val="p"/>
              </m:rPr>
              <w:rPr>
                <w:rFonts w:ascii="Cambria Math" w:hAnsi="Cambria Math"/>
                <w:sz w:val="22"/>
                <w:szCs w:val="22"/>
                <w:lang w:val="en"/>
              </w:rPr>
              <m:t>cos</m:t>
            </m:r>
          </m:fName>
          <m:e>
            <m:r>
              <w:rPr>
                <w:rFonts w:ascii="Cambria Math" w:hAnsi="Cambria Math"/>
                <w:sz w:val="22"/>
                <w:szCs w:val="22"/>
                <w:lang w:val="en"/>
              </w:rPr>
              <m:t>ψ</m:t>
            </m:r>
          </m:e>
        </m:func>
      </m:oMath>
      <w:r>
        <w:rPr>
          <w:rFonts w:ascii="Aptos" w:hAnsi="Aptos"/>
          <w:sz w:val="22"/>
          <w:szCs w:val="22"/>
          <w:lang w:val="en"/>
        </w:rPr>
        <w:t xml:space="preserve"> below unity, lowering the ranging SNR); and (b) the estimated distance </w:t>
      </w:r>
      <m:oMath>
        <m:acc>
          <m:accPr>
            <m:ctrlPr>
              <w:rPr>
                <w:rFonts w:ascii="Cambria Math" w:hAnsi="Cambria Math"/>
                <w:i/>
                <w:sz w:val="22"/>
                <w:szCs w:val="22"/>
                <w:lang w:val="en"/>
              </w:rPr>
            </m:ctrlPr>
          </m:accPr>
          <m:e>
            <m:r>
              <w:rPr>
                <w:rFonts w:ascii="Cambria Math" w:hAnsi="Cambria Math"/>
                <w:sz w:val="22"/>
                <w:szCs w:val="22"/>
                <w:lang w:val="en"/>
              </w:rPr>
              <m:t>d</m:t>
            </m:r>
          </m:e>
        </m:acc>
      </m:oMath>
      <w:r>
        <w:rPr>
          <w:rFonts w:ascii="Aptos" w:hAnsi="Aptos"/>
          <w:sz w:val="22"/>
          <w:szCs w:val="22"/>
          <w:lang w:val="en"/>
        </w:rPr>
        <w:t xml:space="preserve"> is multiplied by </w:t>
      </w:r>
      <m:oMath>
        <m:sSub>
          <m:sSubPr>
            <m:ctrlPr>
              <w:rPr>
                <w:rFonts w:ascii="Cambria Math" w:hAnsi="Cambria Math"/>
                <w:i/>
                <w:sz w:val="22"/>
                <w:szCs w:val="22"/>
                <w:lang w:val="en"/>
              </w:rPr>
            </m:ctrlPr>
          </m:sSubPr>
          <m:e>
            <m:acc>
              <m:accPr>
                <m:ctrlPr>
                  <w:rPr>
                    <w:rFonts w:ascii="Cambria Math" w:hAnsi="Cambria Math"/>
                    <w:i/>
                    <w:sz w:val="22"/>
                    <w:szCs w:val="22"/>
                    <w:lang w:val="en"/>
                  </w:rPr>
                </m:ctrlPr>
              </m:accPr>
              <m:e>
                <m:r>
                  <m:rPr>
                    <m:sty m:val="b"/>
                  </m:rPr>
                  <w:rPr>
                    <w:rFonts w:ascii="Cambria Math" w:hAnsi="Cambria Math"/>
                    <w:sz w:val="22"/>
                    <w:szCs w:val="22"/>
                    <w:lang w:val="en"/>
                  </w:rPr>
                  <m:t>n</m:t>
                </m:r>
              </m:e>
            </m:acc>
          </m:e>
          <m:sub>
            <m:r>
              <w:rPr>
                <w:rFonts w:ascii="Cambria Math" w:hAnsi="Cambria Math"/>
                <w:sz w:val="22"/>
                <w:szCs w:val="22"/>
                <w:vertAlign w:val="subscript"/>
                <w:lang w:val="en"/>
              </w:rPr>
              <m:t>d</m:t>
            </m:r>
          </m:sub>
        </m:sSub>
      </m:oMath>
      <w:r>
        <w:rPr>
          <w:rFonts w:ascii="Aptos" w:hAnsi="Aptos"/>
          <w:sz w:val="22"/>
          <w:szCs w:val="22"/>
          <w:lang w:val="en"/>
        </w:rPr>
        <w:t xml:space="preserve"> to produce the final position, so angular errors are amplified by the distance. These effects are visible in Fig. 9, where errors grow at larger distances from the transmitter (boundary and corner positions).</w:t>
      </w:r>
    </w:p>
    <w:p w14:paraId="0051DEE1" w14:textId="77777777" w:rsidR="00000000"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Section III-D defines the PEB including the distance-recovery measurement. Section VII-B (text below Table IV) explicitly discusses the two sources of error propagation.</w:t>
      </w:r>
    </w:p>
    <w:p w14:paraId="5FE01CAD" w14:textId="77777777" w:rsidR="00000000" w:rsidRDefault="00000000">
      <w:pPr>
        <w:pStyle w:val="rc"/>
        <w:numPr>
          <w:ilvl w:val="0"/>
          <w:numId w:val="22"/>
        </w:numPr>
        <w:spacing w:before="0" w:beforeAutospacing="0" w:line="276" w:lineRule="auto"/>
        <w:divId w:val="1499275216"/>
        <w:rPr>
          <w:rFonts w:ascii="Aptos" w:hAnsi="Aptos"/>
          <w:sz w:val="22"/>
          <w:szCs w:val="22"/>
          <w:lang w:val="en"/>
        </w:rPr>
      </w:pPr>
      <w:r>
        <w:rPr>
          <w:rFonts w:ascii="Aptos" w:hAnsi="Aptos"/>
          <w:sz w:val="22"/>
          <w:szCs w:val="22"/>
          <w:lang w:val="en"/>
        </w:rPr>
        <w:t>The authors should ensure that all notation and variable definitions in Section II-A are strictly consistent with the mathematical expressions used in the Appendices.</w:t>
      </w:r>
    </w:p>
    <w:p w14:paraId="33B908DE" w14:textId="77777777" w:rsidR="00000000" w:rsidRDefault="00000000">
      <w:pPr>
        <w:pStyle w:val="resp"/>
        <w:spacing w:before="0" w:beforeAutospacing="0" w:after="80" w:line="276" w:lineRule="auto"/>
        <w:divId w:val="1499275216"/>
        <w:rPr>
          <w:rFonts w:ascii="Aptos" w:hAnsi="Aptos"/>
          <w:sz w:val="22"/>
          <w:szCs w:val="22"/>
          <w:lang w:val="en"/>
        </w:rPr>
      </w:pPr>
      <w:r>
        <w:rPr>
          <w:rFonts w:ascii="Aptos" w:hAnsi="Aptos"/>
          <w:sz w:val="22"/>
          <w:szCs w:val="22"/>
          <w:lang w:val="en"/>
        </w:rPr>
        <w:t>We thank the reviewer for this attention to detail. We have carefully reviewed all notation in Section II-A and verified its consistency with the Appendices. Specifically:</w:t>
      </w:r>
    </w:p>
    <w:p w14:paraId="5C9603B7" w14:textId="77777777" w:rsidR="00000000" w:rsidRDefault="00000000">
      <w:pPr>
        <w:numPr>
          <w:ilvl w:val="0"/>
          <w:numId w:val="29"/>
        </w:numPr>
        <w:spacing w:after="80" w:line="276" w:lineRule="auto"/>
        <w:ind w:left="714" w:hanging="357"/>
        <w:jc w:val="both"/>
        <w:divId w:val="1499275216"/>
        <w:rPr>
          <w:rFonts w:ascii="Aptos" w:eastAsia="Times New Roman" w:hAnsi="Aptos"/>
          <w:sz w:val="22"/>
          <w:szCs w:val="22"/>
          <w:lang w:val="en"/>
        </w:rPr>
      </w:pPr>
      <w:r>
        <w:rPr>
          <w:rStyle w:val="lev"/>
          <w:rFonts w:ascii="Aptos" w:eastAsia="Times New Roman" w:hAnsi="Aptos"/>
          <w:sz w:val="22"/>
          <w:szCs w:val="22"/>
          <w:lang w:val="en"/>
        </w:rPr>
        <w:t>Appendix A, i.e., proof of (35):</w:t>
      </w:r>
      <w:r>
        <w:rPr>
          <w:rFonts w:ascii="Aptos" w:eastAsia="Times New Roman" w:hAnsi="Aptos"/>
          <w:sz w:val="22"/>
          <w:szCs w:val="22"/>
          <w:lang w:val="en"/>
        </w:rPr>
        <w:t xml:space="preserve"> Uses </w:t>
      </w:r>
      <m:oMath>
        <m:sSub>
          <m:sSubPr>
            <m:ctrlPr>
              <w:rPr>
                <w:rFonts w:ascii="Cambria Math" w:hAnsi="Cambria Math"/>
                <w:i/>
                <w:sz w:val="22"/>
                <w:szCs w:val="22"/>
                <w:lang w:val="en"/>
              </w:rPr>
            </m:ctrlPr>
          </m:sSubPr>
          <m:e>
            <m:acc>
              <m:accPr>
                <m:ctrlPr>
                  <w:rPr>
                    <w:rFonts w:ascii="Cambria Math" w:hAnsi="Cambria Math"/>
                    <w:i/>
                    <w:sz w:val="22"/>
                    <w:szCs w:val="22"/>
                    <w:lang w:val="en"/>
                  </w:rPr>
                </m:ctrlPr>
              </m:accPr>
              <m:e>
                <m:r>
                  <w:rPr>
                    <w:rFonts w:ascii="Cambria Math" w:hAnsi="Cambria Math"/>
                    <w:sz w:val="22"/>
                    <w:szCs w:val="22"/>
                    <w:lang w:val="en"/>
                  </w:rPr>
                  <m:t>μ</m:t>
                </m:r>
              </m:e>
            </m:acc>
          </m:e>
          <m:sub>
            <m:r>
              <w:rPr>
                <w:rFonts w:ascii="Cambria Math" w:hAnsi="Cambria Math"/>
                <w:sz w:val="22"/>
                <w:szCs w:val="22"/>
                <w:vertAlign w:val="subscript"/>
                <w:lang w:val="en"/>
              </w:rPr>
              <m:t>i</m:t>
            </m:r>
          </m:sub>
        </m:sSub>
      </m:oMath>
      <w:r>
        <w:rPr>
          <w:rFonts w:ascii="Aptos" w:eastAsia="Times New Roman" w:hAnsi="Aptos"/>
          <w:sz w:val="22"/>
          <w:szCs w:val="22"/>
          <w:lang w:val="en"/>
        </w:rPr>
        <w:t xml:space="preserve">, </w:t>
      </w:r>
      <m:oMath>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μ</m:t>
            </m:r>
          </m:e>
          <m:sub>
            <m:r>
              <w:rPr>
                <w:rFonts w:ascii="Cambria Math" w:eastAsia="Times New Roman" w:hAnsi="Cambria Math"/>
                <w:sz w:val="22"/>
                <w:szCs w:val="22"/>
                <w:vertAlign w:val="subscript"/>
                <w:lang w:val="en"/>
              </w:rPr>
              <m:t>i</m:t>
            </m:r>
          </m:sub>
        </m:sSub>
      </m:oMath>
      <w:r>
        <w:rPr>
          <w:rFonts w:ascii="Aptos" w:eastAsia="Times New Roman" w:hAnsi="Aptos"/>
          <w:sz w:val="22"/>
          <w:szCs w:val="22"/>
          <w:lang w:val="en"/>
        </w:rPr>
        <w:t xml:space="preserve">, </w:t>
      </w:r>
      <m:oMath>
        <m:sSub>
          <m:sSubPr>
            <m:ctrlPr>
              <w:rPr>
                <w:rFonts w:ascii="Cambria Math" w:eastAsia="Times New Roman" w:hAnsi="Cambria Math"/>
                <w:i/>
                <w:sz w:val="22"/>
                <w:szCs w:val="22"/>
                <w:vertAlign w:val="subscript"/>
                <w:lang w:val="en"/>
              </w:rPr>
            </m:ctrlPr>
          </m:sSubPr>
          <m:e>
            <m:r>
              <w:rPr>
                <w:rFonts w:ascii="Cambria Math" w:eastAsia="Times New Roman" w:hAnsi="Cambria Math"/>
                <w:sz w:val="22"/>
                <w:szCs w:val="22"/>
                <w:lang w:val="en"/>
              </w:rPr>
              <m:t>n</m:t>
            </m:r>
            <m:ctrlPr>
              <w:rPr>
                <w:rFonts w:ascii="Cambria Math" w:eastAsia="Times New Roman" w:hAnsi="Cambria Math"/>
                <w:b/>
                <w:bCs/>
                <w:iCs/>
                <w:sz w:val="22"/>
                <w:szCs w:val="22"/>
                <w:lang w:val="en"/>
              </w:rPr>
            </m:ctrlPr>
          </m:e>
          <m:sub>
            <m:r>
              <w:rPr>
                <w:rFonts w:ascii="Cambria Math" w:eastAsia="Times New Roman" w:hAnsi="Cambria Math"/>
                <w:sz w:val="22"/>
                <w:szCs w:val="22"/>
                <w:vertAlign w:val="subscript"/>
                <w:lang w:val="en"/>
              </w:rPr>
              <m:t>i</m:t>
            </m:r>
          </m:sub>
        </m:sSub>
        <m:r>
          <w:rPr>
            <w:rFonts w:ascii="Cambria Math" w:eastAsia="Times New Roman" w:hAnsi="Cambria Math"/>
            <w:sz w:val="22"/>
            <w:szCs w:val="22"/>
            <w:lang w:val="en"/>
          </w:rPr>
          <m:t xml:space="preserve">, </m:t>
        </m:r>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β</m:t>
            </m:r>
          </m:e>
          <m:sub>
            <m:r>
              <w:rPr>
                <w:rFonts w:ascii="Cambria Math" w:eastAsia="Times New Roman" w:hAnsi="Cambria Math"/>
                <w:sz w:val="22"/>
                <w:szCs w:val="22"/>
                <w:vertAlign w:val="subscript"/>
                <w:lang w:val="en"/>
              </w:rPr>
              <m:t>i</m:t>
            </m:r>
          </m:sub>
        </m:sSub>
      </m:oMath>
      <w:r>
        <w:rPr>
          <w:rFonts w:ascii="Aptos" w:eastAsia="Times New Roman" w:hAnsi="Aptos"/>
          <w:sz w:val="22"/>
          <w:szCs w:val="22"/>
          <w:lang w:val="en"/>
        </w:rPr>
        <w:t xml:space="preserve"> and the function </w:t>
      </w:r>
      <m:oMath>
        <m:r>
          <w:rPr>
            <w:rFonts w:ascii="Cambria Math" w:eastAsia="Times New Roman" w:hAnsi="Cambria Math"/>
            <w:sz w:val="22"/>
            <w:szCs w:val="22"/>
            <w:lang w:val="en"/>
          </w:rPr>
          <m:t>g(</m:t>
        </m:r>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x</m:t>
            </m:r>
          </m:e>
          <m:sub>
            <m:r>
              <w:rPr>
                <w:rFonts w:ascii="Cambria Math" w:eastAsia="Times New Roman" w:hAnsi="Cambria Math"/>
                <w:sz w:val="22"/>
                <w:szCs w:val="22"/>
                <w:vertAlign w:val="subscript"/>
                <w:lang w:val="en"/>
              </w:rPr>
              <m:t>1</m:t>
            </m:r>
          </m:sub>
        </m:sSub>
        <m:r>
          <w:rPr>
            <w:rFonts w:ascii="Cambria Math" w:eastAsia="Times New Roman" w:hAnsi="Cambria Math"/>
            <w:sz w:val="22"/>
            <w:szCs w:val="22"/>
            <w:lang w:val="en"/>
          </w:rPr>
          <m:t>,</m:t>
        </m:r>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x</m:t>
            </m:r>
          </m:e>
          <m:sub>
            <m:r>
              <w:rPr>
                <w:rFonts w:ascii="Cambria Math" w:eastAsia="Times New Roman" w:hAnsi="Cambria Math"/>
                <w:sz w:val="22"/>
                <w:szCs w:val="22"/>
                <w:vertAlign w:val="subscript"/>
                <w:lang w:val="en"/>
              </w:rPr>
              <m:t>2</m:t>
            </m:r>
          </m:sub>
        </m:sSub>
        <m:r>
          <w:rPr>
            <w:rFonts w:ascii="Cambria Math" w:eastAsia="Times New Roman" w:hAnsi="Cambria Math"/>
            <w:sz w:val="22"/>
            <w:szCs w:val="22"/>
            <w:lang w:val="en"/>
          </w:rPr>
          <m:t>)=</m:t>
        </m:r>
        <m:sSup>
          <m:sSupPr>
            <m:ctrlPr>
              <w:rPr>
                <w:rFonts w:ascii="Cambria Math" w:eastAsia="Times New Roman" w:hAnsi="Cambria Math"/>
                <w:i/>
                <w:sz w:val="22"/>
                <w:szCs w:val="22"/>
                <w:lang w:val="en"/>
              </w:rPr>
            </m:ctrlPr>
          </m:sSupPr>
          <m:e>
            <m:d>
              <m:dPr>
                <m:ctrlPr>
                  <w:rPr>
                    <w:rFonts w:ascii="Cambria Math" w:eastAsia="Times New Roman" w:hAnsi="Cambria Math"/>
                    <w:i/>
                    <w:sz w:val="22"/>
                    <w:szCs w:val="22"/>
                    <w:lang w:val="en"/>
                  </w:rPr>
                </m:ctrlPr>
              </m:dPr>
              <m:e>
                <m:f>
                  <m:fPr>
                    <m:ctrlPr>
                      <w:rPr>
                        <w:rFonts w:ascii="Cambria Math" w:eastAsia="Times New Roman" w:hAnsi="Cambria Math"/>
                        <w:i/>
                        <w:sz w:val="22"/>
                        <w:szCs w:val="22"/>
                        <w:lang w:val="en"/>
                      </w:rPr>
                    </m:ctrlPr>
                  </m:fPr>
                  <m:num>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x</m:t>
                        </m:r>
                      </m:e>
                      <m:sub>
                        <m:r>
                          <w:rPr>
                            <w:rFonts w:ascii="Cambria Math" w:eastAsia="Times New Roman" w:hAnsi="Cambria Math"/>
                            <w:sz w:val="22"/>
                            <w:szCs w:val="22"/>
                            <w:vertAlign w:val="subscript"/>
                            <w:lang w:val="en"/>
                          </w:rPr>
                          <m:t>2</m:t>
                        </m:r>
                      </m:sub>
                    </m:sSub>
                  </m:num>
                  <m:den>
                    <m:sSub>
                      <m:sSubPr>
                        <m:ctrlPr>
                          <w:rPr>
                            <w:rFonts w:ascii="Cambria Math" w:eastAsia="Times New Roman" w:hAnsi="Cambria Math"/>
                            <w:i/>
                            <w:sz w:val="22"/>
                            <w:szCs w:val="22"/>
                            <w:lang w:val="en"/>
                          </w:rPr>
                        </m:ctrlPr>
                      </m:sSubPr>
                      <m:e>
                        <m:r>
                          <w:rPr>
                            <w:rFonts w:ascii="Cambria Math" w:eastAsia="Times New Roman" w:hAnsi="Cambria Math"/>
                            <w:sz w:val="22"/>
                            <w:szCs w:val="22"/>
                            <w:lang w:val="en"/>
                          </w:rPr>
                          <m:t>x</m:t>
                        </m:r>
                      </m:e>
                      <m:sub>
                        <m:r>
                          <w:rPr>
                            <w:rFonts w:ascii="Cambria Math" w:eastAsia="Times New Roman" w:hAnsi="Cambria Math"/>
                            <w:sz w:val="22"/>
                            <w:szCs w:val="22"/>
                            <w:vertAlign w:val="subscript"/>
                            <w:lang w:val="en"/>
                          </w:rPr>
                          <m:t>1</m:t>
                        </m:r>
                      </m:sub>
                    </m:sSub>
                  </m:den>
                </m:f>
              </m:e>
            </m:d>
          </m:e>
          <m:sup>
            <m:r>
              <w:rPr>
                <w:rFonts w:ascii="Cambria Math" w:eastAsia="Times New Roman" w:hAnsi="Cambria Math"/>
                <w:sz w:val="22"/>
                <w:szCs w:val="22"/>
                <w:vertAlign w:val="superscript"/>
                <w:lang w:val="en"/>
              </w:rPr>
              <m:t>1/m</m:t>
            </m:r>
          </m:sup>
        </m:sSup>
      </m:oMath>
      <w:r>
        <w:rPr>
          <w:rFonts w:ascii="Aptos" w:eastAsia="Times New Roman" w:hAnsi="Aptos"/>
          <w:sz w:val="22"/>
          <w:szCs w:val="22"/>
          <w:lang w:val="en"/>
        </w:rPr>
        <w:t>, which are</w:t>
      </w:r>
      <w:r>
        <w:rPr>
          <w:rFonts w:ascii="Aptos" w:eastAsia="Times New Roman" w:hAnsi="Aptos"/>
          <w:sz w:val="22"/>
          <w:szCs w:val="22"/>
          <w:vertAlign w:val="superscript"/>
          <w:lang w:val="en"/>
        </w:rPr>
        <w:t xml:space="preserve"> </w:t>
      </w:r>
      <w:r>
        <w:rPr>
          <w:rFonts w:ascii="Aptos" w:eastAsia="Times New Roman" w:hAnsi="Aptos"/>
          <w:sz w:val="22"/>
          <w:szCs w:val="22"/>
          <w:lang w:val="en"/>
        </w:rPr>
        <w:t>all defined consistently with Section II (4)–(5) and Section VI-A (30)–(35).</w:t>
      </w:r>
    </w:p>
    <w:p w14:paraId="02195FDF" w14:textId="77777777" w:rsidR="00000000" w:rsidRDefault="00000000">
      <w:pPr>
        <w:numPr>
          <w:ilvl w:val="0"/>
          <w:numId w:val="29"/>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Appendix B, i.e., proof of (38):</w:t>
      </w:r>
      <w:r>
        <w:rPr>
          <w:rFonts w:ascii="Aptos" w:eastAsia="Times New Roman" w:hAnsi="Aptos"/>
          <w:sz w:val="22"/>
          <w:szCs w:val="22"/>
          <w:lang w:val="en"/>
        </w:rPr>
        <w:t xml:space="preserve"> Uses </w:t>
      </w:r>
      <m:oMath>
        <m:sSub>
          <m:sSubPr>
            <m:ctrlPr>
              <w:rPr>
                <w:rFonts w:ascii="Cambria Math" w:eastAsia="Times New Roman" w:hAnsi="Cambria Math"/>
                <w:i/>
                <w:sz w:val="22"/>
                <w:szCs w:val="22"/>
                <w:lang w:val="en"/>
              </w:rPr>
            </m:ctrlPr>
          </m:sSubPr>
          <m:e>
            <m:acc>
              <m:accPr>
                <m:chr m:val="̃"/>
                <m:ctrlPr>
                  <w:rPr>
                    <w:rFonts w:ascii="Cambria Math" w:eastAsia="Times New Roman" w:hAnsi="Cambria Math"/>
                    <w:i/>
                    <w:sz w:val="22"/>
                    <w:szCs w:val="22"/>
                    <w:lang w:val="en"/>
                  </w:rPr>
                </m:ctrlPr>
              </m:accPr>
              <m:e>
                <m:r>
                  <w:rPr>
                    <w:rFonts w:ascii="Cambria Math" w:eastAsia="Times New Roman" w:hAnsi="Cambria Math"/>
                    <w:sz w:val="22"/>
                    <w:szCs w:val="22"/>
                    <w:lang w:val="en"/>
                  </w:rPr>
                  <m:t>n</m:t>
                </m:r>
              </m:e>
            </m:acc>
          </m:e>
          <m:sub>
            <m:r>
              <w:rPr>
                <w:rFonts w:ascii="Cambria Math" w:eastAsia="Times New Roman" w:hAnsi="Cambria Math"/>
                <w:sz w:val="22"/>
                <w:szCs w:val="22"/>
                <w:lang w:val="en"/>
              </w:rPr>
              <m:t>i</m:t>
            </m:r>
          </m:sub>
        </m:sSub>
        <m:r>
          <w:rPr>
            <w:rFonts w:ascii="Cambria Math" w:eastAsia="Times New Roman" w:hAnsi="Cambria Math"/>
            <w:sz w:val="22"/>
            <w:szCs w:val="22"/>
            <w:lang w:val="en"/>
          </w:rPr>
          <m:t xml:space="preserve"> = </m:t>
        </m:r>
        <m:sSub>
          <m:sSubPr>
            <m:ctrlPr>
              <w:rPr>
                <w:rFonts w:ascii="Cambria Math" w:hAnsi="Cambria Math"/>
                <w:i/>
                <w:sz w:val="22"/>
                <w:szCs w:val="22"/>
                <w:lang w:val="en"/>
              </w:rPr>
            </m:ctrlPr>
          </m:sSubPr>
          <m:e>
            <m:acc>
              <m:accPr>
                <m:ctrlPr>
                  <w:rPr>
                    <w:rFonts w:ascii="Cambria Math" w:hAnsi="Cambria Math"/>
                    <w:i/>
                    <w:sz w:val="22"/>
                    <w:szCs w:val="22"/>
                    <w:lang w:val="en"/>
                  </w:rPr>
                </m:ctrlPr>
              </m:accPr>
              <m:e>
                <m:r>
                  <w:rPr>
                    <w:rFonts w:ascii="Cambria Math" w:hAnsi="Cambria Math"/>
                    <w:sz w:val="22"/>
                    <w:szCs w:val="22"/>
                    <w:lang w:val="en"/>
                  </w:rPr>
                  <m:t>β</m:t>
                </m:r>
              </m:e>
            </m:acc>
          </m:e>
          <m:sub>
            <m:r>
              <w:rPr>
                <w:rFonts w:ascii="Cambria Math" w:hAnsi="Cambria Math"/>
                <w:sz w:val="22"/>
                <w:szCs w:val="22"/>
                <w:vertAlign w:val="subscript"/>
                <w:lang w:val="en"/>
              </w:rPr>
              <m:t>i</m:t>
            </m:r>
          </m:sub>
        </m:sSub>
        <m:r>
          <w:rPr>
            <w:rFonts w:ascii="Cambria Math" w:eastAsia="Times New Roman" w:hAnsi="Cambria Math"/>
            <w:sz w:val="22"/>
            <w:szCs w:val="22"/>
            <w:lang w:val="en"/>
          </w:rPr>
          <m:t>-</m:t>
        </m:r>
        <m:sSub>
          <m:sSubPr>
            <m:ctrlPr>
              <w:rPr>
                <w:rFonts w:ascii="Cambria Math" w:hAnsi="Cambria Math"/>
                <w:i/>
                <w:sz w:val="22"/>
                <w:szCs w:val="22"/>
                <w:lang w:val="en"/>
              </w:rPr>
            </m:ctrlPr>
          </m:sSubPr>
          <m:e>
            <m:r>
              <w:rPr>
                <w:rFonts w:ascii="Cambria Math" w:hAnsi="Cambria Math"/>
                <w:sz w:val="22"/>
                <w:szCs w:val="22"/>
                <w:lang w:val="en"/>
              </w:rPr>
              <m:t>β</m:t>
            </m:r>
          </m:e>
          <m:sub>
            <m:r>
              <w:rPr>
                <w:rFonts w:ascii="Cambria Math" w:hAnsi="Cambria Math"/>
                <w:sz w:val="22"/>
                <w:szCs w:val="22"/>
                <w:vertAlign w:val="subscript"/>
                <w:lang w:val="en"/>
              </w:rPr>
              <m:t>i</m:t>
            </m:r>
          </m:sub>
        </m:sSub>
      </m:oMath>
      <w:r>
        <w:rPr>
          <w:rFonts w:ascii="Aptos" w:eastAsia="Times New Roman" w:hAnsi="Aptos"/>
          <w:sz w:val="22"/>
          <w:szCs w:val="22"/>
          <w:lang w:val="en"/>
        </w:rPr>
        <w:t xml:space="preserve"> as defined in (36), with variance and covariance expressions matching (37)–(38) exactly.</w:t>
      </w:r>
    </w:p>
    <w:p w14:paraId="227FA011" w14:textId="77777777" w:rsidR="00000000" w:rsidRDefault="00000000">
      <w:pPr>
        <w:numPr>
          <w:ilvl w:val="0"/>
          <w:numId w:val="29"/>
        </w:numPr>
        <w:spacing w:before="100" w:beforeAutospacing="1" w:after="80" w:line="276" w:lineRule="auto"/>
        <w:jc w:val="both"/>
        <w:divId w:val="1499275216"/>
        <w:rPr>
          <w:rFonts w:ascii="Aptos" w:eastAsia="Times New Roman" w:hAnsi="Aptos"/>
          <w:sz w:val="22"/>
          <w:szCs w:val="22"/>
          <w:lang w:val="en"/>
        </w:rPr>
      </w:pPr>
      <w:r>
        <w:rPr>
          <w:rStyle w:val="lev"/>
          <w:rFonts w:ascii="Aptos" w:eastAsia="Times New Roman" w:hAnsi="Aptos"/>
          <w:sz w:val="22"/>
          <w:szCs w:val="22"/>
          <w:lang w:val="en"/>
        </w:rPr>
        <w:t>Notation paragraph:</w:t>
      </w:r>
      <w:r>
        <w:rPr>
          <w:rFonts w:ascii="Aptos" w:eastAsia="Times New Roman" w:hAnsi="Aptos"/>
          <w:sz w:val="22"/>
          <w:szCs w:val="22"/>
          <w:lang w:val="en"/>
        </w:rPr>
        <w:t xml:space="preserve"> A comprehensive notation summary (Section I, “Notation” paragraph) defines all conventions (bold lowercase for vectors, bold uppercase for matrices, hat for estimates, overbar for sample means, etc.) used throughout the paper and appendices.</w:t>
      </w:r>
    </w:p>
    <w:p w14:paraId="152C6C8B" w14:textId="77777777" w:rsidR="00000000" w:rsidRDefault="00000000">
      <w:pPr>
        <w:pStyle w:val="resp"/>
        <w:spacing w:before="0" w:beforeAutospacing="0" w:line="276" w:lineRule="auto"/>
        <w:divId w:val="1499275216"/>
        <w:rPr>
          <w:rFonts w:ascii="Aptos" w:hAnsi="Aptos"/>
          <w:sz w:val="22"/>
          <w:szCs w:val="22"/>
          <w:lang w:val="en"/>
        </w:rPr>
      </w:pPr>
      <w:r>
        <w:rPr>
          <w:rFonts w:ascii="Aptos" w:hAnsi="Aptos"/>
          <w:sz w:val="22"/>
          <w:szCs w:val="22"/>
          <w:lang w:val="en"/>
        </w:rPr>
        <w:t>We have verified that all symbols are introduced before use and that no notation conflicts exist between the main text and the appendices.</w:t>
      </w:r>
    </w:p>
    <w:p w14:paraId="644CDC19" w14:textId="77777777" w:rsidR="008733D5" w:rsidRDefault="00000000">
      <w:pPr>
        <w:pStyle w:val="chg"/>
        <w:spacing w:before="0" w:beforeAutospacing="0" w:line="276" w:lineRule="auto"/>
        <w:divId w:val="1499275216"/>
        <w:rPr>
          <w:rFonts w:ascii="Aptos" w:hAnsi="Aptos"/>
          <w:sz w:val="22"/>
          <w:szCs w:val="22"/>
          <w:lang w:val="en"/>
        </w:rPr>
      </w:pPr>
      <w:r>
        <w:rPr>
          <w:rFonts w:ascii="Aptos" w:hAnsi="Aptos"/>
          <w:sz w:val="22"/>
          <w:szCs w:val="22"/>
          <w:lang w:val="en"/>
        </w:rPr>
        <w:t>Notations have been verified for consistency. The Notation paragraph in Section I provides a comprehensive reference for all conventions used throughout the paper.</w:t>
      </w:r>
    </w:p>
    <w:sectPr w:rsidR="00873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A5D"/>
    <w:multiLevelType w:val="multilevel"/>
    <w:tmpl w:val="CCB6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38E1"/>
    <w:multiLevelType w:val="multilevel"/>
    <w:tmpl w:val="A6AC9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23C7"/>
    <w:multiLevelType w:val="multilevel"/>
    <w:tmpl w:val="671898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7A27A54"/>
    <w:multiLevelType w:val="multilevel"/>
    <w:tmpl w:val="8C1A2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AD8288C"/>
    <w:multiLevelType w:val="multilevel"/>
    <w:tmpl w:val="F5C2A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F39D4"/>
    <w:multiLevelType w:val="multilevel"/>
    <w:tmpl w:val="9932C06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F9153CC"/>
    <w:multiLevelType w:val="multilevel"/>
    <w:tmpl w:val="E6C4A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F5DE1"/>
    <w:multiLevelType w:val="multilevel"/>
    <w:tmpl w:val="A176D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8578FB"/>
    <w:multiLevelType w:val="multilevel"/>
    <w:tmpl w:val="0DD87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2381"/>
    <w:multiLevelType w:val="multilevel"/>
    <w:tmpl w:val="A39C10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0045ECA"/>
    <w:multiLevelType w:val="hybridMultilevel"/>
    <w:tmpl w:val="BB44B5B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23B340FF"/>
    <w:multiLevelType w:val="multilevel"/>
    <w:tmpl w:val="4ACE20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D5F57EB"/>
    <w:multiLevelType w:val="multilevel"/>
    <w:tmpl w:val="3844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046DD"/>
    <w:multiLevelType w:val="multilevel"/>
    <w:tmpl w:val="A91C4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249EB"/>
    <w:multiLevelType w:val="multilevel"/>
    <w:tmpl w:val="069A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67084"/>
    <w:multiLevelType w:val="hybridMultilevel"/>
    <w:tmpl w:val="B118524C"/>
    <w:lvl w:ilvl="0" w:tplc="040C0017">
      <w:start w:val="1"/>
      <w:numFmt w:val="lowerLetter"/>
      <w:lvlText w:val="%1)"/>
      <w:lvlJc w:val="left"/>
      <w:pPr>
        <w:ind w:left="1068" w:hanging="360"/>
      </w:pPr>
    </w:lvl>
    <w:lvl w:ilvl="1" w:tplc="040C0019">
      <w:start w:val="1"/>
      <w:numFmt w:val="lowerLetter"/>
      <w:lvlText w:val="%2."/>
      <w:lvlJc w:val="left"/>
      <w:pPr>
        <w:ind w:left="1788" w:hanging="360"/>
      </w:pPr>
    </w:lvl>
    <w:lvl w:ilvl="2" w:tplc="040C001B">
      <w:start w:val="1"/>
      <w:numFmt w:val="lowerRoman"/>
      <w:lvlText w:val="%3."/>
      <w:lvlJc w:val="right"/>
      <w:pPr>
        <w:ind w:left="2508" w:hanging="180"/>
      </w:pPr>
    </w:lvl>
    <w:lvl w:ilvl="3" w:tplc="040C000F">
      <w:start w:val="1"/>
      <w:numFmt w:val="decimal"/>
      <w:lvlText w:val="%4."/>
      <w:lvlJc w:val="left"/>
      <w:pPr>
        <w:ind w:left="3228" w:hanging="360"/>
      </w:pPr>
    </w:lvl>
    <w:lvl w:ilvl="4" w:tplc="040C0019">
      <w:start w:val="1"/>
      <w:numFmt w:val="lowerLetter"/>
      <w:lvlText w:val="%5."/>
      <w:lvlJc w:val="left"/>
      <w:pPr>
        <w:ind w:left="3948" w:hanging="360"/>
      </w:pPr>
    </w:lvl>
    <w:lvl w:ilvl="5" w:tplc="040C001B">
      <w:start w:val="1"/>
      <w:numFmt w:val="lowerRoman"/>
      <w:lvlText w:val="%6."/>
      <w:lvlJc w:val="right"/>
      <w:pPr>
        <w:ind w:left="4668" w:hanging="180"/>
      </w:pPr>
    </w:lvl>
    <w:lvl w:ilvl="6" w:tplc="040C000F">
      <w:start w:val="1"/>
      <w:numFmt w:val="decimal"/>
      <w:lvlText w:val="%7."/>
      <w:lvlJc w:val="left"/>
      <w:pPr>
        <w:ind w:left="5388" w:hanging="360"/>
      </w:pPr>
    </w:lvl>
    <w:lvl w:ilvl="7" w:tplc="040C0019">
      <w:start w:val="1"/>
      <w:numFmt w:val="lowerLetter"/>
      <w:lvlText w:val="%8."/>
      <w:lvlJc w:val="left"/>
      <w:pPr>
        <w:ind w:left="6108" w:hanging="360"/>
      </w:pPr>
    </w:lvl>
    <w:lvl w:ilvl="8" w:tplc="040C001B">
      <w:start w:val="1"/>
      <w:numFmt w:val="lowerRoman"/>
      <w:lvlText w:val="%9."/>
      <w:lvlJc w:val="right"/>
      <w:pPr>
        <w:ind w:left="6828" w:hanging="180"/>
      </w:pPr>
    </w:lvl>
  </w:abstractNum>
  <w:abstractNum w:abstractNumId="16" w15:restartNumberingAfterBreak="0">
    <w:nsid w:val="53B92C03"/>
    <w:multiLevelType w:val="multilevel"/>
    <w:tmpl w:val="84DC902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5C81DDD"/>
    <w:multiLevelType w:val="multilevel"/>
    <w:tmpl w:val="AA84F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86DF5"/>
    <w:multiLevelType w:val="multilevel"/>
    <w:tmpl w:val="5652F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C8D5D5B"/>
    <w:multiLevelType w:val="multilevel"/>
    <w:tmpl w:val="58727E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04868F6"/>
    <w:multiLevelType w:val="multilevel"/>
    <w:tmpl w:val="F3824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45A24"/>
    <w:multiLevelType w:val="multilevel"/>
    <w:tmpl w:val="B86E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F0D66"/>
    <w:multiLevelType w:val="multilevel"/>
    <w:tmpl w:val="84EE46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24F1760"/>
    <w:multiLevelType w:val="multilevel"/>
    <w:tmpl w:val="E12E3D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28351E6"/>
    <w:multiLevelType w:val="multilevel"/>
    <w:tmpl w:val="4622F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4023E1A"/>
    <w:multiLevelType w:val="hybridMultilevel"/>
    <w:tmpl w:val="C4F2FAB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6" w15:restartNumberingAfterBreak="0">
    <w:nsid w:val="754D4C74"/>
    <w:multiLevelType w:val="multilevel"/>
    <w:tmpl w:val="9DE86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9AC11F2"/>
    <w:multiLevelType w:val="multilevel"/>
    <w:tmpl w:val="7E02944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DBC70B5"/>
    <w:multiLevelType w:val="multilevel"/>
    <w:tmpl w:val="202C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682580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1161117">
    <w:abstractNumId w:val="4"/>
    <w:lvlOverride w:ilvl="0"/>
    <w:lvlOverride w:ilvl="1"/>
    <w:lvlOverride w:ilvl="2"/>
    <w:lvlOverride w:ilvl="3"/>
    <w:lvlOverride w:ilvl="4"/>
    <w:lvlOverride w:ilvl="5"/>
    <w:lvlOverride w:ilvl="6"/>
    <w:lvlOverride w:ilvl="7"/>
    <w:lvlOverride w:ilvl="8"/>
  </w:num>
  <w:num w:numId="3" w16cid:durableId="10985202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9417934">
    <w:abstractNumId w:val="17"/>
    <w:lvlOverride w:ilvl="0"/>
    <w:lvlOverride w:ilvl="1"/>
    <w:lvlOverride w:ilvl="2"/>
    <w:lvlOverride w:ilvl="3"/>
    <w:lvlOverride w:ilvl="4"/>
    <w:lvlOverride w:ilvl="5"/>
    <w:lvlOverride w:ilvl="6"/>
    <w:lvlOverride w:ilvl="7"/>
    <w:lvlOverride w:ilvl="8"/>
  </w:num>
  <w:num w:numId="5" w16cid:durableId="1398824422">
    <w:abstractNumId w:val="12"/>
    <w:lvlOverride w:ilvl="0"/>
    <w:lvlOverride w:ilvl="1"/>
    <w:lvlOverride w:ilvl="2"/>
    <w:lvlOverride w:ilvl="3"/>
    <w:lvlOverride w:ilvl="4"/>
    <w:lvlOverride w:ilvl="5"/>
    <w:lvlOverride w:ilvl="6"/>
    <w:lvlOverride w:ilvl="7"/>
    <w:lvlOverride w:ilvl="8"/>
  </w:num>
  <w:num w:numId="6" w16cid:durableId="18959639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117126">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9756063">
    <w:abstractNumId w:val="5"/>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99640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6603284">
    <w:abstractNumId w:val="20"/>
    <w:lvlOverride w:ilvl="0"/>
    <w:lvlOverride w:ilvl="1"/>
    <w:lvlOverride w:ilvl="2"/>
    <w:lvlOverride w:ilvl="3"/>
    <w:lvlOverride w:ilvl="4"/>
    <w:lvlOverride w:ilvl="5"/>
    <w:lvlOverride w:ilvl="6"/>
    <w:lvlOverride w:ilvl="7"/>
    <w:lvlOverride w:ilvl="8"/>
  </w:num>
  <w:num w:numId="11" w16cid:durableId="21365600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6962838">
    <w:abstractNumId w:val="14"/>
    <w:lvlOverride w:ilvl="0"/>
    <w:lvlOverride w:ilvl="1"/>
    <w:lvlOverride w:ilvl="2"/>
    <w:lvlOverride w:ilvl="3"/>
    <w:lvlOverride w:ilvl="4"/>
    <w:lvlOverride w:ilvl="5"/>
    <w:lvlOverride w:ilvl="6"/>
    <w:lvlOverride w:ilvl="7"/>
    <w:lvlOverride w:ilvl="8"/>
  </w:num>
  <w:num w:numId="13" w16cid:durableId="482896885">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2109775">
    <w:abstractNumId w:val="0"/>
    <w:lvlOverride w:ilvl="0"/>
    <w:lvlOverride w:ilvl="1"/>
    <w:lvlOverride w:ilvl="2"/>
    <w:lvlOverride w:ilvl="3"/>
    <w:lvlOverride w:ilvl="4"/>
    <w:lvlOverride w:ilvl="5"/>
    <w:lvlOverride w:ilvl="6"/>
    <w:lvlOverride w:ilvl="7"/>
    <w:lvlOverride w:ilvl="8"/>
  </w:num>
  <w:num w:numId="15" w16cid:durableId="3046298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03873706">
    <w:abstractNumId w:val="13"/>
    <w:lvlOverride w:ilvl="0"/>
    <w:lvlOverride w:ilvl="1"/>
    <w:lvlOverride w:ilvl="2"/>
    <w:lvlOverride w:ilvl="3"/>
    <w:lvlOverride w:ilvl="4"/>
    <w:lvlOverride w:ilvl="5"/>
    <w:lvlOverride w:ilvl="6"/>
    <w:lvlOverride w:ilvl="7"/>
    <w:lvlOverride w:ilvl="8"/>
  </w:num>
  <w:num w:numId="17" w16cid:durableId="323359934">
    <w:abstractNumId w:val="1"/>
    <w:lvlOverride w:ilvl="0"/>
    <w:lvlOverride w:ilvl="1"/>
    <w:lvlOverride w:ilvl="2"/>
    <w:lvlOverride w:ilvl="3"/>
    <w:lvlOverride w:ilvl="4"/>
    <w:lvlOverride w:ilvl="5"/>
    <w:lvlOverride w:ilvl="6"/>
    <w:lvlOverride w:ilvl="7"/>
    <w:lvlOverride w:ilvl="8"/>
  </w:num>
  <w:num w:numId="18" w16cid:durableId="3045505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57270706">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43269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0265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9194374">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809051">
    <w:abstractNumId w:val="28"/>
    <w:lvlOverride w:ilvl="0"/>
    <w:lvlOverride w:ilvl="1"/>
    <w:lvlOverride w:ilvl="2"/>
    <w:lvlOverride w:ilvl="3"/>
    <w:lvlOverride w:ilvl="4"/>
    <w:lvlOverride w:ilvl="5"/>
    <w:lvlOverride w:ilvl="6"/>
    <w:lvlOverride w:ilvl="7"/>
    <w:lvlOverride w:ilvl="8"/>
  </w:num>
  <w:num w:numId="24" w16cid:durableId="1408192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57142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3649970">
    <w:abstractNumId w:val="21"/>
    <w:lvlOverride w:ilvl="0"/>
    <w:lvlOverride w:ilvl="1"/>
    <w:lvlOverride w:ilvl="2"/>
    <w:lvlOverride w:ilvl="3"/>
    <w:lvlOverride w:ilvl="4"/>
    <w:lvlOverride w:ilvl="5"/>
    <w:lvlOverride w:ilvl="6"/>
    <w:lvlOverride w:ilvl="7"/>
    <w:lvlOverride w:ilvl="8"/>
  </w:num>
  <w:num w:numId="27" w16cid:durableId="1884097642">
    <w:abstractNumId w:val="8"/>
    <w:lvlOverride w:ilvl="0"/>
    <w:lvlOverride w:ilvl="1"/>
    <w:lvlOverride w:ilvl="2"/>
    <w:lvlOverride w:ilvl="3"/>
    <w:lvlOverride w:ilvl="4"/>
    <w:lvlOverride w:ilvl="5"/>
    <w:lvlOverride w:ilvl="6"/>
    <w:lvlOverride w:ilvl="7"/>
    <w:lvlOverride w:ilvl="8"/>
  </w:num>
  <w:num w:numId="28" w16cid:durableId="1646004376">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1730026">
    <w:abstractNumId w:val="6"/>
    <w:lvlOverride w:ilvl="0"/>
    <w:lvlOverride w:ilvl="1"/>
    <w:lvlOverride w:ilvl="2"/>
    <w:lvlOverride w:ilvl="3"/>
    <w:lvlOverride w:ilvl="4"/>
    <w:lvlOverride w:ilvl="5"/>
    <w:lvlOverride w:ilvl="6"/>
    <w:lvlOverride w:ilvl="7"/>
    <w:lvlOverride w:ilv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2374"/>
    <w:rsid w:val="006A2374"/>
    <w:rsid w:val="008733D5"/>
    <w:rsid w:val="00A33911"/>
    <w:rsid w:val="00B84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B40AC"/>
  <w15:chartTrackingRefBased/>
  <w15:docId w15:val="{BC76BBF4-399B-4FA4-B6B3-D5880D2F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9"/>
    <w:semiHidden/>
    <w:qFormat/>
    <w:pPr>
      <w:outlineLvl w:val="0"/>
    </w:pPr>
  </w:style>
  <w:style w:type="paragraph" w:styleId="Titre2">
    <w:name w:val="heading 2"/>
    <w:basedOn w:val="Normal"/>
    <w:link w:val="Titre2Car"/>
    <w:uiPriority w:val="99"/>
    <w:semiHidden/>
    <w:qFormat/>
    <w:pPr>
      <w:outlineLvl w:val="1"/>
    </w:pPr>
  </w:style>
  <w:style w:type="paragraph" w:styleId="Titre3">
    <w:name w:val="heading 3"/>
    <w:basedOn w:val="Normal"/>
    <w:link w:val="Titre3Car"/>
    <w:uiPriority w:val="99"/>
    <w:semiHidden/>
    <w:qFormat/>
    <w:p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urier New" w:eastAsiaTheme="minorEastAsia" w:hAnsi="Courier New" w:cs="Courier New" w:hint="default"/>
      <w:sz w:val="20"/>
      <w:szCs w:val="20"/>
    </w:rPr>
  </w:style>
  <w:style w:type="character" w:customStyle="1" w:styleId="Titre1Car">
    <w:name w:val="Titre 1 Car"/>
    <w:basedOn w:val="Policepardfaut"/>
    <w:link w:val="Titre1"/>
    <w:uiPriority w:val="9"/>
    <w:locked/>
    <w:rPr>
      <w:rFonts w:asciiTheme="majorHAnsi" w:eastAsiaTheme="majorEastAsia" w:hAnsiTheme="majorHAnsi" w:cstheme="majorBidi" w:hint="default"/>
      <w:color w:val="0F4761" w:themeColor="accent1" w:themeShade="BF"/>
      <w:sz w:val="40"/>
      <w:szCs w:val="40"/>
    </w:rPr>
  </w:style>
  <w:style w:type="character" w:customStyle="1" w:styleId="Titre2Car">
    <w:name w:val="Titre 2 Car"/>
    <w:basedOn w:val="Policepardfaut"/>
    <w:link w:val="Titre2"/>
    <w:uiPriority w:val="9"/>
    <w:locked/>
    <w:rPr>
      <w:rFonts w:asciiTheme="majorHAnsi" w:eastAsiaTheme="majorEastAsia" w:hAnsiTheme="majorHAnsi" w:cstheme="majorBidi" w:hint="default"/>
      <w:color w:val="0F4761" w:themeColor="accent1" w:themeShade="BF"/>
      <w:sz w:val="32"/>
      <w:szCs w:val="32"/>
    </w:rPr>
  </w:style>
  <w:style w:type="character" w:customStyle="1" w:styleId="Titre3Car">
    <w:name w:val="Titre 3 Car"/>
    <w:basedOn w:val="Policepardfaut"/>
    <w:link w:val="Titre3"/>
    <w:uiPriority w:val="9"/>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after="160"/>
    </w:pPr>
  </w:style>
  <w:style w:type="paragraph" w:styleId="NormalWeb">
    <w:name w:val="Normal (Web)"/>
    <w:basedOn w:val="Normal"/>
    <w:uiPriority w:val="99"/>
    <w:semiHidden/>
    <w:unhideWhenUsed/>
    <w:pPr>
      <w:spacing w:after="160"/>
    </w:pPr>
  </w:style>
  <w:style w:type="paragraph" w:styleId="Commentaire">
    <w:name w:val="annotation text"/>
    <w:basedOn w:val="Normal"/>
    <w:link w:val="CommentaireCar"/>
    <w:uiPriority w:val="99"/>
    <w:semiHidden/>
    <w:unhideWhenUsed/>
  </w:style>
  <w:style w:type="character" w:customStyle="1" w:styleId="CommentaireCar">
    <w:name w:val="Commentaire Car"/>
    <w:basedOn w:val="Policepardfaut"/>
    <w:link w:val="Commentaire"/>
    <w:uiPriority w:val="99"/>
    <w:semiHidden/>
    <w:locked/>
    <w:rPr>
      <w:rFonts w:ascii="Times New Roman" w:eastAsiaTheme="minorEastAsia" w:hAnsi="Times New Roman" w:cs="Times New Roman" w:hint="default"/>
    </w:rPr>
  </w:style>
  <w:style w:type="paragraph" w:styleId="En-tte">
    <w:name w:val="header"/>
    <w:basedOn w:val="Normal"/>
    <w:link w:val="En-tteCar"/>
    <w:uiPriority w:val="99"/>
    <w:semiHidden/>
    <w:unhideWhenUsed/>
  </w:style>
  <w:style w:type="character" w:customStyle="1" w:styleId="En-tteCar">
    <w:name w:val="En-tête Car"/>
    <w:basedOn w:val="Policepardfaut"/>
    <w:link w:val="En-tte"/>
    <w:uiPriority w:val="99"/>
    <w:semiHidden/>
    <w:locked/>
    <w:rPr>
      <w:rFonts w:ascii="Times New Roman" w:eastAsiaTheme="minorEastAsia" w:hAnsi="Times New Roman" w:cs="Times New Roman" w:hint="default"/>
      <w:sz w:val="24"/>
      <w:szCs w:val="24"/>
    </w:rPr>
  </w:style>
  <w:style w:type="paragraph" w:styleId="Pieddepage">
    <w:name w:val="footer"/>
    <w:basedOn w:val="Normal"/>
    <w:link w:val="PieddepageCar"/>
    <w:uiPriority w:val="99"/>
    <w:semiHidden/>
    <w:unhideWhenUsed/>
  </w:style>
  <w:style w:type="character" w:customStyle="1" w:styleId="PieddepageCar">
    <w:name w:val="Pied de page Car"/>
    <w:basedOn w:val="Policepardfaut"/>
    <w:link w:val="Pieddepage"/>
    <w:uiPriority w:val="99"/>
    <w:semiHidden/>
    <w:locked/>
    <w:rPr>
      <w:rFonts w:ascii="Times New Roman" w:eastAsiaTheme="minorEastAsia" w:hAnsi="Times New Roman" w:cs="Times New Roman" w:hint="default"/>
      <w:sz w:val="24"/>
      <w:szCs w:val="24"/>
    </w:rPr>
  </w:style>
  <w:style w:type="paragraph" w:styleId="Objetducommentaire">
    <w:name w:val="annotation subject"/>
    <w:basedOn w:val="Normal"/>
    <w:link w:val="ObjetducommentaireCar"/>
    <w:uiPriority w:val="99"/>
    <w:semiHidden/>
    <w:unhideWhenUsed/>
  </w:style>
  <w:style w:type="character" w:customStyle="1" w:styleId="ObjetducommentaireCar">
    <w:name w:val="Objet du commentaire Car"/>
    <w:basedOn w:val="CommentaireCar"/>
    <w:link w:val="Objetducommentaire"/>
    <w:uiPriority w:val="99"/>
    <w:semiHidden/>
    <w:locked/>
    <w:rPr>
      <w:rFonts w:ascii="Times New Roman" w:eastAsiaTheme="minorEastAsia" w:hAnsi="Times New Roman" w:cs="Times New Roman" w:hint="default"/>
      <w:b/>
      <w:bCs/>
    </w:rPr>
  </w:style>
  <w:style w:type="paragraph" w:customStyle="1" w:styleId="rc">
    <w:name w:val="rc"/>
    <w:basedOn w:val="Normal"/>
    <w:uiPriority w:val="99"/>
    <w:semiHidden/>
    <w:pPr>
      <w:spacing w:before="100" w:beforeAutospacing="1" w:after="160"/>
      <w:jc w:val="both"/>
    </w:pPr>
    <w:rPr>
      <w:i/>
      <w:iCs/>
      <w:color w:val="C00000"/>
    </w:rPr>
  </w:style>
  <w:style w:type="paragraph" w:customStyle="1" w:styleId="resp">
    <w:name w:val="resp"/>
    <w:basedOn w:val="Normal"/>
    <w:uiPriority w:val="99"/>
    <w:semiHidden/>
    <w:pPr>
      <w:spacing w:before="100" w:beforeAutospacing="1" w:after="160"/>
      <w:jc w:val="both"/>
    </w:pPr>
  </w:style>
  <w:style w:type="paragraph" w:customStyle="1" w:styleId="chg">
    <w:name w:val="chg"/>
    <w:basedOn w:val="Normal"/>
    <w:uiPriority w:val="99"/>
    <w:semiHidden/>
    <w:pPr>
      <w:spacing w:before="100" w:beforeAutospacing="1" w:after="160"/>
      <w:jc w:val="both"/>
    </w:pPr>
    <w:rPr>
      <w:color w:val="0000FF"/>
    </w:rPr>
  </w:style>
  <w:style w:type="character" w:styleId="Marquedecommentaire">
    <w:name w:val="annotation reference"/>
    <w:basedOn w:val="Policepardfaut"/>
    <w:uiPriority w:val="99"/>
    <w:semiHidden/>
    <w:unhideWhenUsed/>
    <w:rPr>
      <w:sz w:val="16"/>
      <w:szCs w:val="16"/>
    </w:rPr>
  </w:style>
  <w:style w:type="character" w:styleId="Textedelespacerserv">
    <w:name w:val="Placeholder Text"/>
    <w:basedOn w:val="Policepardfaut"/>
    <w:uiPriority w:val="99"/>
    <w:semiHidden/>
    <w:rPr>
      <w:color w:val="666666"/>
    </w:rPr>
  </w:style>
  <w:style w:type="paragraph" w:customStyle="1" w:styleId="Heading1">
    <w:name w:val="Heading 1"/>
    <w:basedOn w:val="Normal"/>
    <w:link w:val="Heading1Char"/>
  </w:style>
  <w:style w:type="character" w:customStyle="1" w:styleId="Heading1Char">
    <w:name w:val="Heading 1 Char"/>
    <w:basedOn w:val="Policepardfaut"/>
    <w:link w:val="Heading1"/>
    <w:uiPriority w:val="9"/>
    <w:locked/>
    <w:rPr>
      <w:rFonts w:asciiTheme="majorHAnsi" w:eastAsiaTheme="majorEastAsia" w:hAnsiTheme="majorHAnsi" w:cstheme="majorBidi" w:hint="default"/>
      <w:color w:val="0F4761" w:themeColor="accent1" w:themeShade="BF"/>
      <w:sz w:val="40"/>
      <w:szCs w:val="40"/>
    </w:rPr>
  </w:style>
  <w:style w:type="paragraph" w:customStyle="1" w:styleId="Heading2">
    <w:name w:val="Heading 2"/>
    <w:basedOn w:val="Normal"/>
    <w:link w:val="Heading2Char"/>
  </w:style>
  <w:style w:type="character" w:customStyle="1" w:styleId="Heading2Char">
    <w:name w:val="Heading 2 Char"/>
    <w:basedOn w:val="Policepardfaut"/>
    <w:link w:val="Heading2"/>
    <w:uiPriority w:val="9"/>
    <w:semiHidden/>
    <w:locked/>
    <w:rPr>
      <w:rFonts w:asciiTheme="majorHAnsi" w:eastAsiaTheme="majorEastAsia" w:hAnsiTheme="majorHAnsi" w:cstheme="majorBidi" w:hint="default"/>
      <w:color w:val="0F4761" w:themeColor="accent1" w:themeShade="BF"/>
      <w:sz w:val="32"/>
      <w:szCs w:val="32"/>
    </w:rPr>
  </w:style>
  <w:style w:type="paragraph" w:customStyle="1" w:styleId="Heading3">
    <w:name w:val="Heading 3"/>
    <w:basedOn w:val="Normal"/>
    <w:link w:val="Heading3Char"/>
  </w:style>
  <w:style w:type="character" w:customStyle="1" w:styleId="Heading3Char">
    <w:name w:val="Heading 3 Char"/>
    <w:basedOn w:val="Policepardfau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CommentText">
    <w:name w:val="Comment Text"/>
    <w:basedOn w:val="Normal"/>
    <w:link w:val="CommentTextChar"/>
  </w:style>
  <w:style w:type="character" w:customStyle="1" w:styleId="CommentTextChar">
    <w:name w:val="Comment Text Char"/>
    <w:basedOn w:val="Policepardfaut"/>
    <w:link w:val="CommentText"/>
    <w:uiPriority w:val="99"/>
    <w:semiHidden/>
    <w:locked/>
    <w:rPr>
      <w:rFonts w:ascii="Times New Roman" w:eastAsiaTheme="minorEastAsia" w:hAnsi="Times New Roman" w:cs="Times New Roman" w:hint="default"/>
    </w:rPr>
  </w:style>
  <w:style w:type="paragraph" w:customStyle="1" w:styleId="Header">
    <w:name w:val="Header"/>
    <w:basedOn w:val="Normal"/>
    <w:link w:val="HeaderChar"/>
  </w:style>
  <w:style w:type="character" w:customStyle="1" w:styleId="HeaderChar">
    <w:name w:val="Header Char"/>
    <w:basedOn w:val="Policepardfaut"/>
    <w:link w:val="Header"/>
    <w:uiPriority w:val="99"/>
    <w:semiHidden/>
    <w:locked/>
    <w:rPr>
      <w:rFonts w:ascii="Times New Roman" w:eastAsiaTheme="minorEastAsia" w:hAnsi="Times New Roman" w:cs="Times New Roman" w:hint="default"/>
      <w:sz w:val="24"/>
      <w:szCs w:val="24"/>
    </w:rPr>
  </w:style>
  <w:style w:type="paragraph" w:customStyle="1" w:styleId="Footer">
    <w:name w:val="Footer"/>
    <w:basedOn w:val="Normal"/>
    <w:link w:val="FooterChar"/>
  </w:style>
  <w:style w:type="character" w:customStyle="1" w:styleId="FooterChar">
    <w:name w:val="Footer Char"/>
    <w:basedOn w:val="Policepardfaut"/>
    <w:link w:val="Footer"/>
    <w:uiPriority w:val="99"/>
    <w:semiHidden/>
    <w:locked/>
    <w:rPr>
      <w:rFonts w:ascii="Times New Roman" w:eastAsiaTheme="minorEastAsia" w:hAnsi="Times New Roman" w:cs="Times New Roman" w:hint="default"/>
      <w:sz w:val="24"/>
      <w:szCs w:val="24"/>
    </w:rPr>
  </w:style>
  <w:style w:type="paragraph" w:customStyle="1" w:styleId="CommentSubject">
    <w:name w:val="Comment Subject"/>
    <w:basedOn w:val="Normal"/>
    <w:link w:val="CommentSubjectChar"/>
  </w:style>
  <w:style w:type="character" w:customStyle="1" w:styleId="CommentSubjectChar">
    <w:name w:val="Comment Subject Char"/>
    <w:basedOn w:val="CommentTextChar"/>
    <w:link w:val="CommentSubject"/>
    <w:uiPriority w:val="99"/>
    <w:semiHidden/>
    <w:locked/>
    <w:rPr>
      <w:rFonts w:ascii="Times New Roman" w:eastAsiaTheme="minorEastAsia" w:hAnsi="Times New Roman" w:cs="Times New Roman" w:hint="default"/>
      <w:b/>
      <w:bCs/>
    </w:rPr>
  </w:style>
  <w:style w:type="table" w:customStyle="1" w:styleId="TableNormal">
    <w:name w:val="Table Normal"/>
    <w:uiPriority w:val="99"/>
    <w:semiHidden/>
    <w:tblPr>
      <w:tblCellMar>
        <w:top w:w="0" w:type="dxa"/>
        <w:left w:w="108" w:type="dxa"/>
        <w:bottom w:w="0" w:type="dxa"/>
        <w:right w:w="108" w:type="dxa"/>
      </w:tblCellMar>
    </w:tbl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275216">
      <w:bodyDiv w:val="1"/>
      <w:marLeft w:val="0"/>
      <w:marRight w:val="0"/>
      <w:marTop w:val="600"/>
      <w:marBottom w:val="600"/>
      <w:divBdr>
        <w:top w:val="none" w:sz="0" w:space="0" w:color="auto"/>
        <w:left w:val="none" w:sz="0" w:space="0" w:color="auto"/>
        <w:bottom w:val="none" w:sz="0" w:space="0" w:color="auto"/>
        <w:right w:val="none" w:sz="0" w:space="0" w:color="auto"/>
      </w:divBdr>
      <w:divsChild>
        <w:div w:id="477692123">
          <w:marLeft w:val="0"/>
          <w:marRight w:val="0"/>
          <w:marTop w:val="600"/>
          <w:marBottom w:val="60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9295</Words>
  <Characters>51125</Characters>
  <Application>Microsoft Office Word</Application>
  <DocSecurity>0</DocSecurity>
  <Lines>426</Lines>
  <Paragraphs>120</Paragraphs>
  <ScaleCrop>false</ScaleCrop>
  <Company/>
  <LinksUpToDate>false</LinksUpToDate>
  <CharactersWithSpaces>60300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Reviewers - IEEE TCOM</dc:title>
  <dc:subject/>
  <dc:creator>Kevin Acuna</dc:creator>
  <cp:keywords/>
  <dc:description/>
  <cp:lastModifiedBy>Bastien Bechadergue</cp:lastModifiedBy>
  <cp:revision>2</cp:revision>
  <dcterms:created xsi:type="dcterms:W3CDTF">2026-05-29T07:28:00Z</dcterms:created>
  <dcterms:modified xsi:type="dcterms:W3CDTF">2026-05-29T07:28:00Z</dcterms:modified>
</cp:coreProperties>
</file>