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7B53" w14:textId="7D57D6CF" w:rsidR="00000B1B" w:rsidRDefault="009A4A38" w:rsidP="009A4A38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  <w:r>
        <w:rPr>
          <w:rFonts w:ascii="Arial Narrow" w:hAnsi="Arial Narrow"/>
          <w:b/>
          <w:bCs/>
          <w:sz w:val="20"/>
          <w:szCs w:val="20"/>
          <w:lang w:val="es-PE"/>
        </w:rPr>
        <w:t>Actividades</w:t>
      </w:r>
    </w:p>
    <w:p w14:paraId="70D2AC78" w14:textId="77777777" w:rsidR="009A4A38" w:rsidRDefault="009A4A38" w:rsidP="009A4A38">
      <w:pPr>
        <w:pStyle w:val="NoSpacing"/>
        <w:rPr>
          <w:rFonts w:ascii="Arial Narrow" w:hAnsi="Arial Narrow"/>
          <w:b/>
          <w:bCs/>
          <w:sz w:val="20"/>
          <w:szCs w:val="20"/>
          <w:lang w:val="es-PE"/>
        </w:rPr>
      </w:pPr>
    </w:p>
    <w:p w14:paraId="7EA3DAFE" w14:textId="7648AC40" w:rsidR="009A4A38" w:rsidRPr="000D7849" w:rsidRDefault="009A4A38" w:rsidP="009A4A38">
      <w:pPr>
        <w:pStyle w:val="NoSpacing"/>
        <w:numPr>
          <w:ilvl w:val="0"/>
          <w:numId w:val="2"/>
        </w:numPr>
        <w:rPr>
          <w:rFonts w:ascii="Arial Narrow" w:hAnsi="Arial Narrow"/>
          <w:strike/>
          <w:sz w:val="20"/>
          <w:szCs w:val="20"/>
          <w:lang w:val="es-PE"/>
        </w:rPr>
      </w:pPr>
      <w:r w:rsidRPr="000D7849">
        <w:rPr>
          <w:rFonts w:ascii="Arial Narrow" w:hAnsi="Arial Narrow"/>
          <w:strike/>
          <w:sz w:val="20"/>
          <w:szCs w:val="20"/>
          <w:lang w:val="es-PE"/>
        </w:rPr>
        <w:t xml:space="preserve">Intership </w:t>
      </w:r>
      <w:r w:rsidR="000D7849" w:rsidRPr="000D7849">
        <w:rPr>
          <w:rFonts w:ascii="Arial Narrow" w:hAnsi="Arial Narrow"/>
          <w:strike/>
          <w:sz w:val="20"/>
          <w:szCs w:val="20"/>
          <w:lang w:val="es-PE"/>
        </w:rPr>
        <w:t>(Cambriegue)</w:t>
      </w:r>
    </w:p>
    <w:p w14:paraId="19725C15" w14:textId="57750B85" w:rsidR="009A4A38" w:rsidRPr="000D7849" w:rsidRDefault="009A4A38" w:rsidP="009A4A38">
      <w:pPr>
        <w:pStyle w:val="NoSpacing"/>
        <w:numPr>
          <w:ilvl w:val="0"/>
          <w:numId w:val="2"/>
        </w:numPr>
        <w:rPr>
          <w:rFonts w:ascii="Arial Narrow" w:hAnsi="Arial Narrow"/>
          <w:strike/>
          <w:sz w:val="20"/>
          <w:szCs w:val="20"/>
          <w:lang w:val="es-PE"/>
        </w:rPr>
      </w:pPr>
      <w:r w:rsidRPr="000D7849">
        <w:rPr>
          <w:rFonts w:ascii="Arial Narrow" w:hAnsi="Arial Narrow"/>
          <w:strike/>
          <w:sz w:val="20"/>
          <w:szCs w:val="20"/>
          <w:lang w:val="es-PE"/>
        </w:rPr>
        <w:t xml:space="preserve">Preparar el formulario y el documento para </w:t>
      </w:r>
      <w:r w:rsidR="00E014BD" w:rsidRPr="000D7849">
        <w:rPr>
          <w:rFonts w:ascii="Arial Narrow" w:hAnsi="Arial Narrow"/>
          <w:strike/>
          <w:sz w:val="20"/>
          <w:szCs w:val="20"/>
          <w:lang w:val="es-PE"/>
        </w:rPr>
        <w:t xml:space="preserve">el CSI y enviarlo </w:t>
      </w:r>
    </w:p>
    <w:p w14:paraId="15B2B2D8" w14:textId="6D5145D4" w:rsidR="00E014BD" w:rsidRDefault="00E014BD" w:rsidP="00E014BD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Paper feedback</w:t>
      </w:r>
    </w:p>
    <w:p w14:paraId="6D1AEDC0" w14:textId="7CE22AE8" w:rsidR="00E014BD" w:rsidRDefault="00E014BD" w:rsidP="00E014BD">
      <w:pPr>
        <w:pStyle w:val="NoSpacing"/>
        <w:ind w:left="360"/>
        <w:rPr>
          <w:rFonts w:ascii="Arial Narrow" w:hAnsi="Arial Narrow"/>
          <w:sz w:val="20"/>
          <w:szCs w:val="20"/>
          <w:lang w:val="es-PE"/>
        </w:rPr>
      </w:pPr>
    </w:p>
    <w:p w14:paraId="71B69949" w14:textId="77777777" w:rsidR="00F344B6" w:rsidRDefault="00F344B6" w:rsidP="00F344B6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Estimar la linealización de la función no linea.</w:t>
      </w:r>
    </w:p>
    <w:p w14:paraId="17BA2D3B" w14:textId="77777777" w:rsidR="00A1732A" w:rsidRDefault="00A1732A" w:rsidP="00A1732A">
      <w:pPr>
        <w:pStyle w:val="NoSpacing"/>
        <w:ind w:left="720"/>
        <w:rPr>
          <w:rFonts w:ascii="Arial Narrow" w:hAnsi="Arial Narrow"/>
          <w:sz w:val="20"/>
          <w:szCs w:val="20"/>
          <w:lang w:val="es-PE"/>
        </w:rPr>
      </w:pPr>
    </w:p>
    <w:p w14:paraId="57BB79B6" w14:textId="76650F5A" w:rsidR="007A72EE" w:rsidRPr="007A72EE" w:rsidRDefault="007A72EE" w:rsidP="00A1732A">
      <w:pPr>
        <w:pStyle w:val="NoSpacing"/>
        <w:ind w:left="720"/>
        <w:rPr>
          <w:rFonts w:ascii="Arial Narrow" w:hAnsi="Arial Narrow"/>
          <w:sz w:val="20"/>
          <w:szCs w:val="20"/>
          <w:lang w:val="es-PE"/>
        </w:rPr>
      </w:pPr>
      <w:r w:rsidRPr="007A72EE">
        <w:rPr>
          <w:rFonts w:ascii="Arial Narrow" w:hAnsi="Arial Narrow"/>
          <w:b/>
          <w:bCs/>
          <w:color w:val="EE0000"/>
          <w:sz w:val="20"/>
          <w:szCs w:val="20"/>
          <w:lang w:val="es-PE"/>
        </w:rPr>
        <w:t>No se puede obtener una linealización cerrada</w:t>
      </w:r>
      <w:r>
        <w:rPr>
          <w:rFonts w:ascii="Arial Narrow" w:hAnsi="Arial Narrow"/>
          <w:sz w:val="20"/>
          <w:szCs w:val="20"/>
          <w:lang w:val="es-PE"/>
        </w:rPr>
        <w:t xml:space="preserve">. Empleando el método de </w:t>
      </w:r>
      <w:r w:rsidRPr="007A72EE">
        <w:rPr>
          <w:rFonts w:ascii="Arial Narrow" w:hAnsi="Arial Narrow"/>
          <w:b/>
          <w:bCs/>
          <w:sz w:val="20"/>
          <w:szCs w:val="20"/>
          <w:lang w:val="es-PE"/>
        </w:rPr>
        <w:t>Taylor sólo da linearidad local</w:t>
      </w:r>
      <w:r>
        <w:rPr>
          <w:rFonts w:ascii="Arial Narrow" w:hAnsi="Arial Narrow"/>
          <w:b/>
          <w:bCs/>
          <w:sz w:val="20"/>
          <w:szCs w:val="20"/>
          <w:lang w:val="es-PE"/>
        </w:rPr>
        <w:t xml:space="preserve"> </w:t>
      </w:r>
      <w:r>
        <w:rPr>
          <w:rFonts w:ascii="Arial Narrow" w:hAnsi="Arial Narrow"/>
          <w:sz w:val="20"/>
          <w:szCs w:val="20"/>
          <w:lang w:val="es-PE"/>
        </w:rPr>
        <w:t>y r</w:t>
      </w:r>
      <w:r w:rsidRPr="007A72EE">
        <w:rPr>
          <w:rFonts w:ascii="Arial Narrow" w:hAnsi="Arial Narrow"/>
          <w:sz w:val="20"/>
          <w:szCs w:val="20"/>
          <w:lang w:val="es-PE"/>
        </w:rPr>
        <w:t>equiere iteración y un punto de partida cercan</w:t>
      </w:r>
      <w:r>
        <w:rPr>
          <w:rFonts w:ascii="Arial Narrow" w:hAnsi="Arial Narrow"/>
          <w:sz w:val="20"/>
          <w:szCs w:val="20"/>
          <w:lang w:val="es-PE"/>
        </w:rPr>
        <w:t>o (estimacion inicial de d). A diferencia del ratio donde los terminos problematicos se cancelan y se puede linealizar.</w:t>
      </w:r>
    </w:p>
    <w:p w14:paraId="4E6DBD27" w14:textId="2FC1225F" w:rsidR="007A72EE" w:rsidRDefault="007A72EE" w:rsidP="007A72EE">
      <w:pPr>
        <w:pStyle w:val="NoSpacing"/>
        <w:ind w:left="720"/>
        <w:jc w:val="center"/>
        <w:rPr>
          <w:rFonts w:ascii="Arial Narrow" w:hAnsi="Arial Narrow"/>
          <w:sz w:val="20"/>
          <w:szCs w:val="20"/>
          <w:lang w:val="es-PE"/>
        </w:rPr>
      </w:pPr>
      <w:r w:rsidRPr="007A72EE">
        <w:rPr>
          <w:rFonts w:ascii="Arial Narrow" w:hAnsi="Arial Narrow"/>
          <w:sz w:val="20"/>
          <w:szCs w:val="20"/>
          <w:lang w:val="es-PE"/>
        </w:rPr>
        <w:drawing>
          <wp:inline distT="0" distB="0" distL="0" distR="0" wp14:anchorId="1F506DF5" wp14:editId="21E53FC1">
            <wp:extent cx="3935578" cy="2207763"/>
            <wp:effectExtent l="0" t="0" r="8255" b="2540"/>
            <wp:docPr id="1261048012" name="Picture 1" descr="A screenshot of 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8012" name="Picture 1" descr="A screenshot of a white shee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377" cy="22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3999" w14:textId="77777777" w:rsidR="007A72EE" w:rsidRDefault="007A72EE" w:rsidP="00A1732A">
      <w:pPr>
        <w:pStyle w:val="NoSpacing"/>
        <w:ind w:left="720"/>
        <w:rPr>
          <w:rFonts w:ascii="Arial Narrow" w:hAnsi="Arial Narrow"/>
          <w:sz w:val="20"/>
          <w:szCs w:val="20"/>
          <w:lang w:val="es-PE"/>
        </w:rPr>
      </w:pPr>
    </w:p>
    <w:p w14:paraId="2409C33C" w14:textId="77777777" w:rsidR="007A72EE" w:rsidRDefault="007A72EE" w:rsidP="007A72EE">
      <w:pPr>
        <w:pStyle w:val="NoSpacing"/>
        <w:ind w:left="720"/>
        <w:rPr>
          <w:rFonts w:ascii="Arial Narrow" w:hAnsi="Arial Narrow"/>
          <w:sz w:val="20"/>
          <w:szCs w:val="20"/>
          <w:lang w:val="es-PE"/>
        </w:rPr>
      </w:pPr>
    </w:p>
    <w:p w14:paraId="6FEA0BFF" w14:textId="1E0AEBEE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Computar el SNR y brindar una referencia de ello en el PAPER.</w:t>
      </w:r>
      <w:r w:rsidR="00F828B0">
        <w:rPr>
          <w:rFonts w:ascii="Arial Narrow" w:hAnsi="Arial Narrow"/>
          <w:sz w:val="20"/>
          <w:szCs w:val="20"/>
          <w:lang w:val="es-PE"/>
        </w:rPr>
        <w:t xml:space="preserve"> Puedo defirnir mi propio SNR (SNR util) y ahí calcularlo.</w:t>
      </w:r>
    </w:p>
    <w:p w14:paraId="1F6D26C0" w14:textId="77777777" w:rsidR="00A1732A" w:rsidRDefault="00A1732A" w:rsidP="00A1732A">
      <w:pPr>
        <w:pStyle w:val="ListParagraph"/>
        <w:rPr>
          <w:rFonts w:ascii="Arial Narrow" w:hAnsi="Arial Narrow"/>
          <w:sz w:val="20"/>
          <w:szCs w:val="20"/>
          <w:lang w:val="es-PE"/>
        </w:rPr>
      </w:pPr>
    </w:p>
    <w:p w14:paraId="4AC5C040" w14:textId="10D52163" w:rsidR="00A1732A" w:rsidRDefault="00A1732A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 w:rsidRPr="00C248CC">
        <w:rPr>
          <w:rFonts w:ascii="Arial Narrow" w:hAnsi="Arial Narrow"/>
          <w:sz w:val="20"/>
          <w:szCs w:val="20"/>
          <w:lang w:val="es-PE"/>
        </w:rPr>
        <w:t xml:space="preserve">Aumentar </w:t>
      </w:r>
      <w:r w:rsidR="00C248CC" w:rsidRPr="00C248CC">
        <w:rPr>
          <w:rFonts w:ascii="Arial Narrow" w:hAnsi="Arial Narrow"/>
          <w:sz w:val="20"/>
          <w:szCs w:val="20"/>
          <w:lang w:val="es-PE"/>
        </w:rPr>
        <w:t xml:space="preserve">la “noise variance de la  (Fig 3) a valores más altos </w:t>
      </w:r>
      <w:r w:rsidR="00C248CC">
        <w:rPr>
          <w:rFonts w:ascii="Arial Narrow" w:hAnsi="Arial Narrow"/>
          <w:sz w:val="20"/>
          <w:szCs w:val="20"/>
          <w:lang w:val="es-PE"/>
        </w:rPr>
        <w:t>para que se aprecie como se aumenta el error.</w:t>
      </w:r>
    </w:p>
    <w:p w14:paraId="3BAC7D44" w14:textId="77777777" w:rsidR="00C248CC" w:rsidRPr="00C248CC" w:rsidRDefault="00C248CC" w:rsidP="00C248CC">
      <w:pPr>
        <w:pStyle w:val="NoSpacing"/>
        <w:rPr>
          <w:rFonts w:ascii="Arial Narrow" w:hAnsi="Arial Narrow"/>
          <w:sz w:val="20"/>
          <w:szCs w:val="20"/>
          <w:lang w:val="es-PE"/>
        </w:rPr>
      </w:pPr>
    </w:p>
    <w:p w14:paraId="06C6FB68" w14:textId="0D467201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Cambiar la Fig.4. de ILUSTRATIVA  a INFORMATIVA</w:t>
      </w:r>
      <w:r w:rsidR="00F344B6">
        <w:rPr>
          <w:rFonts w:ascii="Arial Narrow" w:hAnsi="Arial Narrow"/>
          <w:sz w:val="20"/>
          <w:szCs w:val="20"/>
          <w:lang w:val="es-PE"/>
        </w:rPr>
        <w:t>. Analizar la propuesta de mostrar que en la grafica se ve que se tiene información que cubre con 5 orientaciones todo el espacio, mientras q con 4 no necesariamente.</w:t>
      </w:r>
    </w:p>
    <w:p w14:paraId="274C6A39" w14:textId="1B18F525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En la Fig.5. añadir la curva de CRLB y NL para N=9.</w:t>
      </w:r>
    </w:p>
    <w:p w14:paraId="24D9E7E8" w14:textId="554E61E5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Numero de orietnaciones debe estar en otro lado.</w:t>
      </w:r>
    </w:p>
    <w:p w14:paraId="332CC768" w14:textId="4974E125" w:rsidR="00E014BD" w:rsidRDefault="00E014BD" w:rsidP="00E014BD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  <w:lang w:val="es-PE"/>
        </w:rPr>
      </w:pPr>
      <w:r>
        <w:rPr>
          <w:rFonts w:ascii="Arial Narrow" w:hAnsi="Arial Narrow"/>
          <w:sz w:val="20"/>
          <w:szCs w:val="20"/>
          <w:lang w:val="es-PE"/>
        </w:rPr>
        <w:t>Al menos 20 referencias bibliograficas.</w:t>
      </w:r>
    </w:p>
    <w:p w14:paraId="02C848C5" w14:textId="77777777" w:rsidR="00E014BD" w:rsidRPr="00E014BD" w:rsidRDefault="00E014BD" w:rsidP="00F344B6">
      <w:pPr>
        <w:pStyle w:val="NoSpacing"/>
        <w:ind w:left="720"/>
        <w:rPr>
          <w:rFonts w:ascii="Arial Narrow" w:hAnsi="Arial Narrow"/>
          <w:sz w:val="20"/>
          <w:szCs w:val="20"/>
          <w:lang w:val="es-PE"/>
        </w:rPr>
      </w:pPr>
    </w:p>
    <w:sectPr w:rsidR="00E014BD" w:rsidRPr="00E014B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86D"/>
    <w:multiLevelType w:val="hybridMultilevel"/>
    <w:tmpl w:val="CFEAC48C"/>
    <w:lvl w:ilvl="0" w:tplc="269CB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A76B2"/>
    <w:multiLevelType w:val="hybridMultilevel"/>
    <w:tmpl w:val="AA2CE54C"/>
    <w:lvl w:ilvl="0" w:tplc="B290B05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D2AF9"/>
    <w:multiLevelType w:val="hybridMultilevel"/>
    <w:tmpl w:val="9210E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605241">
    <w:abstractNumId w:val="0"/>
  </w:num>
  <w:num w:numId="2" w16cid:durableId="737871827">
    <w:abstractNumId w:val="1"/>
  </w:num>
  <w:num w:numId="3" w16cid:durableId="846754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E1043"/>
    <w:rsid w:val="00000B1B"/>
    <w:rsid w:val="000D7849"/>
    <w:rsid w:val="001D6D42"/>
    <w:rsid w:val="00262CFE"/>
    <w:rsid w:val="003349EF"/>
    <w:rsid w:val="005D39A8"/>
    <w:rsid w:val="00614C75"/>
    <w:rsid w:val="006436DC"/>
    <w:rsid w:val="007A72EE"/>
    <w:rsid w:val="007B6CDA"/>
    <w:rsid w:val="009A4A38"/>
    <w:rsid w:val="00A1732A"/>
    <w:rsid w:val="00B20C3C"/>
    <w:rsid w:val="00BB6A57"/>
    <w:rsid w:val="00C248CC"/>
    <w:rsid w:val="00E014BD"/>
    <w:rsid w:val="00EE1043"/>
    <w:rsid w:val="00F344B6"/>
    <w:rsid w:val="00F8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BC816"/>
  <w15:chartTrackingRefBased/>
  <w15:docId w15:val="{E444318D-234F-49C3-BDB3-D3F97393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0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0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43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04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043"/>
    <w:rPr>
      <w:rFonts w:eastAsiaTheme="majorEastAsia" w:cstheme="majorBidi"/>
      <w:noProof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43"/>
    <w:rPr>
      <w:rFonts w:eastAsiaTheme="majorEastAsia" w:cstheme="majorBidi"/>
      <w:i/>
      <w:iCs/>
      <w:noProof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043"/>
    <w:rPr>
      <w:rFonts w:eastAsiaTheme="majorEastAsia" w:cstheme="majorBidi"/>
      <w:noProof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043"/>
    <w:rPr>
      <w:rFonts w:eastAsiaTheme="majorEastAsia" w:cstheme="majorBidi"/>
      <w:i/>
      <w:iCs/>
      <w:noProof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43"/>
    <w:rPr>
      <w:rFonts w:eastAsiaTheme="majorEastAsia" w:cstheme="majorBidi"/>
      <w:noProof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43"/>
    <w:rPr>
      <w:rFonts w:eastAsiaTheme="majorEastAsia" w:cstheme="majorBidi"/>
      <w:i/>
      <w:iCs/>
      <w:noProof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43"/>
    <w:rPr>
      <w:rFonts w:eastAsiaTheme="majorEastAsia" w:cstheme="majorBidi"/>
      <w:noProof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E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04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04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E1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043"/>
    <w:rPr>
      <w:i/>
      <w:iCs/>
      <w:noProof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EE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0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0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043"/>
    <w:rPr>
      <w:i/>
      <w:iCs/>
      <w:noProof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E104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9A4A38"/>
    <w:pPr>
      <w:spacing w:after="0" w:line="240" w:lineRule="auto"/>
    </w:pPr>
    <w:rPr>
      <w:noProof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4</cp:revision>
  <dcterms:created xsi:type="dcterms:W3CDTF">2025-07-03T12:10:00Z</dcterms:created>
  <dcterms:modified xsi:type="dcterms:W3CDTF">2025-07-27T01:49:00Z</dcterms:modified>
</cp:coreProperties>
</file>