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F893" w14:textId="30D85825" w:rsidR="00FC3893" w:rsidRPr="00FC3893" w:rsidRDefault="00FC3893" w:rsidP="00FC3893">
      <w:pPr>
        <w:jc w:val="right"/>
        <w:rPr>
          <w:b/>
          <w:bCs/>
          <w:lang w:val="es-PE"/>
        </w:rPr>
      </w:pPr>
      <w:r w:rsidRPr="00FC3893">
        <w:rPr>
          <w:b/>
          <w:bCs/>
          <w:lang w:val="es-PE"/>
        </w:rPr>
        <w:t>26/10/2025</w:t>
      </w:r>
    </w:p>
    <w:p w14:paraId="3411E4E4" w14:textId="266AEE26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t xml:space="preserve">Buenísimo que lo plantees ahora—hay una forma de </w:t>
      </w:r>
      <w:r w:rsidRPr="00FC3893">
        <w:rPr>
          <w:b/>
          <w:bCs/>
          <w:lang w:val="es-PE"/>
        </w:rPr>
        <w:t>unificar la narrativa y el pipeline</w:t>
      </w:r>
      <w:r w:rsidRPr="00FC3893">
        <w:rPr>
          <w:lang w:val="es-PE"/>
        </w:rPr>
        <w:t xml:space="preserve"> sin que parezca “dos papers en uno”, y sin hacer malabares entre el caso Lambertiano y el de datasheet/no-Lambertiano.</w:t>
      </w:r>
    </w:p>
    <w:p w14:paraId="2D86D812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Propuesta: un pipeline único con dos capas</w:t>
      </w:r>
    </w:p>
    <w:p w14:paraId="291BEAD4" w14:textId="47E7D1D0" w:rsidR="00FC3893" w:rsidRPr="00FC3893" w:rsidRDefault="00FC3893" w:rsidP="00FC3893">
      <w:pPr>
        <w:numPr>
          <w:ilvl w:val="0"/>
          <w:numId w:val="1"/>
        </w:numPr>
        <w:rPr>
          <w:lang w:val="es-PE"/>
        </w:rPr>
      </w:pPr>
      <w:r w:rsidRPr="00FC3893">
        <w:rPr>
          <w:b/>
          <w:bCs/>
          <w:lang w:val="es-PE"/>
        </w:rPr>
        <w:t>Capa 1 (estimador, idéntico siempre):</w:t>
      </w:r>
      <w:r w:rsidRPr="00FC3893">
        <w:rPr>
          <w:lang w:val="es-PE"/>
        </w:rPr>
        <w:t xml:space="preserve"> ratios → SVD para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d</m:t>
            </m:r>
          </m:sub>
        </m:sSub>
      </m:oMath>
      <w:r w:rsidRPr="00FC3893">
        <w:rPr>
          <w:lang w:val="es-PE"/>
        </w:rPr>
        <w:t xml:space="preserve">y luego posición; con 2 LEDs: ecuaciones lineales para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r</m:t>
            </m:r>
          </m:sub>
        </m:sSub>
      </m:oMath>
      <w:r w:rsidRPr="00FC3893">
        <w:rPr>
          <w:lang w:val="es-PE"/>
        </w:rPr>
        <w:t xml:space="preserve">. Esta capa </w:t>
      </w:r>
      <w:r w:rsidRPr="00FC3893">
        <w:rPr>
          <w:b/>
          <w:bCs/>
          <w:lang w:val="es-PE"/>
        </w:rPr>
        <w:t>no cambia</w:t>
      </w:r>
      <w:r w:rsidRPr="00FC3893">
        <w:rPr>
          <w:lang w:val="es-PE"/>
        </w:rPr>
        <w:t xml:space="preserve"> entre Lambertiano y no-Lambertiano. (El tilt es un gran foco de sesgo en RSS; el uso de cocientes lo mitiga si </w:t>
      </w:r>
      <m:oMath>
        <m:r>
          <w:rPr>
            <w:rFonts w:ascii="Cambria Math" w:hAnsi="Cambria Math"/>
            <w:lang w:val="es-PE"/>
          </w:rPr>
          <m:t>ψ</m:t>
        </m:r>
      </m:oMath>
      <w:r w:rsidRPr="00FC3893">
        <w:rPr>
          <w:lang w:val="es-PE"/>
        </w:rPr>
        <w:t xml:space="preserve">permanece dentro del FOV por orientación, como ya sabes.) </w:t>
      </w:r>
      <w:hyperlink r:id="rId5" w:tgtFrame="_blank" w:history="1">
        <w:r w:rsidRPr="00FC3893">
          <w:rPr>
            <w:rStyle w:val="Hyperlink"/>
            <w:lang w:val="es-PE"/>
          </w:rPr>
          <w:t>telin.ugent.be+1</w:t>
        </w:r>
      </w:hyperlink>
    </w:p>
    <w:p w14:paraId="2F0C9B03" w14:textId="0E757095" w:rsidR="00FC3893" w:rsidRPr="00FC3893" w:rsidRDefault="00FC3893" w:rsidP="00FC3893">
      <w:pPr>
        <w:numPr>
          <w:ilvl w:val="0"/>
          <w:numId w:val="1"/>
        </w:numPr>
        <w:rPr>
          <w:lang w:val="es-PE"/>
        </w:rPr>
      </w:pPr>
      <w:r w:rsidRPr="00FC3893">
        <w:rPr>
          <w:b/>
          <w:bCs/>
          <w:lang w:val="es-PE"/>
        </w:rPr>
        <w:t>Capa 2 (política de “steering y gating”):</w:t>
      </w:r>
      <w:r w:rsidRPr="00FC3893">
        <w:rPr>
          <w:lang w:val="es-PE"/>
        </w:rPr>
        <w:t xml:space="preserve"> elige qué orientaciones usar </w:t>
      </w:r>
      <w:r w:rsidRPr="00FC3893">
        <w:rPr>
          <w:b/>
          <w:bCs/>
          <w:lang w:val="es-PE"/>
        </w:rPr>
        <w:t xml:space="preserve">para mantener </w:t>
      </w:r>
      <m:oMath>
        <m:r>
          <w:rPr>
            <w:rFonts w:ascii="Cambria Math" w:hAnsi="Cambria Math"/>
            <w:lang w:val="es-PE"/>
          </w:rPr>
          <m:t>ϕ</m:t>
        </m:r>
      </m:oMath>
      <w:r w:rsidRPr="00FC3893">
        <w:rPr>
          <w:b/>
          <w:bCs/>
          <w:lang w:val="es-PE"/>
        </w:rPr>
        <w:t>en una “zona cuasi-Lambertiana”</w:t>
      </w:r>
      <w:r w:rsidRPr="00FC3893">
        <w:rPr>
          <w:lang w:val="es-PE"/>
        </w:rPr>
        <w:t xml:space="preserve"> del LED. Esta capa decide </w:t>
      </w:r>
      <w:r w:rsidRPr="00FC3893">
        <w:rPr>
          <w:b/>
          <w:bCs/>
          <w:lang w:val="es-PE"/>
        </w:rPr>
        <w:t>zonas/sectores</w:t>
      </w:r>
      <w:r w:rsidRPr="00FC3893">
        <w:rPr>
          <w:lang w:val="es-PE"/>
        </w:rPr>
        <w:t xml:space="preserve"> y </w:t>
      </w:r>
      <w:r w:rsidRPr="00FC3893">
        <w:rPr>
          <w:b/>
          <w:bCs/>
          <w:lang w:val="es-PE"/>
        </w:rPr>
        <w:t>subconjuntos de orientaciones</w:t>
      </w:r>
      <w:r w:rsidRPr="00FC3893">
        <w:rPr>
          <w:lang w:val="es-PE"/>
        </w:rPr>
        <w:t xml:space="preserve">; el estimador de la Capa 1 sigue igual. La zona se deriva </w:t>
      </w:r>
      <w:r w:rsidRPr="00FC3893">
        <w:rPr>
          <w:b/>
          <w:bCs/>
          <w:lang w:val="es-PE"/>
        </w:rPr>
        <w:t>del propio LID</w:t>
      </w:r>
      <w:r w:rsidRPr="00FC3893">
        <w:rPr>
          <w:lang w:val="es-PE"/>
        </w:rPr>
        <w:t xml:space="preserve"> (medido o de datasheet), no de un umbral fijo de 40°. </w:t>
      </w:r>
      <w:hyperlink r:id="rId6" w:tgtFrame="_blank" w:history="1">
        <w:r w:rsidRPr="00FC3893">
          <w:rPr>
            <w:rStyle w:val="Hyperlink"/>
            <w:lang w:val="es-PE"/>
          </w:rPr>
          <w:t>United for Efficiency+2ResearchGate+2</w:t>
        </w:r>
      </w:hyperlink>
    </w:p>
    <w:p w14:paraId="11A38D52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Cómo fijar la “zona cuasi-Lambertiana” (no pongas 40° a ciegas)</w:t>
      </w:r>
    </w:p>
    <w:p w14:paraId="4A71445A" w14:textId="36A88FCA" w:rsidR="00FC3893" w:rsidRPr="00FC3893" w:rsidRDefault="00FC3893" w:rsidP="00FC3893">
      <w:pPr>
        <w:numPr>
          <w:ilvl w:val="0"/>
          <w:numId w:val="2"/>
        </w:numPr>
        <w:rPr>
          <w:lang w:val="es-PE"/>
        </w:rPr>
      </w:pPr>
      <w:r w:rsidRPr="00FC3893">
        <w:rPr>
          <w:b/>
          <w:bCs/>
          <w:lang w:val="es-PE"/>
        </w:rPr>
        <w:t>Ajusta</w:t>
      </w:r>
      <w:r w:rsidRPr="00FC3893">
        <w:rPr>
          <w:lang w:val="es-PE"/>
        </w:rPr>
        <w:t xml:space="preserve"> el LID del datasheet/medido a un </w:t>
      </w:r>
      <m:oMath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PE"/>
              </w:rPr>
              <m:t>cos</m:t>
            </m:r>
            <m:r>
              <w:rPr>
                <w:rFonts w:ascii="Cambria Math" w:hAnsi="Cambria Math"/>
                <w:lang w:val="es-PE"/>
              </w:rPr>
              <m:t>⁡</m:t>
            </m:r>
          </m:e>
          <m:sup>
            <m:r>
              <w:rPr>
                <w:rFonts w:ascii="Cambria Math" w:hAnsi="Cambria Math"/>
                <w:lang w:val="es-PE"/>
              </w:rPr>
              <m:t>m</m:t>
            </m:r>
          </m:sup>
        </m:sSup>
        <m:r>
          <w:rPr>
            <w:rFonts w:ascii="Cambria Math" w:hAnsi="Cambria Math"/>
            <w:lang w:val="es-PE"/>
          </w:rPr>
          <m:t>(ϕ)</m:t>
        </m:r>
      </m:oMath>
      <w:r w:rsidRPr="00FC3893">
        <w:rPr>
          <w:lang w:val="es-PE"/>
        </w:rPr>
        <w:t>equivalente.</w:t>
      </w:r>
    </w:p>
    <w:p w14:paraId="7658080F" w14:textId="43967FDA" w:rsidR="00FC3893" w:rsidRPr="00FC3893" w:rsidRDefault="00FC3893" w:rsidP="00FC3893">
      <w:pPr>
        <w:numPr>
          <w:ilvl w:val="0"/>
          <w:numId w:val="2"/>
        </w:numPr>
        <w:rPr>
          <w:lang w:val="es-PE"/>
        </w:rPr>
      </w:pPr>
      <w:r w:rsidRPr="00FC3893">
        <w:rPr>
          <w:b/>
          <w:bCs/>
          <w:lang w:val="es-PE"/>
        </w:rPr>
        <w:t xml:space="preserve">Define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 xml:space="preserve">como el mayor ángulo tal que la desviación </w:t>
      </w:r>
      <m:oMath>
        <m:r>
          <m:rPr>
            <m:sty m:val="p"/>
          </m:rPr>
          <w:rPr>
            <w:rFonts w:ascii="Cambria Math" w:hAnsi="Cambria Math"/>
            <w:lang w:val="es-PE"/>
          </w:rPr>
          <m:t>∣</m:t>
        </m:r>
        <m:r>
          <w:rPr>
            <w:rFonts w:ascii="Cambria Math" w:hAnsi="Cambria Math"/>
            <w:lang w:val="es-PE"/>
          </w:rPr>
          <m:t>20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PE"/>
              </w:rPr>
              <m:t>log</m:t>
            </m:r>
            <m:r>
              <w:rPr>
                <w:rFonts w:ascii="Cambria Math" w:hAnsi="Cambria Math"/>
                <w:lang w:val="es-PE"/>
              </w:rPr>
              <m:t>⁡</m:t>
            </m:r>
          </m:e>
          <m:sub>
            <m:r>
              <w:rPr>
                <w:rFonts w:ascii="Cambria Math" w:hAnsi="Cambria Math"/>
                <w:lang w:val="es-PE"/>
              </w:rPr>
              <m:t>10</m:t>
            </m:r>
          </m:sub>
        </m:sSub>
        <m:r>
          <w:rPr>
            <w:rFonts w:ascii="Cambria Math" w:hAnsi="Cambria Math"/>
            <w:lang w:val="es-PE"/>
          </w:rPr>
          <m:t>(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I</m:t>
            </m:r>
          </m:e>
          <m:sub>
            <m:r>
              <m:rPr>
                <m:nor/>
              </m:rPr>
              <w:rPr>
                <w:lang w:val="es-PE"/>
              </w:rPr>
              <m:t>LED</m:t>
            </m:r>
          </m:sub>
        </m:sSub>
        <m:r>
          <w:rPr>
            <w:rFonts w:ascii="Cambria Math" w:hAnsi="Cambria Math"/>
            <w:lang w:val="es-PE"/>
          </w:rPr>
          <m:t>(ϕ)</m:t>
        </m:r>
        <m:r>
          <m:rPr>
            <m:sty m:val="p"/>
          </m:rPr>
          <w:rPr>
            <w:rFonts w:ascii="Cambria Math" w:hAnsi="Cambria Math"/>
            <w:lang w:val="es-PE"/>
          </w:rPr>
          <m:t>/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I</m:t>
            </m:r>
          </m:e>
          <m:sub>
            <m:sSup>
              <m:sSupPr>
                <m:ctrlPr>
                  <w:rPr>
                    <w:rFonts w:ascii="Cambria Math" w:hAnsi="Cambria Math"/>
                    <w:lang w:val="es-P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PE"/>
                  </w:rPr>
                  <m:t>cos</m:t>
                </m:r>
                <m:r>
                  <w:rPr>
                    <w:rFonts w:ascii="Cambria Math" w:hAnsi="Cambria Math"/>
                    <w:lang w:val="es-PE"/>
                  </w:rPr>
                  <m:t>⁡</m:t>
                </m:r>
              </m:e>
              <m:sup>
                <m:r>
                  <w:rPr>
                    <w:rFonts w:ascii="Cambria Math" w:hAnsi="Cambria Math"/>
                    <w:lang w:val="es-PE"/>
                  </w:rPr>
                  <m:t>m</m:t>
                </m:r>
              </m:sup>
            </m:sSup>
          </m:sub>
        </m:sSub>
        <m:r>
          <w:rPr>
            <w:rFonts w:ascii="Cambria Math" w:hAnsi="Cambria Math"/>
            <w:lang w:val="es-PE"/>
          </w:rPr>
          <m:t>(ϕ))</m:t>
        </m:r>
        <m:r>
          <m:rPr>
            <m:sty m:val="p"/>
          </m:rPr>
          <w:rPr>
            <w:rFonts w:ascii="Cambria Math" w:hAnsi="Cambria Math"/>
            <w:lang w:val="es-PE"/>
          </w:rPr>
          <m:t>∣</m:t>
        </m:r>
        <m:r>
          <w:rPr>
            <w:rFonts w:ascii="Cambria Math" w:hAnsi="Cambria Math"/>
            <w:lang w:val="es-PE"/>
          </w:rPr>
          <m:t>≤</m:t>
        </m:r>
        <m:r>
          <m:rPr>
            <m:sty m:val="p"/>
          </m:rPr>
          <w:rPr>
            <w:rFonts w:ascii="Cambria Math" w:hAnsi="Cambria Math"/>
            <w:lang w:val="es-PE"/>
          </w:rPr>
          <m:t>Δ</m:t>
        </m:r>
      </m:oMath>
      <w:r w:rsidRPr="00FC3893">
        <w:rPr>
          <w:lang w:val="es-PE"/>
        </w:rPr>
        <w:t xml:space="preserve">(p.ej., 1–2 dB). Eso produce un </w:t>
      </w:r>
      <w:r w:rsidRPr="00FC3893">
        <w:rPr>
          <w:b/>
          <w:bCs/>
          <w:lang w:val="es-PE"/>
        </w:rPr>
        <w:t>umbral data-driven</w:t>
      </w:r>
      <w:r w:rsidRPr="00FC3893">
        <w:rPr>
          <w:lang w:val="es-PE"/>
        </w:rPr>
        <w:t xml:space="preserve"> (suele caer ~30–45° pero depende del encapsulado/batwing). </w:t>
      </w:r>
      <w:hyperlink r:id="rId7" w:tgtFrame="_blank" w:history="1">
        <w:r w:rsidRPr="00FC3893">
          <w:rPr>
            <w:rStyle w:val="Hyperlink"/>
            <w:lang w:val="es-PE"/>
          </w:rPr>
          <w:t>ResearchGate+1</w:t>
        </w:r>
      </w:hyperlink>
    </w:p>
    <w:p w14:paraId="2A3A1FB6" w14:textId="1B27EBB9" w:rsidR="00FC3893" w:rsidRPr="00FC3893" w:rsidRDefault="00FC3893" w:rsidP="00FC3893">
      <w:pPr>
        <w:numPr>
          <w:ilvl w:val="0"/>
          <w:numId w:val="2"/>
        </w:numPr>
        <w:rPr>
          <w:highlight w:val="yellow"/>
          <w:lang w:val="es-PE"/>
        </w:rPr>
      </w:pPr>
      <w:r w:rsidRPr="00FC3893">
        <w:rPr>
          <w:b/>
          <w:bCs/>
          <w:highlight w:val="yellow"/>
          <w:lang w:val="es-PE"/>
        </w:rPr>
        <w:t>Política</w:t>
      </w:r>
      <w:r w:rsidRPr="00FC3893">
        <w:rPr>
          <w:highlight w:val="yellow"/>
          <w:lang w:val="es-PE"/>
        </w:rPr>
        <w:t xml:space="preserve">: usar solo orientaciones y celdas donde </w:t>
      </w:r>
      <m:oMath>
        <m:r>
          <w:rPr>
            <w:rFonts w:ascii="Cambria Math" w:hAnsi="Cambria Math"/>
            <w:highlight w:val="yellow"/>
            <w:lang w:val="es-PE"/>
          </w:rPr>
          <m:t>ϕ≤</m:t>
        </m:r>
        <m:sSub>
          <m:sSubPr>
            <m:ctrlPr>
              <w:rPr>
                <w:rFonts w:ascii="Cambria Math" w:hAnsi="Cambria Math"/>
                <w:highlight w:val="yellow"/>
                <w:lang w:val="es-PE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highlight w:val="yellow"/>
                <w:lang w:val="es-PE"/>
              </w:rPr>
              <m:t>⋆</m:t>
            </m:r>
          </m:sub>
        </m:sSub>
      </m:oMath>
      <w:r w:rsidRPr="00FC3893">
        <w:rPr>
          <w:highlight w:val="yellow"/>
          <w:lang w:val="es-PE"/>
        </w:rPr>
        <w:t xml:space="preserve">. Si una celda excede </w:t>
      </w:r>
      <m:oMath>
        <m:sSub>
          <m:sSubPr>
            <m:ctrlPr>
              <w:rPr>
                <w:rFonts w:ascii="Cambria Math" w:hAnsi="Cambria Math"/>
                <w:highlight w:val="yellow"/>
                <w:lang w:val="es-PE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highlight w:val="yellow"/>
                <w:lang w:val="es-PE"/>
              </w:rPr>
              <m:t>⋆</m:t>
            </m:r>
          </m:sub>
        </m:sSub>
      </m:oMath>
      <w:r w:rsidRPr="00FC3893">
        <w:rPr>
          <w:highlight w:val="yellow"/>
          <w:lang w:val="es-PE"/>
        </w:rPr>
        <w:t xml:space="preserve">, cambias de </w:t>
      </w:r>
      <w:r w:rsidRPr="00FC3893">
        <w:rPr>
          <w:b/>
          <w:bCs/>
          <w:highlight w:val="yellow"/>
          <w:lang w:val="es-PE"/>
        </w:rPr>
        <w:t>sector/orientación</w:t>
      </w:r>
      <w:r w:rsidRPr="00FC3893">
        <w:rPr>
          <w:highlight w:val="yellow"/>
          <w:lang w:val="es-PE"/>
        </w:rPr>
        <w:t xml:space="preserve"> (no el estimador).</w:t>
      </w:r>
    </w:p>
    <w:p w14:paraId="12DF5120" w14:textId="5CD98E6C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t xml:space="preserve">Esto te evita el “se ve raro”: en simulación de 3×3 m aplicas la política completa (sectorización); en el </w:t>
      </w:r>
      <w:r w:rsidRPr="00FC3893">
        <w:rPr>
          <w:b/>
          <w:bCs/>
          <w:lang w:val="es-PE"/>
        </w:rPr>
        <w:t>demo 1×1 m</w:t>
      </w:r>
      <w:r w:rsidRPr="00FC3893">
        <w:rPr>
          <w:lang w:val="es-PE"/>
        </w:rPr>
        <w:t xml:space="preserve"> simplemente ocurre que </w:t>
      </w:r>
      <w:r w:rsidRPr="00FC3893">
        <w:rPr>
          <w:b/>
          <w:bCs/>
          <w:lang w:val="es-PE"/>
        </w:rPr>
        <w:t>todas</w:t>
      </w:r>
      <w:r w:rsidRPr="00FC3893">
        <w:rPr>
          <w:lang w:val="es-PE"/>
        </w:rPr>
        <w:t xml:space="preserve"> las mediciones caen dentro de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 xml:space="preserve">, así que la política se reduce al caso trivial. Misma lógica, distinto tamaño de área. (Que el LED se desvíe off-axis está bien documentado; por eso CIE S 025 exige cómo medir y reportar LID). </w:t>
      </w:r>
      <w:hyperlink r:id="rId8" w:tgtFrame="_blank" w:history="1">
        <w:r w:rsidRPr="00FC3893">
          <w:rPr>
            <w:rStyle w:val="Hyperlink"/>
            <w:lang w:val="es-PE"/>
          </w:rPr>
          <w:t>United for Efficiency</w:t>
        </w:r>
      </w:hyperlink>
    </w:p>
    <w:p w14:paraId="1C380175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Cómo escribirlo para que quede limpio en 6 páginas</w:t>
      </w:r>
    </w:p>
    <w:p w14:paraId="2B9CAE43" w14:textId="77CD3D9B" w:rsidR="00FC3893" w:rsidRPr="00FC3893" w:rsidRDefault="00FC3893" w:rsidP="00FC3893">
      <w:pPr>
        <w:numPr>
          <w:ilvl w:val="0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Modelo + estimador (común)</w:t>
      </w:r>
      <w:r w:rsidRPr="00FC3893">
        <w:rPr>
          <w:lang w:val="es-PE"/>
        </w:rPr>
        <w:t xml:space="preserve">: presentas la ecuación de canal (con FOV/filtro) y el estimador por ratios+SVD; para 2 LEDs, la ecuación lineal de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r</m:t>
            </m:r>
          </m:sub>
        </m:sSub>
      </m:oMath>
      <w:r w:rsidRPr="00FC3893">
        <w:rPr>
          <w:lang w:val="es-PE"/>
        </w:rPr>
        <w:t>. Una sola subsección.</w:t>
      </w:r>
    </w:p>
    <w:p w14:paraId="34D60221" w14:textId="485EB626" w:rsidR="00FC3893" w:rsidRPr="00FC3893" w:rsidRDefault="00FC3893" w:rsidP="00FC3893">
      <w:pPr>
        <w:numPr>
          <w:ilvl w:val="0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Política de steering/gating (común)</w:t>
      </w:r>
      <w:r w:rsidRPr="00FC3893">
        <w:rPr>
          <w:lang w:val="es-PE"/>
        </w:rPr>
        <w:t xml:space="preserve">: un párrafo con el procedimiento de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 xml:space="preserve">(arriba) y la regla “si </w:t>
      </w:r>
      <m:oMath>
        <m:r>
          <w:rPr>
            <w:rFonts w:ascii="Cambria Math" w:hAnsi="Cambria Math"/>
            <w:lang w:val="es-PE"/>
          </w:rPr>
          <m:t>ϕ&gt;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>→ cambia orientación/sector”.</w:t>
      </w:r>
    </w:p>
    <w:p w14:paraId="111C71E6" w14:textId="77777777" w:rsidR="00FC3893" w:rsidRPr="00FC3893" w:rsidRDefault="00FC3893" w:rsidP="00FC3893">
      <w:pPr>
        <w:numPr>
          <w:ilvl w:val="0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Simulación (3×3 m)</w:t>
      </w:r>
      <w:r w:rsidRPr="00FC3893">
        <w:rPr>
          <w:lang w:val="es-PE"/>
        </w:rPr>
        <w:t>:</w:t>
      </w:r>
    </w:p>
    <w:p w14:paraId="0B4A4A17" w14:textId="77777777" w:rsidR="00FC3893" w:rsidRPr="00FC3893" w:rsidRDefault="00FC3893" w:rsidP="00FC3893">
      <w:pPr>
        <w:numPr>
          <w:ilvl w:val="1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Lambertiano</w:t>
      </w:r>
      <w:r w:rsidRPr="00FC3893">
        <w:rPr>
          <w:lang w:val="es-PE"/>
        </w:rPr>
        <w:t>: política activa pero no restringe (porque el ajuste coincide).</w:t>
      </w:r>
    </w:p>
    <w:p w14:paraId="3C091D69" w14:textId="77777777" w:rsidR="00FC3893" w:rsidRPr="00FC3893" w:rsidRDefault="00FC3893" w:rsidP="00FC3893">
      <w:pPr>
        <w:numPr>
          <w:ilvl w:val="1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Datasheet/Medido</w:t>
      </w:r>
      <w:r w:rsidRPr="00FC3893">
        <w:rPr>
          <w:lang w:val="es-PE"/>
        </w:rPr>
        <w:t xml:space="preserve">: política </w:t>
      </w:r>
      <w:r w:rsidRPr="00FC3893">
        <w:rPr>
          <w:b/>
          <w:bCs/>
          <w:lang w:val="es-PE"/>
        </w:rPr>
        <w:t>limita</w:t>
      </w:r>
      <w:r w:rsidRPr="00FC3893">
        <w:rPr>
          <w:lang w:val="es-PE"/>
        </w:rPr>
        <w:t xml:space="preserve"> orientaciones o sectoriza (tu “4 áreas”), mostrando la mejora respecto a no limitar.</w:t>
      </w:r>
    </w:p>
    <w:p w14:paraId="44BA22CE" w14:textId="77777777" w:rsidR="00FC3893" w:rsidRPr="00FC3893" w:rsidRDefault="00FC3893" w:rsidP="00FC3893">
      <w:pPr>
        <w:numPr>
          <w:ilvl w:val="1"/>
          <w:numId w:val="3"/>
        </w:numPr>
        <w:rPr>
          <w:lang w:val="es-PE"/>
        </w:rPr>
      </w:pPr>
      <w:r w:rsidRPr="00FC3893">
        <w:rPr>
          <w:lang w:val="es-PE"/>
        </w:rPr>
        <w:lastRenderedPageBreak/>
        <w:t xml:space="preserve">Métricas: p50/p95 de error con/sin tilt. (Ignorar tilt genera sesgos grandes, está publicado). </w:t>
      </w:r>
      <w:hyperlink r:id="rId9" w:tgtFrame="_blank" w:history="1">
        <w:r w:rsidRPr="00FC3893">
          <w:rPr>
            <w:rStyle w:val="Hyperlink"/>
            <w:lang w:val="es-PE"/>
          </w:rPr>
          <w:t>telin.ugent.be</w:t>
        </w:r>
      </w:hyperlink>
    </w:p>
    <w:p w14:paraId="33D614A0" w14:textId="431BD411" w:rsidR="00FC3893" w:rsidRPr="00FC3893" w:rsidRDefault="00FC3893" w:rsidP="00FC3893">
      <w:pPr>
        <w:numPr>
          <w:ilvl w:val="0"/>
          <w:numId w:val="3"/>
        </w:numPr>
        <w:rPr>
          <w:lang w:val="es-PE"/>
        </w:rPr>
      </w:pPr>
      <w:r w:rsidRPr="00FC3893">
        <w:rPr>
          <w:b/>
          <w:bCs/>
          <w:lang w:val="es-PE"/>
        </w:rPr>
        <w:t>Demo 1×1 m</w:t>
      </w:r>
      <w:r w:rsidRPr="00FC3893">
        <w:rPr>
          <w:lang w:val="es-PE"/>
        </w:rPr>
        <w:t xml:space="preserve">: single-LED BS + </w:t>
      </w:r>
      <w:r w:rsidRPr="00FC3893">
        <w:rPr>
          <w:b/>
          <w:bCs/>
          <w:lang w:val="es-PE"/>
        </w:rPr>
        <w:t>emulación TDM</w:t>
      </w:r>
      <w:r w:rsidRPr="00FC3893">
        <w:rPr>
          <w:lang w:val="es-PE"/>
        </w:rPr>
        <w:t xml:space="preserve"> del 2.º LED para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r</m:t>
            </m:r>
          </m:sub>
        </m:sSub>
      </m:oMath>
      <w:r w:rsidRPr="00FC3893">
        <w:rPr>
          <w:lang w:val="es-PE"/>
        </w:rPr>
        <w:t xml:space="preserve">(identificas LEDs en </w:t>
      </w:r>
      <w:r w:rsidRPr="00FC3893">
        <w:rPr>
          <w:b/>
          <w:bCs/>
          <w:lang w:val="es-PE"/>
        </w:rPr>
        <w:t>tiempo</w:t>
      </w:r>
      <w:r w:rsidRPr="00FC3893">
        <w:rPr>
          <w:lang w:val="es-PE"/>
        </w:rPr>
        <w:t xml:space="preserve"> o </w:t>
      </w:r>
      <w:r w:rsidRPr="00FC3893">
        <w:rPr>
          <w:b/>
          <w:bCs/>
          <w:lang w:val="es-PE"/>
        </w:rPr>
        <w:t>frecuencia</w:t>
      </w:r>
      <w:r w:rsidRPr="00FC3893">
        <w:rPr>
          <w:lang w:val="es-PE"/>
        </w:rPr>
        <w:t xml:space="preserve">, práctica estándar en VLC/VLP, y sin flicker visible si operas en kHz). Indica que </w:t>
      </w:r>
      <w:r w:rsidRPr="00FC3893">
        <w:rPr>
          <w:b/>
          <w:bCs/>
          <w:lang w:val="es-PE"/>
        </w:rPr>
        <w:t>toda</w:t>
      </w:r>
      <w:r w:rsidRPr="00FC3893">
        <w:rPr>
          <w:lang w:val="es-PE"/>
        </w:rPr>
        <w:t xml:space="preserve"> la malla cumple </w:t>
      </w:r>
      <m:oMath>
        <m:r>
          <w:rPr>
            <w:rFonts w:ascii="Cambria Math" w:hAnsi="Cambria Math"/>
            <w:lang w:val="es-PE"/>
          </w:rPr>
          <m:t>ϕ≤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 xml:space="preserve">; por eso </w:t>
      </w:r>
      <w:r w:rsidRPr="00FC3893">
        <w:rPr>
          <w:b/>
          <w:bCs/>
          <w:lang w:val="es-PE"/>
        </w:rPr>
        <w:t>no</w:t>
      </w:r>
      <w:r w:rsidRPr="00FC3893">
        <w:rPr>
          <w:lang w:val="es-PE"/>
        </w:rPr>
        <w:t xml:space="preserve"> necesitas la sectorización allí. </w:t>
      </w:r>
      <w:hyperlink r:id="rId10" w:tgtFrame="_blank" w:history="1">
        <w:r w:rsidRPr="00FC3893">
          <w:rPr>
            <w:rStyle w:val="Hyperlink"/>
            <w:lang w:val="es-PE"/>
          </w:rPr>
          <w:t>ee.bilkent.edu.tr+1</w:t>
        </w:r>
      </w:hyperlink>
    </w:p>
    <w:p w14:paraId="36E20528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Qué hacer con el caso “2 beam-steering” y las zonas</w:t>
      </w:r>
    </w:p>
    <w:p w14:paraId="17ECB0DE" w14:textId="1F4B3273" w:rsidR="00FC3893" w:rsidRPr="00FC3893" w:rsidRDefault="00FC3893" w:rsidP="00FC3893">
      <w:pPr>
        <w:numPr>
          <w:ilvl w:val="0"/>
          <w:numId w:val="4"/>
        </w:numPr>
        <w:rPr>
          <w:lang w:val="es-PE"/>
        </w:rPr>
      </w:pPr>
      <w:r w:rsidRPr="00FC3893">
        <w:rPr>
          <w:b/>
          <w:bCs/>
          <w:lang w:val="es-PE"/>
        </w:rPr>
        <w:t>Single-LED</w:t>
      </w:r>
      <w:r w:rsidRPr="00FC3893">
        <w:rPr>
          <w:lang w:val="es-PE"/>
        </w:rPr>
        <w:t xml:space="preserve">: tu división en 4 áreas = subconjuntos de orientaciones que garantizan </w:t>
      </w:r>
      <m:oMath>
        <m:r>
          <w:rPr>
            <w:rFonts w:ascii="Cambria Math" w:hAnsi="Cambria Math"/>
            <w:lang w:val="es-PE"/>
          </w:rPr>
          <m:t>ϕ≤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>en cada sector; perfecto.</w:t>
      </w:r>
    </w:p>
    <w:p w14:paraId="6E49E640" w14:textId="1D62C51C" w:rsidR="00FC3893" w:rsidRPr="00FC3893" w:rsidRDefault="00FC3893" w:rsidP="00FC3893">
      <w:pPr>
        <w:numPr>
          <w:ilvl w:val="0"/>
          <w:numId w:val="4"/>
        </w:numPr>
        <w:rPr>
          <w:lang w:val="es-PE"/>
        </w:rPr>
      </w:pPr>
      <w:r w:rsidRPr="00FC3893">
        <w:rPr>
          <w:b/>
          <w:bCs/>
          <w:lang w:val="es-PE"/>
        </w:rPr>
        <w:t>Dos LEDs</w:t>
      </w:r>
      <w:r w:rsidRPr="00FC3893">
        <w:rPr>
          <w:lang w:val="es-PE"/>
        </w:rPr>
        <w:t xml:space="preserve">: aplica </w:t>
      </w:r>
      <w:r w:rsidRPr="00FC3893">
        <w:rPr>
          <w:b/>
          <w:bCs/>
          <w:lang w:val="es-PE"/>
        </w:rPr>
        <w:t>la misma política a cada LED</w:t>
      </w:r>
      <w:r w:rsidRPr="00FC3893">
        <w:rPr>
          <w:lang w:val="es-PE"/>
        </w:rPr>
        <w:t xml:space="preserve"> (sus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PE"/>
              </w:rPr>
              <m:t>U</m:t>
            </m:r>
          </m:e>
          <m:sub>
            <m:r>
              <w:rPr>
                <w:rFonts w:ascii="Cambria Math" w:hAnsi="Cambria Math"/>
                <w:lang w:val="es-PE"/>
              </w:rPr>
              <m:t>1</m:t>
            </m:r>
          </m:sub>
        </m:sSub>
        <m:r>
          <w:rPr>
            <w:rFonts w:ascii="Cambria Math" w:hAnsi="Cambria Math"/>
            <w:lang w:val="es-PE"/>
          </w:rPr>
          <m:t>,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PE"/>
              </w:rPr>
              <m:t>U</m:t>
            </m:r>
          </m:e>
          <m:sub>
            <m:r>
              <w:rPr>
                <w:rFonts w:ascii="Cambria Math" w:hAnsi="Cambria Math"/>
                <w:lang w:val="es-PE"/>
              </w:rPr>
              <m:t>2</m:t>
            </m:r>
          </m:sub>
        </m:sSub>
      </m:oMath>
      <w:r w:rsidRPr="00FC3893">
        <w:rPr>
          <w:lang w:val="es-PE"/>
        </w:rPr>
        <w:t xml:space="preserve">tienen subconjuntos “seguros”). Solo añade un chequeo rápido de </w:t>
      </w:r>
      <w:r w:rsidRPr="00FC3893">
        <w:rPr>
          <w:b/>
          <w:bCs/>
          <w:lang w:val="es-PE"/>
        </w:rPr>
        <w:t>condición geométrica</w:t>
      </w:r>
      <w:r w:rsidRPr="00FC3893">
        <w:rPr>
          <w:lang w:val="es-PE"/>
        </w:rPr>
        <w:t xml:space="preserve"> (que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d,1</m:t>
            </m:r>
          </m:sub>
        </m:sSub>
      </m:oMath>
      <w:r w:rsidRPr="00FC3893">
        <w:rPr>
          <w:lang w:val="es-PE"/>
        </w:rPr>
        <w:t xml:space="preserve">y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d,2</m:t>
            </m:r>
          </m:sub>
        </m:sSub>
      </m:oMath>
      <w:r w:rsidRPr="00FC3893">
        <w:rPr>
          <w:lang w:val="es-PE"/>
        </w:rPr>
        <w:t xml:space="preserve">no queden cuasi-colineales) y listo. El estimador de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s-PE"/>
              </w:rPr>
              <m:t>n</m:t>
            </m:r>
          </m:e>
          <m:sub>
            <m:r>
              <w:rPr>
                <w:rFonts w:ascii="Cambria Math" w:hAnsi="Cambria Math"/>
                <w:lang w:val="es-PE"/>
              </w:rPr>
              <m:t>r</m:t>
            </m:r>
          </m:sub>
        </m:sSub>
      </m:oMath>
      <w:r w:rsidRPr="00FC3893">
        <w:rPr>
          <w:lang w:val="es-PE"/>
        </w:rPr>
        <w:t xml:space="preserve">no cambia. (Si quieres una línea: reporta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PE"/>
              </w:rPr>
              <m:t>min</m:t>
            </m:r>
          </m:sub>
        </m:sSub>
      </m:oMath>
      <w:r w:rsidRPr="00FC3893">
        <w:rPr>
          <w:lang w:val="es-PE"/>
        </w:rPr>
        <w:t xml:space="preserve">de </w:t>
      </w:r>
      <m:oMath>
        <m:r>
          <m:rPr>
            <m:sty m:val="b"/>
          </m:rPr>
          <w:rPr>
            <w:rFonts w:ascii="Cambria Math" w:hAnsi="Cambria Math"/>
            <w:lang w:val="es-PE"/>
          </w:rPr>
          <m:t>D</m:t>
        </m:r>
      </m:oMath>
      <w:r w:rsidRPr="00FC3893">
        <w:rPr>
          <w:lang w:val="es-PE"/>
        </w:rPr>
        <w:t xml:space="preserve">para tranquilidad). </w:t>
      </w:r>
      <w:hyperlink r:id="rId11" w:tgtFrame="_blank" w:history="1">
        <w:r w:rsidRPr="00FC3893">
          <w:rPr>
            <w:rStyle w:val="Hyperlink"/>
            <w:lang w:val="es-PE"/>
          </w:rPr>
          <w:t>telin.ugent.be</w:t>
        </w:r>
      </w:hyperlink>
    </w:p>
    <w:p w14:paraId="24130888" w14:textId="38B11CE4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Sobre el tilt y “</w:t>
      </w:r>
      <m:oMath>
        <m:r>
          <m:rPr>
            <m:sty m:val="bi"/>
          </m:rPr>
          <w:rPr>
            <w:rFonts w:ascii="Cambria Math" w:hAnsi="Cambria Math"/>
            <w:lang w:val="es-PE"/>
          </w:rPr>
          <m:t>ϕ&lt;</m:t>
        </m:r>
        <m:sSup>
          <m:sSupPr>
            <m:ctrlPr>
              <w:rPr>
                <w:rFonts w:ascii="Cambria Math" w:hAnsi="Cambria Math"/>
                <w:b/>
                <w:bCs/>
                <w:lang w:val="es-P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PE"/>
              </w:rPr>
              <m:t>40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PE"/>
              </w:rPr>
              <m:t>∘</m:t>
            </m:r>
          </m:sup>
        </m:sSup>
      </m:oMath>
      <w:r w:rsidRPr="00FC3893">
        <w:rPr>
          <w:b/>
          <w:bCs/>
          <w:lang w:val="es-PE"/>
        </w:rPr>
        <w:t xml:space="preserve"> o explota el error”</w:t>
      </w:r>
    </w:p>
    <w:p w14:paraId="093B16D0" w14:textId="0290A77B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t xml:space="preserve">Tu intuición es correcta: el tilt desbalancea </w:t>
      </w:r>
      <m:oMath>
        <m:r>
          <w:rPr>
            <w:rFonts w:ascii="Cambria Math" w:hAnsi="Cambria Math"/>
            <w:lang w:val="es-PE"/>
          </w:rPr>
          <m:t>ψ</m:t>
        </m:r>
      </m:oMath>
      <w:r w:rsidRPr="00FC3893">
        <w:rPr>
          <w:lang w:val="es-PE"/>
        </w:rPr>
        <w:t xml:space="preserve">y, si además operas </w:t>
      </w:r>
      <w:r w:rsidRPr="00FC3893">
        <w:rPr>
          <w:b/>
          <w:bCs/>
          <w:lang w:val="es-PE"/>
        </w:rPr>
        <w:t>off-axis</w:t>
      </w:r>
      <w:r w:rsidRPr="00FC3893">
        <w:rPr>
          <w:lang w:val="es-PE"/>
        </w:rPr>
        <w:t xml:space="preserve"> donde el LID se aparta del </w:t>
      </w:r>
      <m:oMath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PE"/>
              </w:rPr>
              <m:t>cos</m:t>
            </m:r>
            <m:r>
              <w:rPr>
                <w:rFonts w:ascii="Cambria Math" w:hAnsi="Cambria Math"/>
                <w:lang w:val="es-PE"/>
              </w:rPr>
              <m:t>⁡</m:t>
            </m:r>
          </m:e>
          <m:sup>
            <m:r>
              <w:rPr>
                <w:rFonts w:ascii="Cambria Math" w:hAnsi="Cambria Math"/>
                <w:lang w:val="es-PE"/>
              </w:rPr>
              <m:t>m</m:t>
            </m:r>
          </m:sup>
        </m:sSup>
      </m:oMath>
      <w:r w:rsidRPr="00FC3893">
        <w:rPr>
          <w:lang w:val="es-PE"/>
        </w:rPr>
        <w:t>, el sesgo crece. Por eso:</w:t>
      </w:r>
    </w:p>
    <w:p w14:paraId="3AE6CF07" w14:textId="77777777" w:rsidR="00FC3893" w:rsidRPr="00FC3893" w:rsidRDefault="00FC3893" w:rsidP="00FC3893">
      <w:pPr>
        <w:numPr>
          <w:ilvl w:val="0"/>
          <w:numId w:val="5"/>
        </w:numPr>
        <w:rPr>
          <w:lang w:val="es-PE"/>
        </w:rPr>
      </w:pPr>
      <w:r w:rsidRPr="00FC3893">
        <w:rPr>
          <w:lang w:val="es-PE"/>
        </w:rPr>
        <w:t xml:space="preserve">usa </w:t>
      </w:r>
      <w:r w:rsidRPr="00FC3893">
        <w:rPr>
          <w:b/>
          <w:bCs/>
          <w:lang w:val="es-PE"/>
        </w:rPr>
        <w:t>ratios</w:t>
      </w:r>
      <w:r w:rsidRPr="00FC3893">
        <w:rPr>
          <w:lang w:val="es-PE"/>
        </w:rPr>
        <w:t xml:space="preserve"> (insensibles al tilt dentro del FOV por orientación), y</w:t>
      </w:r>
    </w:p>
    <w:p w14:paraId="43A1127D" w14:textId="1D584930" w:rsidR="00FC3893" w:rsidRPr="00FC3893" w:rsidRDefault="00FC3893" w:rsidP="00FC3893">
      <w:pPr>
        <w:numPr>
          <w:ilvl w:val="0"/>
          <w:numId w:val="5"/>
        </w:numPr>
        <w:rPr>
          <w:lang w:val="es-PE"/>
        </w:rPr>
      </w:pPr>
      <w:r w:rsidRPr="00FC3893">
        <w:rPr>
          <w:b/>
          <w:bCs/>
          <w:lang w:val="es-PE"/>
        </w:rPr>
        <w:t xml:space="preserve">mantén </w:t>
      </w:r>
      <m:oMath>
        <m:r>
          <w:rPr>
            <w:rFonts w:ascii="Cambria Math" w:hAnsi="Cambria Math"/>
            <w:lang w:val="es-PE"/>
          </w:rPr>
          <m:t>ϕ</m:t>
        </m:r>
      </m:oMath>
      <w:r w:rsidRPr="00FC3893">
        <w:rPr>
          <w:lang w:val="es-PE"/>
        </w:rPr>
        <w:t xml:space="preserve">dentro de la zona donde el LID no se aleja del ajuste (tu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>).</w:t>
      </w:r>
      <w:r w:rsidRPr="00FC3893">
        <w:rPr>
          <w:lang w:val="es-PE"/>
        </w:rPr>
        <w:br/>
        <w:t xml:space="preserve">Ambos puntos están alineados con la literatura (tilt → sesgos grandes si se ignora; y LIDs reales con formas no-Lambertianas—batwing, etc.). </w:t>
      </w:r>
      <w:hyperlink r:id="rId12" w:tgtFrame="_blank" w:history="1">
        <w:r w:rsidRPr="00FC3893">
          <w:rPr>
            <w:rStyle w:val="Hyperlink"/>
            <w:lang w:val="es-PE"/>
          </w:rPr>
          <w:t>telin.ugent.be+1</w:t>
        </w:r>
      </w:hyperlink>
    </w:p>
    <w:p w14:paraId="154F222D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Detalle operativo (muy corto) para el paper</w:t>
      </w:r>
    </w:p>
    <w:p w14:paraId="17DEC6E2" w14:textId="262310BD" w:rsidR="00FC3893" w:rsidRPr="00FC3893" w:rsidRDefault="00FC3893" w:rsidP="00FC3893">
      <w:pPr>
        <w:numPr>
          <w:ilvl w:val="0"/>
          <w:numId w:val="6"/>
        </w:numPr>
        <w:rPr>
          <w:lang w:val="es-PE"/>
        </w:rPr>
      </w:pPr>
      <w:r w:rsidRPr="00FC3893">
        <w:rPr>
          <w:b/>
          <w:bCs/>
          <w:lang w:val="es-PE"/>
        </w:rPr>
        <w:t xml:space="preserve">Política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lang w:val="es-PE"/>
        </w:rPr>
        <w:t xml:space="preserve">(1–2 frases): </w:t>
      </w:r>
      <w:r w:rsidRPr="00FC3893">
        <w:rPr>
          <w:i/>
          <w:iCs/>
          <w:lang w:val="es-PE"/>
        </w:rPr>
        <w:t xml:space="preserve">“A partir del LID (CIE S 025), definimos </w:t>
      </w:r>
      <m:oMath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i/>
          <w:iCs/>
          <w:lang w:val="es-PE"/>
        </w:rPr>
        <w:t xml:space="preserve">como el mayor ángulo con desvío ≤ </w:t>
      </w:r>
      <m:oMath>
        <m:r>
          <m:rPr>
            <m:sty m:val="p"/>
          </m:rPr>
          <w:rPr>
            <w:rFonts w:ascii="Cambria Math" w:hAnsi="Cambria Math"/>
            <w:lang w:val="es-PE"/>
          </w:rPr>
          <m:t>Δ</m:t>
        </m:r>
      </m:oMath>
      <w:r w:rsidRPr="00FC3893">
        <w:rPr>
          <w:i/>
          <w:iCs/>
          <w:lang w:val="es-PE"/>
        </w:rPr>
        <w:t xml:space="preserve">dB respecto al ajuste </w:t>
      </w:r>
      <m:oMath>
        <m:sSup>
          <m:sSupPr>
            <m:ctrlPr>
              <w:rPr>
                <w:rFonts w:ascii="Cambria Math" w:hAnsi="Cambria Math"/>
                <w:lang w:val="es-P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PE"/>
              </w:rPr>
              <m:t>cos</m:t>
            </m:r>
            <m:r>
              <w:rPr>
                <w:rFonts w:ascii="Cambria Math" w:hAnsi="Cambria Math"/>
                <w:lang w:val="es-PE"/>
              </w:rPr>
              <m:t>⁡</m:t>
            </m:r>
          </m:e>
          <m:sup>
            <m:r>
              <w:rPr>
                <w:rFonts w:ascii="Cambria Math" w:hAnsi="Cambria Math"/>
                <w:lang w:val="es-PE"/>
              </w:rPr>
              <m:t>m</m:t>
            </m:r>
          </m:sup>
        </m:sSup>
      </m:oMath>
      <w:r w:rsidRPr="00FC3893">
        <w:rPr>
          <w:i/>
          <w:iCs/>
          <w:lang w:val="es-PE"/>
        </w:rPr>
        <w:t xml:space="preserve">. El set de orientaciones se restringe para asegurar </w:t>
      </w:r>
      <m:oMath>
        <m:r>
          <w:rPr>
            <w:rFonts w:ascii="Cambria Math" w:hAnsi="Cambria Math"/>
            <w:lang w:val="es-PE"/>
          </w:rPr>
          <m:t>ϕ≤</m:t>
        </m:r>
        <m:sSub>
          <m:sSubPr>
            <m:ctrlPr>
              <w:rPr>
                <w:rFonts w:ascii="Cambria Math" w:hAnsi="Cambria Math"/>
                <w:lang w:val="es-PE"/>
              </w:rPr>
            </m:ctrlPr>
          </m:sSubPr>
          <m:e>
            <m:r>
              <w:rPr>
                <w:rFonts w:ascii="Cambria Math" w:hAnsi="Cambria Math"/>
                <w:lang w:val="es-PE"/>
              </w:rPr>
              <m:t>θ</m:t>
            </m:r>
          </m:e>
          <m:sub>
            <m:r>
              <w:rPr>
                <w:rFonts w:ascii="Cambria Math" w:hAnsi="Cambria Math"/>
                <w:lang w:val="es-PE"/>
              </w:rPr>
              <m:t>⋆</m:t>
            </m:r>
          </m:sub>
        </m:sSub>
      </m:oMath>
      <w:r w:rsidRPr="00FC3893">
        <w:rPr>
          <w:i/>
          <w:iCs/>
          <w:lang w:val="es-PE"/>
        </w:rPr>
        <w:t>; si no es posible, se cambia de sector.”</w:t>
      </w:r>
      <w:r w:rsidRPr="00FC3893">
        <w:rPr>
          <w:lang w:val="es-PE"/>
        </w:rPr>
        <w:t xml:space="preserve"> </w:t>
      </w:r>
      <w:hyperlink r:id="rId13" w:tgtFrame="_blank" w:history="1">
        <w:r w:rsidRPr="00FC3893">
          <w:rPr>
            <w:rStyle w:val="Hyperlink"/>
            <w:lang w:val="es-PE"/>
          </w:rPr>
          <w:t>United for Efficiency</w:t>
        </w:r>
      </w:hyperlink>
    </w:p>
    <w:p w14:paraId="588077DC" w14:textId="77777777" w:rsidR="00FC3893" w:rsidRPr="00FC3893" w:rsidRDefault="00FC3893" w:rsidP="00FC3893">
      <w:pPr>
        <w:numPr>
          <w:ilvl w:val="0"/>
          <w:numId w:val="6"/>
        </w:numPr>
        <w:rPr>
          <w:lang w:val="es-PE"/>
        </w:rPr>
      </w:pPr>
      <w:r w:rsidRPr="00FC3893">
        <w:rPr>
          <w:b/>
          <w:bCs/>
          <w:lang w:val="es-PE"/>
        </w:rPr>
        <w:t>Identificación de LEDs/orientaciones</w:t>
      </w:r>
      <w:r w:rsidRPr="00FC3893">
        <w:rPr>
          <w:lang w:val="es-PE"/>
        </w:rPr>
        <w:t xml:space="preserve">: </w:t>
      </w:r>
      <w:r w:rsidRPr="00FC3893">
        <w:rPr>
          <w:i/>
          <w:iCs/>
          <w:lang w:val="es-PE"/>
        </w:rPr>
        <w:t>“Separación temporal/frecuencial (TDM/FDM) para etiquetar LED u orientación; frecuencias en zona sin riesgo de parpadeo perceptible.”</w:t>
      </w:r>
      <w:r w:rsidRPr="00FC3893">
        <w:rPr>
          <w:lang w:val="es-PE"/>
        </w:rPr>
        <w:t xml:space="preserve"> </w:t>
      </w:r>
      <w:hyperlink r:id="rId14" w:tgtFrame="_blank" w:history="1">
        <w:r w:rsidRPr="00FC3893">
          <w:rPr>
            <w:rStyle w:val="Hyperlink"/>
            <w:lang w:val="es-PE"/>
          </w:rPr>
          <w:t>ee.bilkent.edu.tr+1</w:t>
        </w:r>
      </w:hyperlink>
    </w:p>
    <w:p w14:paraId="53830FC2" w14:textId="77777777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pict w14:anchorId="762CE9CA">
          <v:rect id="_x0000_i1031" style="width:0;height:1.5pt" o:hralign="center" o:hrstd="t" o:hr="t" fillcolor="#a0a0a0" stroked="f"/>
        </w:pict>
      </w:r>
    </w:p>
    <w:p w14:paraId="66006156" w14:textId="77777777" w:rsidR="00FC3893" w:rsidRPr="00FC3893" w:rsidRDefault="00FC3893" w:rsidP="00FC3893">
      <w:pPr>
        <w:rPr>
          <w:b/>
          <w:bCs/>
          <w:lang w:val="es-PE"/>
        </w:rPr>
      </w:pPr>
      <w:r w:rsidRPr="00FC3893">
        <w:rPr>
          <w:b/>
          <w:bCs/>
          <w:lang w:val="es-PE"/>
        </w:rPr>
        <w:t>Conclusión práctica</w:t>
      </w:r>
    </w:p>
    <w:p w14:paraId="37A3149B" w14:textId="77777777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t xml:space="preserve">No es “raro” que la simulación 3×3 m use sectorización y el demo 1×1 m no: </w:t>
      </w:r>
      <w:r w:rsidRPr="00FC3893">
        <w:rPr>
          <w:b/>
          <w:bCs/>
          <w:lang w:val="es-PE"/>
        </w:rPr>
        <w:t>es la misma política aplicada a dominios distintos</w:t>
      </w:r>
      <w:r w:rsidRPr="00FC3893">
        <w:rPr>
          <w:lang w:val="es-PE"/>
        </w:rPr>
        <w:t xml:space="preserve">. Lo importante es dejar claro que </w:t>
      </w:r>
      <w:r w:rsidRPr="00FC3893">
        <w:rPr>
          <w:b/>
          <w:bCs/>
          <w:lang w:val="es-PE"/>
        </w:rPr>
        <w:t>el estimador no cambia</w:t>
      </w:r>
      <w:r w:rsidRPr="00FC3893">
        <w:rPr>
          <w:lang w:val="es-PE"/>
        </w:rPr>
        <w:t xml:space="preserve">; lo que cambia es </w:t>
      </w:r>
      <w:r w:rsidRPr="00FC3893">
        <w:rPr>
          <w:b/>
          <w:bCs/>
          <w:lang w:val="es-PE"/>
        </w:rPr>
        <w:t>qué orientaciones permites</w:t>
      </w:r>
      <w:r w:rsidRPr="00FC3893">
        <w:rPr>
          <w:lang w:val="es-PE"/>
        </w:rPr>
        <w:t xml:space="preserve"> según el </w:t>
      </w:r>
      <w:r w:rsidRPr="00FC3893">
        <w:rPr>
          <w:b/>
          <w:bCs/>
          <w:lang w:val="es-PE"/>
        </w:rPr>
        <w:t>propio LID</w:t>
      </w:r>
      <w:r w:rsidRPr="00FC3893">
        <w:rPr>
          <w:lang w:val="es-PE"/>
        </w:rPr>
        <w:t xml:space="preserve"> (medido/datasheet). Eso mantiene coherencia, te blinda frente a críticas por no-Lambertiano (CIE S 025), justifica el tamaño del testbed, y sigue atacando el talón de Aquiles (tilt) con evidencia práctica. </w:t>
      </w:r>
      <w:hyperlink r:id="rId15" w:tgtFrame="_blank" w:history="1">
        <w:r w:rsidRPr="00FC3893">
          <w:rPr>
            <w:rStyle w:val="Hyperlink"/>
            <w:lang w:val="es-PE"/>
          </w:rPr>
          <w:t>United for Efficiency+1</w:t>
        </w:r>
      </w:hyperlink>
    </w:p>
    <w:p w14:paraId="065A5B86" w14:textId="77777777" w:rsidR="00FC3893" w:rsidRPr="00FC3893" w:rsidRDefault="00FC3893" w:rsidP="00FC3893">
      <w:pPr>
        <w:rPr>
          <w:lang w:val="es-PE"/>
        </w:rPr>
      </w:pPr>
      <w:r w:rsidRPr="00FC3893">
        <w:rPr>
          <w:lang w:val="es-PE"/>
        </w:rPr>
        <w:t>Si quieres, te redacto el párrafo exacto de “Política de steering y sectorización” (5–6 líneas) y el de “Demo con two-LED time-multiplexed emulation” para pegar tal cual.</w:t>
      </w:r>
    </w:p>
    <w:p w14:paraId="4826D9C4" w14:textId="77777777" w:rsidR="00742891" w:rsidRPr="00FC3893" w:rsidRDefault="00742891">
      <w:pPr>
        <w:rPr>
          <w:lang w:val="es-PE"/>
        </w:rPr>
      </w:pPr>
    </w:p>
    <w:sectPr w:rsidR="00742891" w:rsidRPr="00FC3893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10C"/>
    <w:multiLevelType w:val="multilevel"/>
    <w:tmpl w:val="98C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76270"/>
    <w:multiLevelType w:val="multilevel"/>
    <w:tmpl w:val="5324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97EFE"/>
    <w:multiLevelType w:val="multilevel"/>
    <w:tmpl w:val="6CF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0B31"/>
    <w:multiLevelType w:val="multilevel"/>
    <w:tmpl w:val="2B24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3636D"/>
    <w:multiLevelType w:val="multilevel"/>
    <w:tmpl w:val="4E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C31A9"/>
    <w:multiLevelType w:val="multilevel"/>
    <w:tmpl w:val="BF8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6926">
    <w:abstractNumId w:val="2"/>
  </w:num>
  <w:num w:numId="2" w16cid:durableId="507134219">
    <w:abstractNumId w:val="3"/>
  </w:num>
  <w:num w:numId="3" w16cid:durableId="1021006351">
    <w:abstractNumId w:val="1"/>
  </w:num>
  <w:num w:numId="4" w16cid:durableId="1125080379">
    <w:abstractNumId w:val="0"/>
  </w:num>
  <w:num w:numId="5" w16cid:durableId="836308832">
    <w:abstractNumId w:val="4"/>
  </w:num>
  <w:num w:numId="6" w16cid:durableId="945582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D7"/>
    <w:rsid w:val="000E0263"/>
    <w:rsid w:val="0015660C"/>
    <w:rsid w:val="001E61B3"/>
    <w:rsid w:val="002C66C6"/>
    <w:rsid w:val="00394A6A"/>
    <w:rsid w:val="00486EF2"/>
    <w:rsid w:val="004A39D1"/>
    <w:rsid w:val="006F2388"/>
    <w:rsid w:val="00742891"/>
    <w:rsid w:val="007C78D7"/>
    <w:rsid w:val="008B4698"/>
    <w:rsid w:val="00D5186D"/>
    <w:rsid w:val="00EB5203"/>
    <w:rsid w:val="00FC389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95767"/>
  <w15:chartTrackingRefBased/>
  <w15:docId w15:val="{2A6CCE1F-1A93-4126-B677-0044D91D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8D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8D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8D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D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8D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D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D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D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D7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C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8D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8D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8D7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C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D7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C78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ed4efficiency.org/wp-content/uploads/2017/01/CIE-LED-test-method_Tony-Bergen.pdf?utm_source=chatgpt.com" TargetMode="External"/><Relationship Id="rId13" Type="http://schemas.openxmlformats.org/officeDocument/2006/relationships/hyperlink" Target="https://united4efficiency.org/wp-content/uploads/2017/01/CIE-LED-test-method_Tony-Bergen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rofile/Ivan-Moreno-19/publication/253754418_Simple_function_for_intensity_distribution_from_LEDs_-_art_no_66700H/links/0c96053ab751c72667000000/Simple-function-for-intensity-distribution-from-LEDs-art-no-66700H.pdf?utm_source=chatgpt.com" TargetMode="External"/><Relationship Id="rId12" Type="http://schemas.openxmlformats.org/officeDocument/2006/relationships/hyperlink" Target="https://telin.ugent.be/~hs/full/j60.pdf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united4efficiency.org/wp-content/uploads/2017/01/CIE-LED-test-method_Tony-Bergen.pdf?utm_source=chatgpt.com" TargetMode="External"/><Relationship Id="rId11" Type="http://schemas.openxmlformats.org/officeDocument/2006/relationships/hyperlink" Target="https://telin.ugent.be/~hs/full/j61.pdf?utm_source=chatgpt.com" TargetMode="External"/><Relationship Id="rId5" Type="http://schemas.openxmlformats.org/officeDocument/2006/relationships/hyperlink" Target="https://telin.ugent.be/~hs/full/j60.pdf?utm_source=chatgpt.com" TargetMode="External"/><Relationship Id="rId15" Type="http://schemas.openxmlformats.org/officeDocument/2006/relationships/hyperlink" Target="https://united4efficiency.org/wp-content/uploads/2017/01/CIE-LED-test-method_Tony-Bergen.pdf?utm_source=chatgpt.com" TargetMode="External"/><Relationship Id="rId10" Type="http://schemas.openxmlformats.org/officeDocument/2006/relationships/hyperlink" Target="https://www.ee.bilkent.edu.tr/~gezici/papers/2017_TCOM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lin.ugent.be/~hs/full/j60.pdf?utm_source=chatgpt.com" TargetMode="External"/><Relationship Id="rId14" Type="http://schemas.openxmlformats.org/officeDocument/2006/relationships/hyperlink" Target="https://www.ee.bilkent.edu.tr/~gezici/papers/2017_TCOM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1011</Words>
  <Characters>5412</Characters>
  <Application>Microsoft Office Word</Application>
  <DocSecurity>0</DocSecurity>
  <Lines>102</Lines>
  <Paragraphs>48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2025-10-26T21:29:00Z</dcterms:created>
  <dcterms:modified xsi:type="dcterms:W3CDTF">2025-10-26T21:30:00Z</dcterms:modified>
</cp:coreProperties>
</file>