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2642" w14:textId="77777777" w:rsidR="0094733C" w:rsidRDefault="0094733C" w:rsidP="008A0D71">
      <w:pPr>
        <w:pStyle w:val="Default"/>
        <w:jc w:val="both"/>
        <w:rPr>
          <w:sz w:val="20"/>
          <w:szCs w:val="20"/>
          <w:lang w:val="en-US"/>
        </w:rPr>
      </w:pPr>
    </w:p>
    <w:p w14:paraId="0EB5F598" w14:textId="03C623E9" w:rsidR="0094733C" w:rsidRPr="00C12138" w:rsidRDefault="00A77281" w:rsidP="0094733C">
      <w:pPr>
        <w:jc w:val="center"/>
        <w:rPr>
          <w:b/>
          <w:color w:val="68033B"/>
          <w:sz w:val="24"/>
          <w:lang w:val="en-US"/>
        </w:rPr>
      </w:pPr>
      <w:r>
        <w:rPr>
          <w:color w:val="68033B"/>
          <w:sz w:val="24"/>
          <w:lang w:val="en-US"/>
        </w:rPr>
        <w:t>Proposal</w:t>
      </w:r>
      <w:r w:rsidR="0094733C">
        <w:rPr>
          <w:b/>
          <w:color w:val="68033B"/>
          <w:sz w:val="24"/>
          <w:lang w:val="en-US"/>
        </w:rPr>
        <w:br/>
      </w:r>
      <w:r w:rsidRPr="00A77281">
        <w:rPr>
          <w:b/>
          <w:color w:val="68033B"/>
          <w:sz w:val="24"/>
          <w:lang w:val="en-US"/>
        </w:rPr>
        <w:t>Cooperative Multi-Anchor Beam-Steering for Uniform 3D Positioning</w:t>
      </w:r>
    </w:p>
    <w:tbl>
      <w:tblPr>
        <w:tblStyle w:val="TableGrid"/>
        <w:tblW w:w="0" w:type="auto"/>
        <w:tblLook w:val="04A0" w:firstRow="1" w:lastRow="0" w:firstColumn="1" w:lastColumn="0" w:noHBand="0" w:noVBand="1"/>
      </w:tblPr>
      <w:tblGrid>
        <w:gridCol w:w="9062"/>
      </w:tblGrid>
      <w:tr w:rsidR="0094733C" w:rsidRPr="00DF1A74" w14:paraId="4A1519AE" w14:textId="77777777" w:rsidTr="00757A9A">
        <w:tc>
          <w:tcPr>
            <w:tcW w:w="9062" w:type="dxa"/>
          </w:tcPr>
          <w:p w14:paraId="759B92EB" w14:textId="77777777" w:rsidR="0094733C" w:rsidRPr="0094733C" w:rsidRDefault="0094733C" w:rsidP="00757A9A">
            <w:pPr>
              <w:spacing w:before="80"/>
              <w:rPr>
                <w:sz w:val="20"/>
              </w:rPr>
            </w:pPr>
            <w:proofErr w:type="spellStart"/>
            <w:r w:rsidRPr="0094733C">
              <w:rPr>
                <w:b/>
                <w:color w:val="68033B"/>
                <w:sz w:val="20"/>
              </w:rPr>
              <w:t>Research</w:t>
            </w:r>
            <w:proofErr w:type="spellEnd"/>
            <w:r w:rsidRPr="0094733C">
              <w:rPr>
                <w:b/>
                <w:color w:val="68033B"/>
                <w:sz w:val="20"/>
              </w:rPr>
              <w:t xml:space="preserve"> </w:t>
            </w:r>
            <w:proofErr w:type="gramStart"/>
            <w:r w:rsidRPr="0094733C">
              <w:rPr>
                <w:b/>
                <w:color w:val="68033B"/>
                <w:sz w:val="20"/>
              </w:rPr>
              <w:t>Unit:</w:t>
            </w:r>
            <w:proofErr w:type="gramEnd"/>
            <w:r w:rsidRPr="0094733C">
              <w:rPr>
                <w:b/>
                <w:color w:val="68033B"/>
                <w:sz w:val="20"/>
              </w:rPr>
              <w:t xml:space="preserve"> </w:t>
            </w:r>
            <w:r w:rsidRPr="0094733C">
              <w:rPr>
                <w:sz w:val="20"/>
              </w:rPr>
              <w:t>Laboratoire d’Ingénierie des Systèmes de Versailles (LISV, EA4048) – UVSQ.</w:t>
            </w:r>
          </w:p>
          <w:p w14:paraId="6C60453E" w14:textId="77777777" w:rsidR="0094733C" w:rsidRPr="0094733C" w:rsidRDefault="0094733C" w:rsidP="00757A9A">
            <w:pPr>
              <w:rPr>
                <w:sz w:val="20"/>
              </w:rPr>
            </w:pPr>
            <w:r w:rsidRPr="0094733C">
              <w:rPr>
                <w:b/>
                <w:color w:val="68033B"/>
                <w:sz w:val="20"/>
              </w:rPr>
              <w:t xml:space="preserve">Work </w:t>
            </w:r>
            <w:proofErr w:type="gramStart"/>
            <w:r w:rsidRPr="0094733C">
              <w:rPr>
                <w:b/>
                <w:color w:val="68033B"/>
                <w:sz w:val="20"/>
              </w:rPr>
              <w:t>Location:</w:t>
            </w:r>
            <w:proofErr w:type="gramEnd"/>
            <w:r w:rsidRPr="0094733C">
              <w:rPr>
                <w:b/>
                <w:color w:val="68033B"/>
                <w:sz w:val="20"/>
              </w:rPr>
              <w:t xml:space="preserve"> </w:t>
            </w:r>
            <w:r w:rsidRPr="0094733C">
              <w:rPr>
                <w:sz w:val="20"/>
              </w:rPr>
              <w:t>10-12 avenue de l’Europe, Vélizy-Villacoublay, 78140 France.</w:t>
            </w:r>
          </w:p>
          <w:p w14:paraId="444D4FBD" w14:textId="43FCD8F5" w:rsidR="0094733C" w:rsidRPr="00C12138" w:rsidRDefault="0094733C" w:rsidP="00757A9A">
            <w:pPr>
              <w:rPr>
                <w:sz w:val="20"/>
                <w:lang w:val="en-GB"/>
              </w:rPr>
            </w:pPr>
            <w:r w:rsidRPr="00C12138">
              <w:rPr>
                <w:b/>
                <w:color w:val="68033B"/>
                <w:sz w:val="20"/>
                <w:lang w:val="en-GB"/>
              </w:rPr>
              <w:t>University:</w:t>
            </w:r>
            <w:r w:rsidRPr="00C12138">
              <w:rPr>
                <w:lang w:val="en-GB"/>
              </w:rPr>
              <w:t xml:space="preserve"> </w:t>
            </w:r>
            <w:r w:rsidRPr="00C12138">
              <w:rPr>
                <w:sz w:val="20"/>
                <w:lang w:val="en-GB"/>
              </w:rPr>
              <w:t>Paris-</w:t>
            </w:r>
            <w:proofErr w:type="spellStart"/>
            <w:r w:rsidRPr="00C12138">
              <w:rPr>
                <w:sz w:val="20"/>
                <w:lang w:val="en-GB"/>
              </w:rPr>
              <w:t>Saclay</w:t>
            </w:r>
            <w:proofErr w:type="spellEnd"/>
            <w:r w:rsidRPr="00C12138">
              <w:rPr>
                <w:sz w:val="20"/>
                <w:lang w:val="en-GB"/>
              </w:rPr>
              <w:t xml:space="preserve"> University</w:t>
            </w:r>
            <w:r w:rsidR="00631714">
              <w:rPr>
                <w:sz w:val="20"/>
                <w:lang w:val="en-GB"/>
              </w:rPr>
              <w:t>.</w:t>
            </w:r>
          </w:p>
          <w:p w14:paraId="64F8D502" w14:textId="77777777" w:rsidR="0094733C" w:rsidRPr="00C12138" w:rsidRDefault="0094733C" w:rsidP="00757A9A">
            <w:pPr>
              <w:rPr>
                <w:sz w:val="20"/>
                <w:lang w:val="en-GB"/>
              </w:rPr>
            </w:pPr>
          </w:p>
          <w:p w14:paraId="39109547" w14:textId="174A21F5" w:rsidR="0094733C" w:rsidRPr="00C12138" w:rsidRDefault="0094733C" w:rsidP="00757A9A">
            <w:pPr>
              <w:rPr>
                <w:color w:val="68033B"/>
                <w:sz w:val="20"/>
                <w:lang w:val="en-GB"/>
              </w:rPr>
            </w:pPr>
            <w:r w:rsidRPr="00C12138">
              <w:rPr>
                <w:b/>
                <w:color w:val="68033B"/>
                <w:sz w:val="20"/>
                <w:lang w:val="en-GB"/>
              </w:rPr>
              <w:t xml:space="preserve">Duration and Start Date: </w:t>
            </w:r>
            <w:r w:rsidRPr="00C12138">
              <w:rPr>
                <w:sz w:val="20"/>
                <w:lang w:val="en-GB"/>
              </w:rPr>
              <w:t>3</w:t>
            </w:r>
            <w:r w:rsidR="00631714">
              <w:rPr>
                <w:sz w:val="20"/>
                <w:lang w:val="en-GB"/>
              </w:rPr>
              <w:t xml:space="preserve"> months</w:t>
            </w:r>
          </w:p>
          <w:p w14:paraId="4C3B9FAE" w14:textId="77777777" w:rsidR="0094733C" w:rsidRPr="00C12138" w:rsidRDefault="0094733C" w:rsidP="00757A9A">
            <w:pPr>
              <w:rPr>
                <w:b/>
                <w:color w:val="68033B"/>
                <w:sz w:val="20"/>
                <w:lang w:val="en-GB"/>
              </w:rPr>
            </w:pPr>
            <w:r w:rsidRPr="00C12138">
              <w:rPr>
                <w:b/>
                <w:color w:val="68033B"/>
                <w:sz w:val="20"/>
                <w:lang w:val="en-GB"/>
              </w:rPr>
              <w:t xml:space="preserve">Funding Source: </w:t>
            </w:r>
            <w:r w:rsidRPr="00C12138">
              <w:rPr>
                <w:sz w:val="20"/>
                <w:lang w:val="en-GB"/>
              </w:rPr>
              <w:t>European project SNS OPTI-6G.</w:t>
            </w:r>
          </w:p>
          <w:p w14:paraId="2669BCB7" w14:textId="2FD46B03" w:rsidR="0094733C" w:rsidRPr="00C12138" w:rsidRDefault="0094733C" w:rsidP="00757A9A">
            <w:pPr>
              <w:rPr>
                <w:sz w:val="20"/>
                <w:lang w:val="en-GB"/>
              </w:rPr>
            </w:pPr>
            <w:r w:rsidRPr="00C12138">
              <w:rPr>
                <w:b/>
                <w:color w:val="68033B"/>
                <w:sz w:val="20"/>
                <w:lang w:val="en-GB"/>
              </w:rPr>
              <w:t>Possible Collaborations:</w:t>
            </w:r>
            <w:r w:rsidRPr="00C12138">
              <w:rPr>
                <w:sz w:val="20"/>
                <w:lang w:val="en-GB"/>
              </w:rPr>
              <w:t xml:space="preserve"> </w:t>
            </w:r>
            <w:r w:rsidR="00631714" w:rsidRPr="00631714">
              <w:rPr>
                <w:color w:val="EE0000"/>
                <w:sz w:val="20"/>
                <w:lang w:val="en-GB"/>
              </w:rPr>
              <w:t>[</w:t>
            </w:r>
            <w:r w:rsidR="00250ADF">
              <w:rPr>
                <w:color w:val="EE0000"/>
                <w:sz w:val="20"/>
                <w:lang w:val="en-GB"/>
              </w:rPr>
              <w:t>Kevin: st</w:t>
            </w:r>
            <w:r w:rsidR="00631714" w:rsidRPr="00631714">
              <w:rPr>
                <w:color w:val="EE0000"/>
                <w:sz w:val="20"/>
                <w:lang w:val="en-GB"/>
              </w:rPr>
              <w:t>ill open</w:t>
            </w:r>
            <w:r w:rsidR="00250ADF">
              <w:rPr>
                <w:color w:val="EE0000"/>
                <w:sz w:val="20"/>
                <w:lang w:val="en-GB"/>
              </w:rPr>
              <w:t xml:space="preserve">, could be </w:t>
            </w:r>
            <w:r w:rsidRPr="00631714">
              <w:rPr>
                <w:color w:val="EE0000"/>
                <w:sz w:val="20"/>
                <w:lang w:val="en-GB"/>
              </w:rPr>
              <w:t>Brunel University</w:t>
            </w:r>
            <w:r w:rsidR="00631714" w:rsidRPr="00631714">
              <w:rPr>
                <w:color w:val="EE0000"/>
                <w:sz w:val="20"/>
                <w:lang w:val="en-GB"/>
              </w:rPr>
              <w:t>, XXXXX</w:t>
            </w:r>
            <w:r w:rsidR="00250ADF">
              <w:rPr>
                <w:color w:val="EE0000"/>
                <w:sz w:val="20"/>
                <w:lang w:val="en-GB"/>
              </w:rPr>
              <w:t>.]</w:t>
            </w:r>
          </w:p>
          <w:p w14:paraId="41797E8A" w14:textId="77777777" w:rsidR="0094733C" w:rsidRPr="00C12138" w:rsidRDefault="0094733C" w:rsidP="00757A9A">
            <w:pPr>
              <w:rPr>
                <w:b/>
                <w:color w:val="68033B"/>
                <w:sz w:val="20"/>
                <w:lang w:val="en-US"/>
              </w:rPr>
            </w:pPr>
          </w:p>
          <w:p w14:paraId="0BDFC620" w14:textId="4D6D3775" w:rsidR="0094733C" w:rsidRDefault="007E5283" w:rsidP="00757A9A">
            <w:pPr>
              <w:rPr>
                <w:sz w:val="20"/>
                <w:lang w:val="en-US"/>
              </w:rPr>
            </w:pPr>
            <w:r w:rsidRPr="004333CE">
              <w:rPr>
                <w:b/>
                <w:color w:val="68033B"/>
                <w:sz w:val="20"/>
                <w:lang w:val="en-US"/>
              </w:rPr>
              <w:t>Contacts</w:t>
            </w:r>
            <w:r>
              <w:rPr>
                <w:b/>
                <w:color w:val="68033B"/>
                <w:sz w:val="20"/>
                <w:lang w:val="en-US"/>
              </w:rPr>
              <w:t>:</w:t>
            </w:r>
          </w:p>
          <w:p w14:paraId="5FDFA224" w14:textId="0E4B51AE" w:rsidR="00631714" w:rsidRPr="00631714" w:rsidRDefault="00631714" w:rsidP="00631714">
            <w:pPr>
              <w:pStyle w:val="ListParagraph"/>
              <w:numPr>
                <w:ilvl w:val="0"/>
                <w:numId w:val="8"/>
              </w:numPr>
              <w:rPr>
                <w:rStyle w:val="Hyperlink"/>
                <w:color w:val="auto"/>
                <w:sz w:val="20"/>
                <w:u w:val="none"/>
                <w:lang w:val="en-US"/>
              </w:rPr>
            </w:pPr>
            <w:r w:rsidRPr="00631714">
              <w:rPr>
                <w:sz w:val="20"/>
                <w:lang w:val="en-US"/>
              </w:rPr>
              <w:t>Kevin ACUNA</w:t>
            </w:r>
            <w:r w:rsidR="0094733C" w:rsidRPr="00631714">
              <w:rPr>
                <w:sz w:val="20"/>
                <w:lang w:val="en-US"/>
              </w:rPr>
              <w:t>,</w:t>
            </w:r>
            <w:r w:rsidRPr="00631714">
              <w:rPr>
                <w:sz w:val="20"/>
                <w:lang w:val="en-US"/>
              </w:rPr>
              <w:t xml:space="preserve"> PhD. </w:t>
            </w:r>
            <w:r w:rsidR="007E5283" w:rsidRPr="00631714">
              <w:rPr>
                <w:sz w:val="20"/>
                <w:lang w:val="en-US"/>
              </w:rPr>
              <w:t>St</w:t>
            </w:r>
            <w:r w:rsidR="007E5283">
              <w:rPr>
                <w:sz w:val="20"/>
                <w:lang w:val="en-US"/>
              </w:rPr>
              <w:t>udent</w:t>
            </w:r>
            <w:r w:rsidR="007E5283" w:rsidRPr="00631714">
              <w:rPr>
                <w:sz w:val="20"/>
                <w:lang w:val="en-US"/>
              </w:rPr>
              <w:t>:</w:t>
            </w:r>
            <w:r>
              <w:rPr>
                <w:sz w:val="20"/>
                <w:lang w:val="en-US"/>
              </w:rPr>
              <w:t xml:space="preserve"> </w:t>
            </w:r>
            <w:hyperlink r:id="rId7" w:history="1">
              <w:r w:rsidRPr="00414435">
                <w:rPr>
                  <w:rStyle w:val="Hyperlink"/>
                  <w:sz w:val="20"/>
                  <w:lang w:val="en-US"/>
                </w:rPr>
                <w:t>kevin-jose.acuna-condori@universite-paris-saclay.fr</w:t>
              </w:r>
            </w:hyperlink>
          </w:p>
          <w:p w14:paraId="4CEA0D82" w14:textId="5BD8CA67" w:rsidR="00A20532" w:rsidRPr="00631714" w:rsidRDefault="00A20532" w:rsidP="00631714">
            <w:pPr>
              <w:spacing w:after="80"/>
              <w:rPr>
                <w:sz w:val="20"/>
                <w:lang w:val="en-US"/>
              </w:rPr>
            </w:pPr>
          </w:p>
        </w:tc>
      </w:tr>
    </w:tbl>
    <w:p w14:paraId="2686FFCE" w14:textId="77777777" w:rsidR="0094733C" w:rsidRPr="00631714" w:rsidRDefault="0094733C" w:rsidP="0094733C">
      <w:pPr>
        <w:pStyle w:val="ListParagraph"/>
        <w:spacing w:after="0"/>
        <w:rPr>
          <w:sz w:val="20"/>
          <w:lang w:val="en-US"/>
        </w:rPr>
      </w:pPr>
    </w:p>
    <w:p w14:paraId="24104247" w14:textId="00230DE5" w:rsidR="0094733C" w:rsidRPr="00425C89" w:rsidRDefault="00631714" w:rsidP="000173E9">
      <w:pPr>
        <w:pStyle w:val="ListParagraph"/>
        <w:numPr>
          <w:ilvl w:val="0"/>
          <w:numId w:val="14"/>
        </w:numPr>
        <w:rPr>
          <w:b/>
          <w:color w:val="68033B"/>
          <w:sz w:val="20"/>
        </w:rPr>
      </w:pPr>
      <w:proofErr w:type="spellStart"/>
      <w:r>
        <w:rPr>
          <w:b/>
          <w:color w:val="68033B"/>
          <w:sz w:val="20"/>
        </w:rPr>
        <w:t>Proposal</w:t>
      </w:r>
      <w:proofErr w:type="spellEnd"/>
    </w:p>
    <w:p w14:paraId="25BE6C85" w14:textId="1555F1CD" w:rsidR="00A13FF2" w:rsidRDefault="0094733C" w:rsidP="00A13FF2">
      <w:pPr>
        <w:spacing w:after="80"/>
        <w:jc w:val="both"/>
        <w:rPr>
          <w:i/>
          <w:color w:val="68033B"/>
          <w:sz w:val="20"/>
          <w:lang w:val="en-US"/>
        </w:rPr>
      </w:pPr>
      <w:r w:rsidRPr="00D963BA">
        <w:rPr>
          <w:i/>
          <w:color w:val="68033B"/>
          <w:sz w:val="20"/>
          <w:lang w:val="en-US"/>
        </w:rPr>
        <w:t>Problems Addressed</w:t>
      </w:r>
    </w:p>
    <w:p w14:paraId="296FEC50" w14:textId="77777777" w:rsidR="00A13FF2" w:rsidRDefault="00A13FF2" w:rsidP="00A13FF2">
      <w:pPr>
        <w:spacing w:after="80"/>
        <w:jc w:val="both"/>
        <w:rPr>
          <w:sz w:val="20"/>
          <w:szCs w:val="20"/>
          <w:lang w:val="en-US"/>
        </w:rPr>
      </w:pPr>
      <w:r w:rsidRPr="00A13FF2">
        <w:rPr>
          <w:sz w:val="20"/>
          <w:szCs w:val="20"/>
          <w:lang w:val="en-US"/>
        </w:rPr>
        <w:t>Achieving robust three-dimensional (3D) indoor positioning remains a significant technical challenge in Optical Wireless Positioning (OWP). Current state-of-the-art solutions, predominantly based on Multi-Fixed LED (MFL) architectures, face inherent physical limitations when deployed in large-scale environments. The primary issue is the spatial inhomogeneity of the Signal-to-Noise Ratio (SNR); fixed Lambertian sources provide adequate coverage at the room center but suffer from severe path loss and unfavorable irradiance angles at the cell edges. Furthermore, conventional Received Signal Strength (RSS) methods exhibit a critical vulnerability known as orientation-location ambiguity, where device tilt is misinterpreted as a change in distance.</w:t>
      </w:r>
      <w:r>
        <w:rPr>
          <w:sz w:val="20"/>
          <w:szCs w:val="20"/>
          <w:lang w:val="en-US"/>
        </w:rPr>
        <w:t xml:space="preserve"> </w:t>
      </w:r>
    </w:p>
    <w:p w14:paraId="6FE40111" w14:textId="6B2E8B00" w:rsidR="00A13FF2" w:rsidRDefault="00A13FF2" w:rsidP="00A13FF2">
      <w:pPr>
        <w:spacing w:after="80"/>
        <w:jc w:val="both"/>
        <w:rPr>
          <w:sz w:val="20"/>
          <w:szCs w:val="20"/>
          <w:lang w:val="en-US"/>
        </w:rPr>
      </w:pPr>
      <w:r w:rsidRPr="00A13FF2">
        <w:rPr>
          <w:sz w:val="20"/>
          <w:szCs w:val="20"/>
          <w:lang w:val="en-US"/>
        </w:rPr>
        <w:t xml:space="preserve">Although emerging Single Beam-Steered LED (SBL) architectures represent a promising advancement by exploiting </w:t>
      </w:r>
      <w:r>
        <w:rPr>
          <w:sz w:val="20"/>
          <w:szCs w:val="20"/>
          <w:lang w:val="en-US"/>
        </w:rPr>
        <w:t xml:space="preserve">temporal </w:t>
      </w:r>
      <w:r w:rsidRPr="00A13FF2">
        <w:rPr>
          <w:sz w:val="20"/>
          <w:szCs w:val="20"/>
          <w:lang w:val="en-US"/>
        </w:rPr>
        <w:t>angular diversity to resolve this ambiguity, their application in large volumetric spaces presents significant challenges. A centralized single-anchor topology inherently lacks spatial redundancy, making the system highly susceptible to service outages due to blockage and suffering from radial error propagation, where angular uncertainties amplify linearly with the distance from the source.</w:t>
      </w:r>
    </w:p>
    <w:p w14:paraId="01C1F35C" w14:textId="77777777" w:rsidR="004B0559" w:rsidRDefault="004B0559" w:rsidP="00A13FF2">
      <w:pPr>
        <w:spacing w:after="80"/>
        <w:jc w:val="both"/>
        <w:rPr>
          <w:sz w:val="20"/>
          <w:szCs w:val="20"/>
          <w:lang w:val="en-US"/>
        </w:rPr>
      </w:pPr>
    </w:p>
    <w:p w14:paraId="1332A7DE" w14:textId="2FABF6D8" w:rsidR="00A13FF2" w:rsidRPr="001D0991" w:rsidRDefault="00A13FF2" w:rsidP="00A13FF2">
      <w:pPr>
        <w:pStyle w:val="Instructions"/>
        <w:spacing w:after="80" w:line="276" w:lineRule="auto"/>
        <w:ind w:left="0"/>
        <w:rPr>
          <w:rFonts w:asciiTheme="minorHAnsi" w:hAnsiTheme="minorHAnsi" w:cstheme="minorHAnsi"/>
          <w:color w:val="68033B"/>
          <w:sz w:val="20"/>
          <w:szCs w:val="20"/>
          <w:lang w:val="en-US"/>
        </w:rPr>
      </w:pPr>
      <w:r>
        <w:rPr>
          <w:rFonts w:asciiTheme="minorHAnsi" w:hAnsiTheme="minorHAnsi" w:cstheme="minorHAnsi"/>
          <w:color w:val="68033B"/>
          <w:sz w:val="20"/>
          <w:szCs w:val="20"/>
          <w:lang w:val="en-US"/>
        </w:rPr>
        <w:t>Motivation</w:t>
      </w:r>
    </w:p>
    <w:p w14:paraId="3D65074A" w14:textId="3553EE36" w:rsidR="004B0559" w:rsidRPr="00B964C3" w:rsidRDefault="00B964C3" w:rsidP="00A13FF2">
      <w:pPr>
        <w:pStyle w:val="Instructions"/>
        <w:spacing w:after="80" w:line="276" w:lineRule="auto"/>
        <w:ind w:left="0"/>
        <w:rPr>
          <w:rFonts w:asciiTheme="minorHAnsi" w:eastAsiaTheme="minorHAnsi" w:hAnsiTheme="minorHAnsi" w:cstheme="minorBidi"/>
          <w:i w:val="0"/>
          <w:color w:val="auto"/>
          <w:sz w:val="20"/>
          <w:szCs w:val="20"/>
          <w:lang w:val="en-US" w:eastAsia="en-US"/>
        </w:rPr>
      </w:pPr>
      <w:r w:rsidRPr="00B964C3">
        <w:rPr>
          <w:rFonts w:asciiTheme="minorHAnsi" w:eastAsiaTheme="minorHAnsi" w:hAnsiTheme="minorHAnsi" w:cstheme="minorBidi"/>
          <w:i w:val="0"/>
          <w:color w:val="auto"/>
          <w:sz w:val="20"/>
          <w:szCs w:val="20"/>
          <w:lang w:val="en-US" w:eastAsia="en-US"/>
        </w:rPr>
        <w:t>The motivation of this research is to explore the fundamental performance limits of current 3D positioning estimation using traditional fixed configurations (MFL) and to benchmark these against Beam-Steered LED architectures. A critical objective is to identify and optimize the fusion methodologies required when scaling from a single source to a cooperative multi-anchor system, herein referred to as the MBL architecture. This investigation will follow a phased approach, commencing with comprehensive theoretical simulations and progressing to experimental validation. Notably, the comprehensive characterization of the MFL baseline</w:t>
      </w:r>
      <w:r>
        <w:rPr>
          <w:rFonts w:asciiTheme="minorHAnsi" w:eastAsiaTheme="minorHAnsi" w:hAnsiTheme="minorHAnsi" w:cstheme="minorBidi"/>
          <w:i w:val="0"/>
          <w:color w:val="auto"/>
          <w:sz w:val="20"/>
          <w:szCs w:val="20"/>
          <w:lang w:val="en-US" w:eastAsia="en-US"/>
        </w:rPr>
        <w:t xml:space="preserve">, </w:t>
      </w:r>
      <w:r w:rsidRPr="00B964C3">
        <w:rPr>
          <w:rFonts w:asciiTheme="minorHAnsi" w:eastAsiaTheme="minorHAnsi" w:hAnsiTheme="minorHAnsi" w:cstheme="minorBidi"/>
          <w:i w:val="0"/>
          <w:color w:val="auto"/>
          <w:sz w:val="20"/>
          <w:szCs w:val="20"/>
          <w:lang w:val="en-US" w:eastAsia="en-US"/>
        </w:rPr>
        <w:t>encompassing both theoretical simulation and experimental trials</w:t>
      </w:r>
      <w:r>
        <w:rPr>
          <w:rFonts w:asciiTheme="minorHAnsi" w:eastAsiaTheme="minorHAnsi" w:hAnsiTheme="minorHAnsi" w:cstheme="minorBidi"/>
          <w:i w:val="0"/>
          <w:color w:val="auto"/>
          <w:sz w:val="20"/>
          <w:szCs w:val="20"/>
          <w:lang w:val="en-US" w:eastAsia="en-US"/>
        </w:rPr>
        <w:t xml:space="preserve">, </w:t>
      </w:r>
      <w:r w:rsidRPr="00B964C3">
        <w:rPr>
          <w:rFonts w:asciiTheme="minorHAnsi" w:eastAsiaTheme="minorHAnsi" w:hAnsiTheme="minorHAnsi" w:cstheme="minorBidi"/>
          <w:i w:val="0"/>
          <w:color w:val="EE0000"/>
          <w:sz w:val="20"/>
          <w:szCs w:val="20"/>
          <w:lang w:val="en-US" w:eastAsia="en-US"/>
        </w:rPr>
        <w:t>presents a strategic opportunity for external collaboration with research groups possessing established fixed-LED testbeds.</w:t>
      </w:r>
    </w:p>
    <w:p w14:paraId="58D3C275" w14:textId="77777777" w:rsidR="00B964C3" w:rsidRPr="00B964C3" w:rsidRDefault="00B964C3" w:rsidP="00A13FF2">
      <w:pPr>
        <w:pStyle w:val="Instructions"/>
        <w:spacing w:after="80" w:line="276" w:lineRule="auto"/>
        <w:ind w:left="0"/>
        <w:rPr>
          <w:rFonts w:asciiTheme="minorHAnsi" w:eastAsiaTheme="minorHAnsi" w:hAnsiTheme="minorHAnsi" w:cstheme="minorBidi"/>
          <w:i w:val="0"/>
          <w:color w:val="auto"/>
          <w:sz w:val="20"/>
          <w:szCs w:val="20"/>
          <w:lang w:val="en-US" w:eastAsia="en-US"/>
        </w:rPr>
      </w:pPr>
    </w:p>
    <w:p w14:paraId="4679156C" w14:textId="6E5F215E" w:rsidR="00A13FF2" w:rsidRPr="00074EA6" w:rsidRDefault="00A13FF2" w:rsidP="00A13FF2">
      <w:pPr>
        <w:pStyle w:val="Instructions"/>
        <w:spacing w:after="80" w:line="276" w:lineRule="auto"/>
        <w:ind w:left="0"/>
        <w:rPr>
          <w:rFonts w:asciiTheme="minorHAnsi" w:hAnsiTheme="minorHAnsi" w:cstheme="minorHAnsi"/>
          <w:color w:val="68033B"/>
          <w:sz w:val="20"/>
          <w:szCs w:val="20"/>
          <w:lang w:val="es-PE"/>
        </w:rPr>
      </w:pPr>
      <w:proofErr w:type="spellStart"/>
      <w:r w:rsidRPr="00074EA6">
        <w:rPr>
          <w:rFonts w:asciiTheme="minorHAnsi" w:hAnsiTheme="minorHAnsi" w:cstheme="minorHAnsi"/>
          <w:color w:val="68033B"/>
          <w:sz w:val="20"/>
          <w:szCs w:val="20"/>
          <w:lang w:val="es-PE"/>
        </w:rPr>
        <w:t>Solution</w:t>
      </w:r>
      <w:proofErr w:type="spellEnd"/>
      <w:r w:rsidRPr="00074EA6">
        <w:rPr>
          <w:rFonts w:asciiTheme="minorHAnsi" w:hAnsiTheme="minorHAnsi" w:cstheme="minorHAnsi"/>
          <w:color w:val="68033B"/>
          <w:sz w:val="20"/>
          <w:szCs w:val="20"/>
          <w:lang w:val="es-PE"/>
        </w:rPr>
        <w:t xml:space="preserve"> </w:t>
      </w:r>
      <w:proofErr w:type="spellStart"/>
      <w:r w:rsidRPr="00074EA6">
        <w:rPr>
          <w:rFonts w:asciiTheme="minorHAnsi" w:hAnsiTheme="minorHAnsi" w:cstheme="minorHAnsi"/>
          <w:color w:val="68033B"/>
          <w:sz w:val="20"/>
          <w:szCs w:val="20"/>
          <w:lang w:val="es-PE"/>
        </w:rPr>
        <w:t>Proposed</w:t>
      </w:r>
      <w:proofErr w:type="spellEnd"/>
    </w:p>
    <w:p w14:paraId="1EC8C297" w14:textId="5E258AEB" w:rsidR="00074EA6" w:rsidRDefault="00074EA6" w:rsidP="00C951B2">
      <w:pPr>
        <w:pStyle w:val="Default"/>
        <w:spacing w:after="80" w:line="276" w:lineRule="auto"/>
        <w:jc w:val="both"/>
        <w:rPr>
          <w:sz w:val="20"/>
          <w:szCs w:val="20"/>
          <w:lang w:val="en-US"/>
        </w:rPr>
      </w:pPr>
      <w:r w:rsidRPr="00074EA6">
        <w:rPr>
          <w:sz w:val="20"/>
          <w:szCs w:val="20"/>
          <w:lang w:val="en-US"/>
        </w:rPr>
        <w:t xml:space="preserve">To overcome the </w:t>
      </w:r>
      <w:proofErr w:type="gramStart"/>
      <w:r w:rsidRPr="00074EA6">
        <w:rPr>
          <w:sz w:val="20"/>
          <w:szCs w:val="20"/>
          <w:lang w:val="en-US"/>
        </w:rPr>
        <w:t>aforementioned limitations</w:t>
      </w:r>
      <w:proofErr w:type="gramEnd"/>
      <w:r w:rsidRPr="00074EA6">
        <w:rPr>
          <w:sz w:val="20"/>
          <w:szCs w:val="20"/>
          <w:lang w:val="en-US"/>
        </w:rPr>
        <w:t>, this research proposes a novel Distributed Multi-Anchor Beam-Steering (MBL) framework. Unlike centralized approaches, this solution deploys a network of independent beam-steering anchors operating in an asynchronous scanning mode. By aggregating local angular estimates through a geometric fusion strategy, the system aims to achieve uniform 3D positioning accuracy.</w:t>
      </w:r>
    </w:p>
    <w:p w14:paraId="55D42977" w14:textId="77777777" w:rsidR="00074EA6" w:rsidRDefault="00074EA6" w:rsidP="00C951B2">
      <w:pPr>
        <w:pStyle w:val="Default"/>
        <w:spacing w:after="80" w:line="276" w:lineRule="auto"/>
        <w:jc w:val="both"/>
        <w:rPr>
          <w:sz w:val="20"/>
          <w:szCs w:val="20"/>
          <w:lang w:val="en-US"/>
        </w:rPr>
      </w:pPr>
    </w:p>
    <w:p w14:paraId="0235E5CD" w14:textId="77777777" w:rsidR="00074EA6" w:rsidRDefault="00074EA6" w:rsidP="00C951B2">
      <w:pPr>
        <w:pStyle w:val="Default"/>
        <w:spacing w:after="80" w:line="276" w:lineRule="auto"/>
        <w:jc w:val="both"/>
        <w:rPr>
          <w:sz w:val="20"/>
          <w:szCs w:val="20"/>
          <w:lang w:val="en-US"/>
        </w:rPr>
      </w:pPr>
      <w:r w:rsidRPr="00074EA6">
        <w:rPr>
          <w:sz w:val="20"/>
          <w:szCs w:val="20"/>
          <w:lang w:val="en-US"/>
        </w:rPr>
        <w:lastRenderedPageBreak/>
        <w:t>To rigorously benchmark the efficacy of this proposal, the study will conduct a comparative performance analysis of three distinct architectures:</w:t>
      </w:r>
    </w:p>
    <w:p w14:paraId="051D463F" w14:textId="08961F28" w:rsidR="00C951B2" w:rsidRPr="00C951B2" w:rsidRDefault="00C951B2" w:rsidP="00C951B2">
      <w:pPr>
        <w:pStyle w:val="Default"/>
        <w:spacing w:after="80" w:line="276" w:lineRule="auto"/>
        <w:jc w:val="both"/>
        <w:rPr>
          <w:b/>
          <w:bCs/>
          <w:sz w:val="20"/>
          <w:szCs w:val="20"/>
          <w:lang w:val="en-US"/>
        </w:rPr>
      </w:pPr>
      <w:r w:rsidRPr="00C951B2">
        <w:rPr>
          <w:b/>
          <w:bCs/>
          <w:sz w:val="20"/>
          <w:szCs w:val="20"/>
          <w:lang w:val="en-US"/>
        </w:rPr>
        <w:t>A. Architecture I: Multi-Fixed LED (MFL) - The Baseline</w:t>
      </w:r>
      <w:r w:rsidR="00250ADF" w:rsidRPr="00250ADF">
        <w:rPr>
          <w:b/>
          <w:bCs/>
          <w:sz w:val="20"/>
          <w:szCs w:val="20"/>
          <w:lang w:val="en-US"/>
        </w:rPr>
        <w:t xml:space="preserve"> </w:t>
      </w:r>
      <w:r w:rsidR="00250ADF" w:rsidRPr="00250ADF">
        <w:rPr>
          <w:color w:val="EE0000"/>
          <w:sz w:val="20"/>
          <w:szCs w:val="20"/>
          <w:lang w:val="en-US"/>
        </w:rPr>
        <w:t>[Kevin: Interesting to explore the limits of 3D estimation with this architecture]</w:t>
      </w:r>
    </w:p>
    <w:p w14:paraId="4F1C89D2" w14:textId="0A383ED0" w:rsidR="00C951B2" w:rsidRPr="00C951B2" w:rsidRDefault="00C951B2" w:rsidP="00C951B2">
      <w:pPr>
        <w:pStyle w:val="Default"/>
        <w:numPr>
          <w:ilvl w:val="0"/>
          <w:numId w:val="15"/>
        </w:numPr>
        <w:spacing w:after="80" w:line="276" w:lineRule="auto"/>
        <w:jc w:val="both"/>
        <w:rPr>
          <w:sz w:val="20"/>
          <w:szCs w:val="20"/>
          <w:lang w:val="en-US"/>
        </w:rPr>
      </w:pPr>
      <w:r w:rsidRPr="00C951B2">
        <w:rPr>
          <w:b/>
          <w:bCs/>
          <w:sz w:val="20"/>
          <w:szCs w:val="20"/>
          <w:lang w:val="en-US"/>
        </w:rPr>
        <w:t>Configuration:</w:t>
      </w:r>
      <w:r w:rsidRPr="00C951B2">
        <w:rPr>
          <w:sz w:val="20"/>
          <w:szCs w:val="20"/>
          <w:lang w:val="en-US"/>
        </w:rPr>
        <w:t xml:space="preserve"> 4</w:t>
      </w:r>
      <w:r>
        <w:rPr>
          <w:sz w:val="20"/>
          <w:szCs w:val="20"/>
          <w:lang w:val="en-US"/>
        </w:rPr>
        <w:t xml:space="preserve"> and 6</w:t>
      </w:r>
      <w:r w:rsidRPr="00C951B2">
        <w:rPr>
          <w:sz w:val="20"/>
          <w:szCs w:val="20"/>
          <w:lang w:val="en-US"/>
        </w:rPr>
        <w:t xml:space="preserve"> fixed Lambertian LEDs located at the ceiling corners or in a symmetric grid.</w:t>
      </w:r>
    </w:p>
    <w:p w14:paraId="14E01A34" w14:textId="5EEFFC95" w:rsidR="00C951B2" w:rsidRPr="00C951B2" w:rsidRDefault="00C951B2" w:rsidP="00C951B2">
      <w:pPr>
        <w:pStyle w:val="Default"/>
        <w:numPr>
          <w:ilvl w:val="0"/>
          <w:numId w:val="15"/>
        </w:numPr>
        <w:spacing w:after="80" w:line="276" w:lineRule="auto"/>
        <w:jc w:val="both"/>
        <w:rPr>
          <w:sz w:val="20"/>
          <w:szCs w:val="20"/>
          <w:lang w:val="en-US"/>
        </w:rPr>
      </w:pPr>
      <w:r w:rsidRPr="00C951B2">
        <w:rPr>
          <w:b/>
          <w:bCs/>
          <w:sz w:val="20"/>
          <w:szCs w:val="20"/>
          <w:lang w:val="en-US"/>
        </w:rPr>
        <w:t>Method:</w:t>
      </w:r>
      <w:r w:rsidRPr="00C951B2">
        <w:rPr>
          <w:sz w:val="20"/>
          <w:szCs w:val="20"/>
          <w:lang w:val="en-US"/>
        </w:rPr>
        <w:t xml:space="preserve"> RSS-based trilateration using </w:t>
      </w:r>
      <w:r w:rsidRPr="00C951B2">
        <w:rPr>
          <w:b/>
          <w:bCs/>
          <w:sz w:val="20"/>
          <w:szCs w:val="20"/>
          <w:lang w:val="en-US"/>
        </w:rPr>
        <w:t>Non-Linear Least Squares (NLLS)</w:t>
      </w:r>
      <w:r w:rsidRPr="00C951B2">
        <w:rPr>
          <w:sz w:val="20"/>
          <w:szCs w:val="20"/>
          <w:lang w:val="en-US"/>
        </w:rPr>
        <w:t xml:space="preserve"> optimization</w:t>
      </w:r>
      <w:r w:rsidR="00546DA2" w:rsidRPr="00546DA2">
        <w:rPr>
          <w:sz w:val="20"/>
          <w:szCs w:val="20"/>
          <w:lang w:val="en-US"/>
        </w:rPr>
        <w:t>.</w:t>
      </w:r>
    </w:p>
    <w:p w14:paraId="3C88E5C5" w14:textId="5BE61E67" w:rsidR="00A2305A" w:rsidRPr="00C951B2" w:rsidRDefault="00C951B2" w:rsidP="00300D91">
      <w:pPr>
        <w:pStyle w:val="Default"/>
        <w:numPr>
          <w:ilvl w:val="0"/>
          <w:numId w:val="15"/>
        </w:numPr>
        <w:spacing w:after="80" w:line="276" w:lineRule="auto"/>
        <w:jc w:val="both"/>
        <w:rPr>
          <w:sz w:val="20"/>
          <w:szCs w:val="20"/>
          <w:lang w:val="en-US"/>
        </w:rPr>
      </w:pPr>
      <w:r w:rsidRPr="00C951B2">
        <w:rPr>
          <w:b/>
          <w:bCs/>
          <w:sz w:val="20"/>
          <w:szCs w:val="20"/>
          <w:lang w:val="en-US"/>
        </w:rPr>
        <w:t>Role:</w:t>
      </w:r>
      <w:r w:rsidRPr="00C951B2">
        <w:rPr>
          <w:sz w:val="20"/>
          <w:szCs w:val="20"/>
          <w:lang w:val="en-US"/>
        </w:rPr>
        <w:t xml:space="preserve"> </w:t>
      </w:r>
      <w:r w:rsidR="00A2305A" w:rsidRPr="00A2305A">
        <w:rPr>
          <w:sz w:val="20"/>
          <w:szCs w:val="20"/>
          <w:lang w:val="en-US"/>
        </w:rPr>
        <w:t xml:space="preserve">Represents the current industry standard benchmark. It serves to quantify the degradation in positioning accuracy at the room edges and the system's sensitivity to </w:t>
      </w:r>
      <w:r w:rsidR="00A2305A" w:rsidRPr="00A2305A">
        <w:rPr>
          <w:sz w:val="20"/>
          <w:szCs w:val="20"/>
          <w:u w:val="single"/>
          <w:lang w:val="en-US"/>
        </w:rPr>
        <w:t>orientation-location ambiguity</w:t>
      </w:r>
      <w:r w:rsidR="00A2305A" w:rsidRPr="00A2305A">
        <w:rPr>
          <w:sz w:val="20"/>
          <w:szCs w:val="20"/>
          <w:lang w:val="en-US"/>
        </w:rPr>
        <w:t xml:space="preserve"> when the UE is tilted.</w:t>
      </w:r>
    </w:p>
    <w:p w14:paraId="3AC0084D" w14:textId="77777777" w:rsidR="00C951B2" w:rsidRPr="00C951B2" w:rsidRDefault="00C951B2" w:rsidP="00C951B2">
      <w:pPr>
        <w:pStyle w:val="Default"/>
        <w:spacing w:after="80" w:line="276" w:lineRule="auto"/>
        <w:jc w:val="both"/>
        <w:rPr>
          <w:b/>
          <w:bCs/>
          <w:sz w:val="20"/>
          <w:szCs w:val="20"/>
          <w:lang w:val="en-US"/>
        </w:rPr>
      </w:pPr>
      <w:r w:rsidRPr="00C951B2">
        <w:rPr>
          <w:b/>
          <w:bCs/>
          <w:sz w:val="20"/>
          <w:szCs w:val="20"/>
          <w:lang w:val="en-US"/>
        </w:rPr>
        <w:t>B. Architecture II: Single Beam-Steered LED (SBL) - The Specialist</w:t>
      </w:r>
    </w:p>
    <w:p w14:paraId="740B4FB5" w14:textId="77777777" w:rsidR="00C951B2" w:rsidRPr="00C951B2" w:rsidRDefault="00C951B2" w:rsidP="00C951B2">
      <w:pPr>
        <w:pStyle w:val="Default"/>
        <w:numPr>
          <w:ilvl w:val="0"/>
          <w:numId w:val="16"/>
        </w:numPr>
        <w:spacing w:after="80" w:line="276" w:lineRule="auto"/>
        <w:jc w:val="both"/>
        <w:rPr>
          <w:sz w:val="20"/>
          <w:szCs w:val="20"/>
          <w:lang w:val="en-US"/>
        </w:rPr>
      </w:pPr>
      <w:r w:rsidRPr="00C951B2">
        <w:rPr>
          <w:b/>
          <w:bCs/>
          <w:sz w:val="20"/>
          <w:szCs w:val="20"/>
          <w:lang w:val="en-US"/>
        </w:rPr>
        <w:t>Configuration:</w:t>
      </w:r>
      <w:r w:rsidRPr="00C951B2">
        <w:rPr>
          <w:sz w:val="20"/>
          <w:szCs w:val="20"/>
          <w:lang w:val="en-US"/>
        </w:rPr>
        <w:t xml:space="preserve"> A single SBL unit located at the center of the ceiling.</w:t>
      </w:r>
    </w:p>
    <w:p w14:paraId="70FDB582" w14:textId="0266A834" w:rsidR="00C951B2" w:rsidRPr="00C951B2" w:rsidRDefault="00C951B2" w:rsidP="00C951B2">
      <w:pPr>
        <w:pStyle w:val="Default"/>
        <w:numPr>
          <w:ilvl w:val="0"/>
          <w:numId w:val="16"/>
        </w:numPr>
        <w:spacing w:after="80" w:line="276" w:lineRule="auto"/>
        <w:jc w:val="both"/>
        <w:rPr>
          <w:sz w:val="20"/>
          <w:szCs w:val="20"/>
          <w:lang w:val="en-US"/>
        </w:rPr>
      </w:pPr>
      <w:r w:rsidRPr="00C951B2">
        <w:rPr>
          <w:b/>
          <w:bCs/>
          <w:sz w:val="20"/>
          <w:szCs w:val="20"/>
          <w:lang w:val="en-US"/>
        </w:rPr>
        <w:t>Method:</w:t>
      </w:r>
      <w:r w:rsidRPr="00C951B2">
        <w:rPr>
          <w:sz w:val="20"/>
          <w:szCs w:val="20"/>
          <w:lang w:val="en-US"/>
        </w:rPr>
        <w:t xml:space="preserve"> A standalone Generalized Least Squares (GLS) estimator, as validated in previous work (TCOM).</w:t>
      </w:r>
      <w:r w:rsidR="00877153">
        <w:rPr>
          <w:sz w:val="20"/>
          <w:szCs w:val="20"/>
          <w:lang w:val="en-US"/>
        </w:rPr>
        <w:t xml:space="preserve"> </w:t>
      </w:r>
      <w:r w:rsidR="00877153" w:rsidRPr="00877153">
        <w:rPr>
          <w:sz w:val="20"/>
          <w:szCs w:val="20"/>
          <w:lang w:val="en-US"/>
        </w:rPr>
        <w:t>This method records the RSS vector corresponding to K</w:t>
      </w:r>
      <w:r w:rsidR="00877153">
        <w:rPr>
          <w:sz w:val="20"/>
          <w:szCs w:val="20"/>
          <w:lang w:val="en-US"/>
        </w:rPr>
        <w:t xml:space="preserve"> </w:t>
      </w:r>
      <w:r w:rsidR="00877153" w:rsidRPr="00877153">
        <w:rPr>
          <w:sz w:val="20"/>
          <w:szCs w:val="20"/>
          <w:lang w:val="en-US"/>
        </w:rPr>
        <w:t xml:space="preserve">distinct sequential beam orientations. By exploiting this </w:t>
      </w:r>
      <w:r w:rsidR="00877153" w:rsidRPr="00877153">
        <w:rPr>
          <w:sz w:val="20"/>
          <w:szCs w:val="20"/>
          <w:u w:val="single"/>
          <w:lang w:val="en-US"/>
        </w:rPr>
        <w:t>temporal angular diversity</w:t>
      </w:r>
      <w:r w:rsidR="00C23511">
        <w:rPr>
          <w:sz w:val="20"/>
          <w:szCs w:val="20"/>
          <w:lang w:val="en-US"/>
        </w:rPr>
        <w:t xml:space="preserve">, </w:t>
      </w:r>
      <w:r w:rsidR="00C23511" w:rsidRPr="00C23511">
        <w:rPr>
          <w:sz w:val="20"/>
          <w:szCs w:val="20"/>
          <w:lang w:val="en-US"/>
        </w:rPr>
        <w:t>the algorithm estimates the direction and distance to the UE</w:t>
      </w:r>
      <w:r w:rsidR="00C23511">
        <w:rPr>
          <w:sz w:val="20"/>
          <w:szCs w:val="20"/>
          <w:lang w:val="en-US"/>
        </w:rPr>
        <w:t xml:space="preserve">. </w:t>
      </w:r>
      <w:r w:rsidR="00C23511" w:rsidRPr="00C23511">
        <w:rPr>
          <w:sz w:val="20"/>
          <w:szCs w:val="20"/>
          <w:lang w:val="en-US"/>
        </w:rPr>
        <w:t>This formulation treats the receiver's tilt as a common scaling factor across the K measurements, making the position estimation invariant to the UE’s orientation (i.e., it inherently cancels the tilt effect) without needing to explicitly estimate the tilt angle.</w:t>
      </w:r>
    </w:p>
    <w:p w14:paraId="103D8C4F" w14:textId="3FA83409" w:rsidR="00A2305A" w:rsidRPr="00C951B2" w:rsidRDefault="00C951B2" w:rsidP="0082372B">
      <w:pPr>
        <w:pStyle w:val="Default"/>
        <w:numPr>
          <w:ilvl w:val="0"/>
          <w:numId w:val="16"/>
        </w:numPr>
        <w:spacing w:after="80" w:line="276" w:lineRule="auto"/>
        <w:jc w:val="both"/>
        <w:rPr>
          <w:sz w:val="20"/>
          <w:szCs w:val="20"/>
          <w:lang w:val="en-US"/>
        </w:rPr>
      </w:pPr>
      <w:r w:rsidRPr="00C951B2">
        <w:rPr>
          <w:b/>
          <w:bCs/>
          <w:sz w:val="20"/>
          <w:szCs w:val="20"/>
          <w:lang w:val="en-US"/>
        </w:rPr>
        <w:t>Role:</w:t>
      </w:r>
      <w:r w:rsidRPr="00C951B2">
        <w:rPr>
          <w:sz w:val="20"/>
          <w:szCs w:val="20"/>
          <w:lang w:val="en-US"/>
        </w:rPr>
        <w:t xml:space="preserve"> </w:t>
      </w:r>
      <w:r w:rsidR="00A2305A" w:rsidRPr="00A2305A">
        <w:rPr>
          <w:sz w:val="20"/>
          <w:szCs w:val="20"/>
          <w:lang w:val="en-US"/>
        </w:rPr>
        <w:t>Validates the efficacy of the GLS algorithm in resolving the orientation-location ambiguity using a single source. However, it highlights the physical limitations of a centralized topology: radial error growth (where angular uncertainties amplify with distance) and high susceptibility to service outages due to blockage (Single Point of Failure</w:t>
      </w:r>
      <w:r w:rsidR="00877153">
        <w:rPr>
          <w:sz w:val="20"/>
          <w:szCs w:val="20"/>
          <w:lang w:val="en-US"/>
        </w:rPr>
        <w:t xml:space="preserve"> due to lack of </w:t>
      </w:r>
      <w:r w:rsidR="00877153" w:rsidRPr="00877153">
        <w:rPr>
          <w:sz w:val="20"/>
          <w:szCs w:val="20"/>
          <w:u w:val="single"/>
          <w:lang w:val="en-US"/>
        </w:rPr>
        <w:t>spatial redundancy</w:t>
      </w:r>
      <w:r w:rsidR="00A2305A" w:rsidRPr="00A2305A">
        <w:rPr>
          <w:sz w:val="20"/>
          <w:szCs w:val="20"/>
          <w:lang w:val="en-US"/>
        </w:rPr>
        <w:t>).</w:t>
      </w:r>
    </w:p>
    <w:p w14:paraId="55964106" w14:textId="4BA996B0" w:rsidR="00C951B2" w:rsidRPr="00C951B2" w:rsidRDefault="00C951B2" w:rsidP="00074EA6">
      <w:pPr>
        <w:pStyle w:val="Default"/>
        <w:spacing w:after="80" w:line="276" w:lineRule="auto"/>
        <w:ind w:left="708" w:hanging="708"/>
        <w:jc w:val="both"/>
        <w:rPr>
          <w:b/>
          <w:bCs/>
          <w:sz w:val="20"/>
          <w:szCs w:val="20"/>
          <w:lang w:val="en-US"/>
        </w:rPr>
      </w:pPr>
      <w:r w:rsidRPr="00C951B2">
        <w:rPr>
          <w:b/>
          <w:bCs/>
          <w:sz w:val="20"/>
          <w:szCs w:val="20"/>
          <w:lang w:val="en-US"/>
        </w:rPr>
        <w:t xml:space="preserve">C. Architecture III: </w:t>
      </w:r>
      <w:r w:rsidR="00DF1A74" w:rsidRPr="00DF1A74">
        <w:rPr>
          <w:b/>
          <w:bCs/>
          <w:sz w:val="20"/>
          <w:szCs w:val="20"/>
          <w:lang w:val="en-US"/>
        </w:rPr>
        <w:t>Distributed Multi-Anchor Beam-Steering</w:t>
      </w:r>
      <w:r w:rsidR="00DF1A74" w:rsidRPr="00DF1A74">
        <w:rPr>
          <w:b/>
          <w:bCs/>
          <w:sz w:val="20"/>
          <w:szCs w:val="20"/>
          <w:lang w:val="en-US"/>
        </w:rPr>
        <w:t xml:space="preserve"> </w:t>
      </w:r>
      <w:r w:rsidRPr="00C951B2">
        <w:rPr>
          <w:b/>
          <w:bCs/>
          <w:sz w:val="20"/>
          <w:szCs w:val="20"/>
          <w:lang w:val="en-US"/>
        </w:rPr>
        <w:t>(MBL) - The Proposal</w:t>
      </w:r>
      <w:r w:rsidR="007E5283">
        <w:rPr>
          <w:b/>
          <w:bCs/>
          <w:sz w:val="20"/>
          <w:szCs w:val="20"/>
          <w:lang w:val="en-US"/>
        </w:rPr>
        <w:t xml:space="preserve"> </w:t>
      </w:r>
      <w:r w:rsidR="007E5283" w:rsidRPr="00250ADF">
        <w:rPr>
          <w:color w:val="EE0000"/>
          <w:sz w:val="20"/>
          <w:szCs w:val="20"/>
          <w:lang w:val="en-US"/>
        </w:rPr>
        <w:t xml:space="preserve">[Kevin: </w:t>
      </w:r>
      <w:r w:rsidR="00074EA6" w:rsidRPr="00074EA6">
        <w:rPr>
          <w:color w:val="EE0000"/>
          <w:sz w:val="20"/>
          <w:szCs w:val="20"/>
          <w:lang w:val="en-US"/>
        </w:rPr>
        <w:t>This is the extension of our SBL method, but adapted for cooperative SBL</w:t>
      </w:r>
      <w:r w:rsidR="00074EA6">
        <w:rPr>
          <w:color w:val="EE0000"/>
          <w:sz w:val="20"/>
          <w:szCs w:val="20"/>
          <w:lang w:val="en-US"/>
        </w:rPr>
        <w:t>]</w:t>
      </w:r>
    </w:p>
    <w:p w14:paraId="0049565B" w14:textId="0C90F37E" w:rsidR="00C951B2" w:rsidRPr="00C951B2" w:rsidRDefault="00C951B2" w:rsidP="00C951B2">
      <w:pPr>
        <w:pStyle w:val="Default"/>
        <w:numPr>
          <w:ilvl w:val="0"/>
          <w:numId w:val="17"/>
        </w:numPr>
        <w:spacing w:after="80" w:line="276" w:lineRule="auto"/>
        <w:jc w:val="both"/>
        <w:rPr>
          <w:sz w:val="20"/>
          <w:szCs w:val="20"/>
          <w:lang w:val="en-US"/>
        </w:rPr>
      </w:pPr>
      <w:r w:rsidRPr="00C951B2">
        <w:rPr>
          <w:b/>
          <w:bCs/>
          <w:sz w:val="20"/>
          <w:szCs w:val="20"/>
          <w:lang w:val="en-US"/>
        </w:rPr>
        <w:t>Configuration:</w:t>
      </w:r>
      <w:r w:rsidRPr="00C951B2">
        <w:rPr>
          <w:sz w:val="20"/>
          <w:szCs w:val="20"/>
          <w:lang w:val="en-US"/>
        </w:rPr>
        <w:t xml:space="preserve"> </w:t>
      </w:r>
      <w:r w:rsidR="00A06305">
        <w:rPr>
          <w:sz w:val="20"/>
          <w:szCs w:val="20"/>
          <w:lang w:val="en-US"/>
        </w:rPr>
        <w:t>≥2</w:t>
      </w:r>
      <w:r w:rsidRPr="00C951B2">
        <w:rPr>
          <w:sz w:val="20"/>
          <w:szCs w:val="20"/>
          <w:lang w:val="en-US"/>
        </w:rPr>
        <w:t xml:space="preserve"> independent SBL units located in a symmetric grid.</w:t>
      </w:r>
    </w:p>
    <w:p w14:paraId="18828600" w14:textId="65EDE597" w:rsidR="00C951B2" w:rsidRPr="00C951B2" w:rsidRDefault="00C951B2" w:rsidP="00C951B2">
      <w:pPr>
        <w:pStyle w:val="Default"/>
        <w:numPr>
          <w:ilvl w:val="0"/>
          <w:numId w:val="17"/>
        </w:numPr>
        <w:spacing w:after="80" w:line="276" w:lineRule="auto"/>
        <w:jc w:val="both"/>
        <w:rPr>
          <w:sz w:val="20"/>
          <w:szCs w:val="20"/>
          <w:lang w:val="en-US"/>
        </w:rPr>
      </w:pPr>
      <w:r w:rsidRPr="00C951B2">
        <w:rPr>
          <w:b/>
          <w:bCs/>
          <w:sz w:val="20"/>
          <w:szCs w:val="20"/>
          <w:lang w:val="en-US"/>
        </w:rPr>
        <w:t>Operation Mode:</w:t>
      </w:r>
      <w:r w:rsidRPr="00C951B2">
        <w:rPr>
          <w:sz w:val="20"/>
          <w:szCs w:val="20"/>
          <w:lang w:val="en-US"/>
        </w:rPr>
        <w:t xml:space="preserve"> Asynchronous Spatial Scanning.</w:t>
      </w:r>
      <w:r w:rsidR="00A06305">
        <w:rPr>
          <w:sz w:val="20"/>
          <w:szCs w:val="20"/>
          <w:lang w:val="en-US"/>
        </w:rPr>
        <w:t xml:space="preserve"> </w:t>
      </w:r>
    </w:p>
    <w:p w14:paraId="625B7688" w14:textId="77777777" w:rsidR="00C951B2" w:rsidRPr="00C951B2" w:rsidRDefault="00C951B2" w:rsidP="00C951B2">
      <w:pPr>
        <w:pStyle w:val="Default"/>
        <w:numPr>
          <w:ilvl w:val="0"/>
          <w:numId w:val="17"/>
        </w:numPr>
        <w:spacing w:after="80" w:line="276" w:lineRule="auto"/>
        <w:jc w:val="both"/>
        <w:rPr>
          <w:sz w:val="20"/>
          <w:szCs w:val="20"/>
          <w:lang w:val="en-US"/>
        </w:rPr>
      </w:pPr>
      <w:r w:rsidRPr="00C951B2">
        <w:rPr>
          <w:b/>
          <w:bCs/>
          <w:sz w:val="20"/>
          <w:szCs w:val="20"/>
          <w:lang w:val="en-US"/>
        </w:rPr>
        <w:t>Orchestration &amp; Fusion Strategy:</w:t>
      </w:r>
    </w:p>
    <w:p w14:paraId="69DF2104" w14:textId="64464CE4" w:rsidR="00C951B2" w:rsidRPr="00C951B2" w:rsidRDefault="00C951B2" w:rsidP="00C951B2">
      <w:pPr>
        <w:pStyle w:val="Default"/>
        <w:numPr>
          <w:ilvl w:val="1"/>
          <w:numId w:val="17"/>
        </w:numPr>
        <w:spacing w:after="80" w:line="276" w:lineRule="auto"/>
        <w:jc w:val="both"/>
        <w:rPr>
          <w:sz w:val="20"/>
          <w:szCs w:val="20"/>
          <w:lang w:val="en-US"/>
        </w:rPr>
      </w:pPr>
      <w:r w:rsidRPr="00C951B2">
        <w:rPr>
          <w:b/>
          <w:bCs/>
          <w:sz w:val="20"/>
          <w:szCs w:val="20"/>
          <w:lang w:val="en-US"/>
        </w:rPr>
        <w:t>Local Estimation:</w:t>
      </w:r>
      <w:r w:rsidRPr="00C951B2">
        <w:rPr>
          <w:sz w:val="20"/>
          <w:szCs w:val="20"/>
          <w:lang w:val="en-US"/>
        </w:rPr>
        <w:t xml:space="preserve"> </w:t>
      </w:r>
      <w:r w:rsidR="00F90E00" w:rsidRPr="00F90E00">
        <w:rPr>
          <w:sz w:val="20"/>
          <w:szCs w:val="20"/>
          <w:lang w:val="en-US"/>
        </w:rPr>
        <w:t>The UE executes the tilt-invariant GLS algorithm (as defined in Architecture II) locally for each observable anchor. This yields a set of directional vectors (Lines of Position) that are robust against receiver tilt.</w:t>
      </w:r>
    </w:p>
    <w:p w14:paraId="3CA09E7B" w14:textId="62E2BEC1" w:rsidR="00F90E00" w:rsidRDefault="00C951B2" w:rsidP="00C951B2">
      <w:pPr>
        <w:pStyle w:val="Default"/>
        <w:numPr>
          <w:ilvl w:val="1"/>
          <w:numId w:val="17"/>
        </w:numPr>
        <w:spacing w:after="80" w:line="276" w:lineRule="auto"/>
        <w:jc w:val="both"/>
        <w:rPr>
          <w:sz w:val="20"/>
          <w:szCs w:val="20"/>
          <w:lang w:val="en-US"/>
        </w:rPr>
      </w:pPr>
      <w:r w:rsidRPr="00C951B2">
        <w:rPr>
          <w:b/>
          <w:bCs/>
          <w:sz w:val="20"/>
          <w:szCs w:val="20"/>
          <w:lang w:val="en-US"/>
        </w:rPr>
        <w:t>Distributed Fusion:</w:t>
      </w:r>
      <w:r w:rsidRPr="00C951B2">
        <w:rPr>
          <w:sz w:val="20"/>
          <w:szCs w:val="20"/>
          <w:lang w:val="en-US"/>
        </w:rPr>
        <w:t xml:space="preserve"> </w:t>
      </w:r>
      <w:r w:rsidR="00F90E00" w:rsidRPr="00F90E00">
        <w:rPr>
          <w:sz w:val="20"/>
          <w:szCs w:val="20"/>
          <w:lang w:val="en-US"/>
        </w:rPr>
        <w:t xml:space="preserve">Since independent noise sources cause these N lines to be non-intersecting in 3D space, determining the optimal 3D coordinate is non-trivial. </w:t>
      </w:r>
      <w:r w:rsidR="00D40457" w:rsidRPr="00D40457">
        <w:rPr>
          <w:sz w:val="20"/>
          <w:szCs w:val="20"/>
          <w:lang w:val="en-US"/>
        </w:rPr>
        <w:t>Therefore, this study establishes a comparative evaluation framework to identify the optimal fusion strategy. We will implement and benchmark a set of candidate algorithms, including but not limited to:</w:t>
      </w:r>
    </w:p>
    <w:p w14:paraId="176D2136" w14:textId="29988189" w:rsidR="00F90E00" w:rsidRDefault="00F90E00" w:rsidP="00F90E00">
      <w:pPr>
        <w:pStyle w:val="Default"/>
        <w:numPr>
          <w:ilvl w:val="2"/>
          <w:numId w:val="17"/>
        </w:numPr>
        <w:spacing w:after="80" w:line="276" w:lineRule="auto"/>
        <w:jc w:val="both"/>
        <w:rPr>
          <w:sz w:val="20"/>
          <w:szCs w:val="20"/>
          <w:lang w:val="en-US"/>
        </w:rPr>
      </w:pPr>
      <w:r w:rsidRPr="00F90E00">
        <w:rPr>
          <w:sz w:val="20"/>
          <w:szCs w:val="20"/>
          <w:lang w:val="en-US"/>
        </w:rPr>
        <w:t>Selecting the single most reliable anchor based on proximity.</w:t>
      </w:r>
    </w:p>
    <w:p w14:paraId="4E06FC26" w14:textId="32EC8738" w:rsidR="00F90E00" w:rsidRDefault="00F90E00" w:rsidP="00F90E00">
      <w:pPr>
        <w:pStyle w:val="Default"/>
        <w:numPr>
          <w:ilvl w:val="2"/>
          <w:numId w:val="17"/>
        </w:numPr>
        <w:spacing w:after="80" w:line="276" w:lineRule="auto"/>
        <w:jc w:val="both"/>
        <w:rPr>
          <w:sz w:val="20"/>
          <w:szCs w:val="20"/>
          <w:lang w:val="en-US"/>
        </w:rPr>
      </w:pPr>
      <w:r w:rsidRPr="00F90E00">
        <w:rPr>
          <w:sz w:val="20"/>
          <w:szCs w:val="20"/>
          <w:lang w:val="en-US"/>
        </w:rPr>
        <w:t>A geometric average of all available lines.</w:t>
      </w:r>
    </w:p>
    <w:p w14:paraId="30029229" w14:textId="6C982B51" w:rsidR="00C951B2" w:rsidRDefault="00F90E00" w:rsidP="00F90E00">
      <w:pPr>
        <w:pStyle w:val="Default"/>
        <w:numPr>
          <w:ilvl w:val="2"/>
          <w:numId w:val="17"/>
        </w:numPr>
        <w:spacing w:after="80" w:line="276" w:lineRule="auto"/>
        <w:jc w:val="both"/>
        <w:rPr>
          <w:sz w:val="20"/>
          <w:szCs w:val="20"/>
          <w:lang w:val="en-US"/>
        </w:rPr>
      </w:pPr>
      <w:r w:rsidRPr="00F90E00">
        <w:rPr>
          <w:sz w:val="20"/>
          <w:szCs w:val="20"/>
          <w:lang w:val="en-US"/>
        </w:rPr>
        <w:t xml:space="preserve">A proposed method that </w:t>
      </w:r>
      <w:proofErr w:type="gramStart"/>
      <w:r w:rsidRPr="00F90E00">
        <w:rPr>
          <w:sz w:val="20"/>
          <w:szCs w:val="20"/>
          <w:lang w:val="en-US"/>
        </w:rPr>
        <w:t>weights</w:t>
      </w:r>
      <w:proofErr w:type="gramEnd"/>
      <w:r w:rsidRPr="00F90E00">
        <w:rPr>
          <w:sz w:val="20"/>
          <w:szCs w:val="20"/>
          <w:lang w:val="en-US"/>
        </w:rPr>
        <w:t xml:space="preserve"> each line inversely proportional to its estimated distance square</w:t>
      </w:r>
      <w:r>
        <w:rPr>
          <w:sz w:val="20"/>
          <w:szCs w:val="20"/>
          <w:lang w:val="en-US"/>
        </w:rPr>
        <w:t>d</w:t>
      </w:r>
      <w:r w:rsidRPr="00F90E00">
        <w:rPr>
          <w:sz w:val="20"/>
          <w:szCs w:val="20"/>
          <w:lang w:val="en-US"/>
        </w:rPr>
        <w:t>, minimizing the variance of the geometric error.</w:t>
      </w:r>
    </w:p>
    <w:p w14:paraId="1F35FA57" w14:textId="4579CAB5" w:rsidR="00631714" w:rsidRPr="00631714" w:rsidRDefault="00631714" w:rsidP="00631714">
      <w:pPr>
        <w:pStyle w:val="ListParagraph"/>
        <w:numPr>
          <w:ilvl w:val="0"/>
          <w:numId w:val="14"/>
        </w:numPr>
        <w:rPr>
          <w:b/>
          <w:color w:val="68033B"/>
          <w:sz w:val="20"/>
        </w:rPr>
      </w:pPr>
      <w:r>
        <w:rPr>
          <w:b/>
          <w:color w:val="68033B"/>
          <w:sz w:val="20"/>
        </w:rPr>
        <w:t xml:space="preserve">Challenge and </w:t>
      </w:r>
      <w:proofErr w:type="spellStart"/>
      <w:r>
        <w:rPr>
          <w:b/>
          <w:color w:val="68033B"/>
          <w:sz w:val="20"/>
        </w:rPr>
        <w:t>Expected</w:t>
      </w:r>
      <w:proofErr w:type="spellEnd"/>
      <w:r>
        <w:rPr>
          <w:b/>
          <w:color w:val="68033B"/>
          <w:sz w:val="20"/>
        </w:rPr>
        <w:t xml:space="preserve"> </w:t>
      </w:r>
      <w:proofErr w:type="spellStart"/>
      <w:r>
        <w:rPr>
          <w:b/>
          <w:color w:val="68033B"/>
          <w:sz w:val="20"/>
        </w:rPr>
        <w:t>Outcomes</w:t>
      </w:r>
      <w:proofErr w:type="spellEnd"/>
    </w:p>
    <w:p w14:paraId="1F090AEF" w14:textId="78926E99" w:rsidR="00C951B2" w:rsidRPr="00631714" w:rsidRDefault="00631714" w:rsidP="00631714">
      <w:pPr>
        <w:pStyle w:val="Instructions"/>
        <w:spacing w:after="80" w:line="276" w:lineRule="auto"/>
        <w:ind w:left="0"/>
        <w:rPr>
          <w:rFonts w:asciiTheme="minorHAnsi" w:hAnsiTheme="minorHAnsi" w:cstheme="minorHAnsi"/>
          <w:color w:val="68033B"/>
          <w:sz w:val="20"/>
          <w:szCs w:val="20"/>
          <w:lang w:val="en-US"/>
        </w:rPr>
      </w:pPr>
      <w:r>
        <w:rPr>
          <w:rFonts w:asciiTheme="minorHAnsi" w:hAnsiTheme="minorHAnsi" w:cstheme="minorHAnsi"/>
          <w:color w:val="68033B"/>
          <w:sz w:val="20"/>
          <w:szCs w:val="20"/>
          <w:lang w:val="en-US"/>
        </w:rPr>
        <w:t>Challenges</w:t>
      </w:r>
    </w:p>
    <w:p w14:paraId="589207AD" w14:textId="77777777" w:rsidR="00631714" w:rsidRDefault="00631714" w:rsidP="00C951B2">
      <w:pPr>
        <w:pStyle w:val="Default"/>
        <w:spacing w:after="80" w:line="276" w:lineRule="auto"/>
        <w:jc w:val="both"/>
        <w:rPr>
          <w:sz w:val="20"/>
          <w:szCs w:val="20"/>
          <w:lang w:val="en-US"/>
        </w:rPr>
      </w:pPr>
      <w:r w:rsidRPr="00631714">
        <w:rPr>
          <w:sz w:val="20"/>
          <w:szCs w:val="20"/>
          <w:lang w:val="en-US"/>
        </w:rPr>
        <w:t>To validate the proposed architecture, the simulation environment is designed to introduce stress conditions that typically cause conventional systems to fail. The study considers a large-scale room volume of 5</w:t>
      </w:r>
      <w:r>
        <w:rPr>
          <w:sz w:val="20"/>
          <w:szCs w:val="20"/>
          <w:lang w:val="en-US"/>
        </w:rPr>
        <w:t xml:space="preserve">m x 5m x </w:t>
      </w:r>
      <w:r w:rsidRPr="00631714">
        <w:rPr>
          <w:sz w:val="20"/>
          <w:szCs w:val="20"/>
          <w:lang w:val="en-US"/>
        </w:rPr>
        <w:t>3</w:t>
      </w:r>
      <w:r>
        <w:rPr>
          <w:sz w:val="20"/>
          <w:szCs w:val="20"/>
          <w:lang w:val="en-US"/>
        </w:rPr>
        <w:t>m</w:t>
      </w:r>
      <w:r w:rsidRPr="00631714">
        <w:rPr>
          <w:sz w:val="20"/>
          <w:szCs w:val="20"/>
          <w:lang w:val="en-US"/>
        </w:rPr>
        <w:t>, a dimension specifically chosen to expose the path-loss limitations of fixed LEDs and the coverage limits of a single SBL.</w:t>
      </w:r>
      <w:r>
        <w:rPr>
          <w:sz w:val="20"/>
          <w:szCs w:val="20"/>
          <w:lang w:val="en-US"/>
        </w:rPr>
        <w:t xml:space="preserve"> </w:t>
      </w:r>
    </w:p>
    <w:p w14:paraId="58B1EE39" w14:textId="75BB07F0" w:rsidR="004B0559" w:rsidRDefault="00631714" w:rsidP="00C951B2">
      <w:pPr>
        <w:pStyle w:val="Default"/>
        <w:spacing w:after="80" w:line="276" w:lineRule="auto"/>
        <w:jc w:val="both"/>
        <w:rPr>
          <w:sz w:val="20"/>
          <w:szCs w:val="20"/>
          <w:lang w:val="en-US"/>
        </w:rPr>
      </w:pPr>
      <w:r w:rsidRPr="00631714">
        <w:rPr>
          <w:sz w:val="20"/>
          <w:szCs w:val="20"/>
          <w:lang w:val="en-US"/>
        </w:rPr>
        <w:lastRenderedPageBreak/>
        <w:t xml:space="preserve">A significant challenge involves the stochastic nature of the receiver. The simulation incorporates random UE tilt angles of up to </w:t>
      </w:r>
      <w:r>
        <w:rPr>
          <w:sz w:val="20"/>
          <w:szCs w:val="20"/>
          <w:lang w:val="en-US"/>
        </w:rPr>
        <w:t>3</w:t>
      </w:r>
      <w:r w:rsidRPr="00631714">
        <w:rPr>
          <w:sz w:val="20"/>
          <w:szCs w:val="20"/>
          <w:lang w:val="en-US"/>
        </w:rPr>
        <w:t>0</w:t>
      </w:r>
      <w:r>
        <w:rPr>
          <w:sz w:val="20"/>
          <w:szCs w:val="20"/>
          <w:lang w:val="en-US"/>
        </w:rPr>
        <w:t>°</w:t>
      </w:r>
      <w:r w:rsidRPr="00631714">
        <w:rPr>
          <w:sz w:val="20"/>
          <w:szCs w:val="20"/>
          <w:lang w:val="en-US"/>
        </w:rPr>
        <w:t xml:space="preserve"> to test the system's immunity to orientation-location ambiguity. Additionally, the scenario addresses the issue of occlusion by modeling potential blockages (e.g., cylindrical human body models). The proposed MBL architecture must demonstrate the capability to maintain service continuity through spatial redundancy, seamlessly fusing data from distant visible anchors when the nearest node is obstructed.</w:t>
      </w:r>
    </w:p>
    <w:p w14:paraId="7DB86651" w14:textId="77777777" w:rsidR="00631714" w:rsidRDefault="00631714" w:rsidP="00C951B2">
      <w:pPr>
        <w:pStyle w:val="Default"/>
        <w:spacing w:after="80" w:line="276" w:lineRule="auto"/>
        <w:jc w:val="both"/>
        <w:rPr>
          <w:b/>
          <w:color w:val="68033B"/>
          <w:sz w:val="20"/>
          <w:szCs w:val="20"/>
          <w:lang w:val="en-US"/>
        </w:rPr>
      </w:pPr>
    </w:p>
    <w:p w14:paraId="343456CB" w14:textId="462971E8" w:rsidR="004B0559" w:rsidRPr="001D0991" w:rsidRDefault="004B0559" w:rsidP="004B0559">
      <w:pPr>
        <w:pStyle w:val="Instructions"/>
        <w:spacing w:after="80" w:line="276" w:lineRule="auto"/>
        <w:ind w:left="0"/>
        <w:rPr>
          <w:rFonts w:asciiTheme="minorHAnsi" w:hAnsiTheme="minorHAnsi" w:cstheme="minorHAnsi"/>
          <w:color w:val="68033B"/>
          <w:sz w:val="20"/>
          <w:szCs w:val="20"/>
          <w:lang w:val="en-US"/>
        </w:rPr>
      </w:pPr>
      <w:r>
        <w:rPr>
          <w:rFonts w:asciiTheme="minorHAnsi" w:hAnsiTheme="minorHAnsi" w:cstheme="minorHAnsi"/>
          <w:color w:val="68033B"/>
          <w:sz w:val="20"/>
          <w:szCs w:val="20"/>
          <w:lang w:val="en-US"/>
        </w:rPr>
        <w:t>Expected Outcomes</w:t>
      </w:r>
    </w:p>
    <w:p w14:paraId="40BB9962" w14:textId="0BC86A6D" w:rsidR="004B0559" w:rsidRPr="004B0559" w:rsidRDefault="004B0559" w:rsidP="004B0559">
      <w:pPr>
        <w:jc w:val="both"/>
        <w:rPr>
          <w:sz w:val="20"/>
          <w:szCs w:val="20"/>
          <w:lang w:val="en-US"/>
        </w:rPr>
      </w:pPr>
      <w:r w:rsidRPr="004B0559">
        <w:rPr>
          <w:sz w:val="20"/>
          <w:szCs w:val="20"/>
          <w:lang w:val="en-US"/>
        </w:rPr>
        <w:t xml:space="preserve">The primary outcome of this research will be a comprehensive comparative analysis demonstrating the superior performance of the Distributed MBL architecture over both MFL and Single-SBL baselines. We expect to show, through Cumulative Distribution Function (CDF) analysis, that the proposed method achieves uniform 3D positioning accuracy (&lt; </w:t>
      </w:r>
      <w:r>
        <w:rPr>
          <w:sz w:val="20"/>
          <w:szCs w:val="20"/>
          <w:lang w:val="en-US"/>
        </w:rPr>
        <w:t>5</w:t>
      </w:r>
      <w:r w:rsidRPr="004B0559">
        <w:rPr>
          <w:sz w:val="20"/>
          <w:szCs w:val="20"/>
          <w:lang w:val="en-US"/>
        </w:rPr>
        <w:t xml:space="preserve"> cm) across 95% of the service area.</w:t>
      </w:r>
    </w:p>
    <w:p w14:paraId="77F82196" w14:textId="45FEE61B" w:rsidR="004B0559" w:rsidRDefault="004B0559" w:rsidP="004B0559">
      <w:pPr>
        <w:jc w:val="both"/>
        <w:rPr>
          <w:sz w:val="20"/>
          <w:szCs w:val="20"/>
          <w:lang w:val="en-US"/>
        </w:rPr>
      </w:pPr>
      <w:r w:rsidRPr="004B0559">
        <w:rPr>
          <w:sz w:val="20"/>
          <w:szCs w:val="20"/>
          <w:lang w:val="en-US"/>
        </w:rPr>
        <w:t>Furthermore, the study aims to identify the optimal strategy for fusing data from multiple asynchronous anchors. By evaluating a set of candidate algorithms</w:t>
      </w:r>
      <w:r>
        <w:rPr>
          <w:sz w:val="20"/>
          <w:szCs w:val="20"/>
          <w:lang w:val="en-US"/>
        </w:rPr>
        <w:t xml:space="preserve">, </w:t>
      </w:r>
      <w:r w:rsidRPr="004B0559">
        <w:rPr>
          <w:sz w:val="20"/>
          <w:szCs w:val="20"/>
          <w:lang w:val="en-US"/>
        </w:rPr>
        <w:t>the research will define a robust framework for aggregating distributed angular estimates. This evaluation remains open to incorporating additional fusion techniques to ensure global minimization of the Root Mean Square Error (RMSE).</w:t>
      </w:r>
    </w:p>
    <w:p w14:paraId="21741E13" w14:textId="6523104F" w:rsidR="004B0559" w:rsidRPr="004B0559" w:rsidRDefault="004B0559" w:rsidP="004B0559">
      <w:pPr>
        <w:pStyle w:val="ListParagraph"/>
        <w:numPr>
          <w:ilvl w:val="0"/>
          <w:numId w:val="14"/>
        </w:numPr>
        <w:rPr>
          <w:b/>
          <w:color w:val="68033B"/>
          <w:sz w:val="20"/>
        </w:rPr>
      </w:pPr>
      <w:proofErr w:type="spellStart"/>
      <w:r>
        <w:rPr>
          <w:b/>
          <w:color w:val="68033B"/>
          <w:sz w:val="20"/>
        </w:rPr>
        <w:t>Potential</w:t>
      </w:r>
      <w:proofErr w:type="spellEnd"/>
      <w:r>
        <w:rPr>
          <w:b/>
          <w:color w:val="68033B"/>
          <w:sz w:val="20"/>
        </w:rPr>
        <w:t xml:space="preserve"> Collaborations</w:t>
      </w:r>
    </w:p>
    <w:p w14:paraId="30826120" w14:textId="682179F7" w:rsidR="004B0559" w:rsidRPr="004B0559" w:rsidRDefault="004B0559" w:rsidP="004B0559">
      <w:pPr>
        <w:jc w:val="both"/>
        <w:rPr>
          <w:sz w:val="20"/>
          <w:szCs w:val="20"/>
          <w:lang w:val="en-US"/>
        </w:rPr>
      </w:pPr>
      <w:r w:rsidRPr="004B0559">
        <w:rPr>
          <w:sz w:val="20"/>
          <w:szCs w:val="20"/>
          <w:lang w:val="en-US"/>
        </w:rPr>
        <w:t xml:space="preserve">This research offers a clear pathway for synergistic collaboration. While the theoretical framework and extensive simulations of the MBL architecture will be developed at </w:t>
      </w:r>
      <w:r>
        <w:rPr>
          <w:sz w:val="20"/>
          <w:szCs w:val="20"/>
          <w:lang w:val="en-US"/>
        </w:rPr>
        <w:t>LISV</w:t>
      </w:r>
      <w:r w:rsidRPr="004B0559">
        <w:rPr>
          <w:sz w:val="20"/>
          <w:szCs w:val="20"/>
          <w:lang w:val="en-US"/>
        </w:rPr>
        <w:t>, the comparative benchmark requires experimental validation. There is</w:t>
      </w:r>
      <w:r>
        <w:rPr>
          <w:sz w:val="20"/>
          <w:szCs w:val="20"/>
          <w:lang w:val="en-US"/>
        </w:rPr>
        <w:t xml:space="preserve"> </w:t>
      </w:r>
      <w:proofErr w:type="gramStart"/>
      <w:r>
        <w:rPr>
          <w:sz w:val="20"/>
          <w:szCs w:val="20"/>
          <w:lang w:val="en-US"/>
        </w:rPr>
        <w:t>a</w:t>
      </w:r>
      <w:r w:rsidRPr="004B0559">
        <w:rPr>
          <w:sz w:val="20"/>
          <w:szCs w:val="20"/>
          <w:lang w:val="en-US"/>
        </w:rPr>
        <w:t xml:space="preserve"> strong</w:t>
      </w:r>
      <w:proofErr w:type="gramEnd"/>
      <w:r w:rsidRPr="004B0559">
        <w:rPr>
          <w:sz w:val="20"/>
          <w:szCs w:val="20"/>
          <w:lang w:val="en-US"/>
        </w:rPr>
        <w:t xml:space="preserve"> potential to partner with external research groups (e.g., Brunel University) that possess established Multi-Fixed LED testbeds. This collaboration would allow for a high-impact "System A vs. System B" study, contrasting the experimental baseline of traditional architectures against the advanced capabilities of the proposed distributed beam-steering system.</w:t>
      </w:r>
    </w:p>
    <w:p w14:paraId="6EB1939A" w14:textId="77777777" w:rsidR="0094733C" w:rsidRDefault="0094733C" w:rsidP="008A0D71">
      <w:pPr>
        <w:pStyle w:val="Default"/>
        <w:jc w:val="both"/>
        <w:rPr>
          <w:sz w:val="20"/>
          <w:szCs w:val="20"/>
          <w:lang w:val="en-US"/>
        </w:rPr>
      </w:pPr>
    </w:p>
    <w:sectPr w:rsidR="0094733C">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2A2B4" w14:textId="77777777" w:rsidR="006B604A" w:rsidRDefault="006B604A" w:rsidP="0012042B">
      <w:pPr>
        <w:spacing w:after="0" w:line="240" w:lineRule="auto"/>
      </w:pPr>
      <w:r>
        <w:separator/>
      </w:r>
    </w:p>
  </w:endnote>
  <w:endnote w:type="continuationSeparator" w:id="0">
    <w:p w14:paraId="545AD920" w14:textId="77777777" w:rsidR="006B604A" w:rsidRDefault="006B604A" w:rsidP="0012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267896"/>
      <w:docPartObj>
        <w:docPartGallery w:val="Page Numbers (Bottom of Page)"/>
        <w:docPartUnique/>
      </w:docPartObj>
    </w:sdtPr>
    <w:sdtEndPr>
      <w:rPr>
        <w:sz w:val="20"/>
        <w:szCs w:val="20"/>
      </w:rPr>
    </w:sdtEndPr>
    <w:sdtContent>
      <w:p w14:paraId="405E2644" w14:textId="77777777" w:rsidR="00665690" w:rsidRPr="00665690" w:rsidRDefault="00665690">
        <w:pPr>
          <w:pStyle w:val="Footer"/>
          <w:jc w:val="center"/>
          <w:rPr>
            <w:sz w:val="20"/>
            <w:szCs w:val="20"/>
          </w:rPr>
        </w:pPr>
        <w:r w:rsidRPr="00665690">
          <w:rPr>
            <w:sz w:val="20"/>
            <w:szCs w:val="20"/>
          </w:rPr>
          <w:fldChar w:fldCharType="begin"/>
        </w:r>
        <w:r w:rsidRPr="00665690">
          <w:rPr>
            <w:sz w:val="20"/>
            <w:szCs w:val="20"/>
          </w:rPr>
          <w:instrText>PAGE   \* MERGEFORMAT</w:instrText>
        </w:r>
        <w:r w:rsidRPr="00665690">
          <w:rPr>
            <w:sz w:val="20"/>
            <w:szCs w:val="20"/>
          </w:rPr>
          <w:fldChar w:fldCharType="separate"/>
        </w:r>
        <w:r w:rsidR="00A20532">
          <w:rPr>
            <w:noProof/>
            <w:sz w:val="20"/>
            <w:szCs w:val="20"/>
          </w:rPr>
          <w:t>5</w:t>
        </w:r>
        <w:r w:rsidRPr="00665690">
          <w:rPr>
            <w:sz w:val="20"/>
            <w:szCs w:val="20"/>
          </w:rPr>
          <w:fldChar w:fldCharType="end"/>
        </w:r>
      </w:p>
    </w:sdtContent>
  </w:sdt>
  <w:p w14:paraId="76EEC7FB" w14:textId="77777777" w:rsidR="00665690" w:rsidRDefault="00665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8F0CD" w14:textId="77777777" w:rsidR="006B604A" w:rsidRDefault="006B604A" w:rsidP="0012042B">
      <w:pPr>
        <w:spacing w:after="0" w:line="240" w:lineRule="auto"/>
      </w:pPr>
      <w:r>
        <w:separator/>
      </w:r>
    </w:p>
  </w:footnote>
  <w:footnote w:type="continuationSeparator" w:id="0">
    <w:p w14:paraId="384E0B95" w14:textId="77777777" w:rsidR="006B604A" w:rsidRDefault="006B604A" w:rsidP="00120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B55E9" w14:textId="77777777" w:rsidR="0012042B" w:rsidRDefault="004E70DF">
    <w:pPr>
      <w:pStyle w:val="Header"/>
    </w:pPr>
    <w:r>
      <w:rPr>
        <w:noProof/>
        <w:lang w:eastAsia="fr-FR"/>
      </w:rPr>
      <w:drawing>
        <wp:anchor distT="0" distB="0" distL="114300" distR="114300" simplePos="0" relativeHeight="251659264" behindDoc="0" locked="0" layoutInCell="1" allowOverlap="1" wp14:anchorId="67B6B15F" wp14:editId="66BF8285">
          <wp:simplePos x="0" y="0"/>
          <wp:positionH relativeFrom="margin">
            <wp:align>center</wp:align>
          </wp:positionH>
          <wp:positionV relativeFrom="paragraph">
            <wp:posOffset>-311785</wp:posOffset>
          </wp:positionV>
          <wp:extent cx="2407920" cy="661938"/>
          <wp:effectExtent l="0" t="0" r="0" b="508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lisv-2020.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07920" cy="66193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996"/>
    <w:multiLevelType w:val="hybridMultilevel"/>
    <w:tmpl w:val="396407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A15B07"/>
    <w:multiLevelType w:val="hybridMultilevel"/>
    <w:tmpl w:val="BC4424FE"/>
    <w:lvl w:ilvl="0" w:tplc="00A035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0273A1"/>
    <w:multiLevelType w:val="hybridMultilevel"/>
    <w:tmpl w:val="3100124A"/>
    <w:lvl w:ilvl="0" w:tplc="00A035B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276346"/>
    <w:multiLevelType w:val="hybridMultilevel"/>
    <w:tmpl w:val="75C807F6"/>
    <w:lvl w:ilvl="0" w:tplc="00A035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0040C67"/>
    <w:multiLevelType w:val="hybridMultilevel"/>
    <w:tmpl w:val="512A14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B82BE9"/>
    <w:multiLevelType w:val="hybridMultilevel"/>
    <w:tmpl w:val="836A0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F4E1C5F"/>
    <w:multiLevelType w:val="multilevel"/>
    <w:tmpl w:val="4772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A005B"/>
    <w:multiLevelType w:val="hybridMultilevel"/>
    <w:tmpl w:val="EDAA3C8E"/>
    <w:lvl w:ilvl="0" w:tplc="00A035B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7D51DC6"/>
    <w:multiLevelType w:val="multilevel"/>
    <w:tmpl w:val="00F403B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7776D"/>
    <w:multiLevelType w:val="hybridMultilevel"/>
    <w:tmpl w:val="0FD266F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C3F7689"/>
    <w:multiLevelType w:val="hybridMultilevel"/>
    <w:tmpl w:val="E1E6C50E"/>
    <w:lvl w:ilvl="0" w:tplc="486A74D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D39726D"/>
    <w:multiLevelType w:val="hybridMultilevel"/>
    <w:tmpl w:val="0FD266F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9CC6D5D"/>
    <w:multiLevelType w:val="hybridMultilevel"/>
    <w:tmpl w:val="A822B6F2"/>
    <w:lvl w:ilvl="0" w:tplc="00A035B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9640A6C"/>
    <w:multiLevelType w:val="hybridMultilevel"/>
    <w:tmpl w:val="E5160EF6"/>
    <w:lvl w:ilvl="0" w:tplc="00A035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9D910B8"/>
    <w:multiLevelType w:val="hybridMultilevel"/>
    <w:tmpl w:val="47E20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7E46C21"/>
    <w:multiLevelType w:val="hybridMultilevel"/>
    <w:tmpl w:val="FD5089C0"/>
    <w:lvl w:ilvl="0" w:tplc="00A035B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9BE6303"/>
    <w:multiLevelType w:val="multilevel"/>
    <w:tmpl w:val="8BEC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37A8D"/>
    <w:multiLevelType w:val="hybridMultilevel"/>
    <w:tmpl w:val="0FD266F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01051892">
    <w:abstractNumId w:val="9"/>
  </w:num>
  <w:num w:numId="2" w16cid:durableId="990257692">
    <w:abstractNumId w:val="4"/>
  </w:num>
  <w:num w:numId="3" w16cid:durableId="991829293">
    <w:abstractNumId w:val="10"/>
  </w:num>
  <w:num w:numId="4" w16cid:durableId="2067102157">
    <w:abstractNumId w:val="14"/>
  </w:num>
  <w:num w:numId="5" w16cid:durableId="641227822">
    <w:abstractNumId w:val="7"/>
  </w:num>
  <w:num w:numId="6" w16cid:durableId="1815291451">
    <w:abstractNumId w:val="12"/>
  </w:num>
  <w:num w:numId="7" w16cid:durableId="56904237">
    <w:abstractNumId w:val="2"/>
  </w:num>
  <w:num w:numId="8" w16cid:durableId="639959577">
    <w:abstractNumId w:val="13"/>
  </w:num>
  <w:num w:numId="9" w16cid:durableId="1952585439">
    <w:abstractNumId w:val="1"/>
  </w:num>
  <w:num w:numId="10" w16cid:durableId="55516811">
    <w:abstractNumId w:val="15"/>
  </w:num>
  <w:num w:numId="11" w16cid:durableId="430708186">
    <w:abstractNumId w:val="5"/>
  </w:num>
  <w:num w:numId="12" w16cid:durableId="329335721">
    <w:abstractNumId w:val="0"/>
  </w:num>
  <w:num w:numId="13" w16cid:durableId="2075543146">
    <w:abstractNumId w:val="3"/>
  </w:num>
  <w:num w:numId="14" w16cid:durableId="1711539874">
    <w:abstractNumId w:val="11"/>
  </w:num>
  <w:num w:numId="15" w16cid:durableId="2011366096">
    <w:abstractNumId w:val="16"/>
  </w:num>
  <w:num w:numId="16" w16cid:durableId="469715023">
    <w:abstractNumId w:val="6"/>
  </w:num>
  <w:num w:numId="17" w16cid:durableId="191457475">
    <w:abstractNumId w:val="8"/>
  </w:num>
  <w:num w:numId="18" w16cid:durableId="13936242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fr-FR" w:vendorID="64" w:dllVersion="0" w:nlCheck="1" w:checkStyle="0"/>
  <w:activeWritingStyle w:appName="MSWord" w:lang="en-US" w:vendorID="64" w:dllVersion="0" w:nlCheck="1" w:checkStyle="0"/>
  <w:activeWritingStyle w:appName="MSWord" w:lang="en-GB" w:vendorID="64" w:dllVersion="0" w:nlCheck="1" w:checkStyle="0"/>
  <w:activeWritingStyle w:appName="MSWord" w:lang="es-PE"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119"/>
    <w:rsid w:val="00002A12"/>
    <w:rsid w:val="000173E9"/>
    <w:rsid w:val="000462F7"/>
    <w:rsid w:val="00074EA6"/>
    <w:rsid w:val="0009103D"/>
    <w:rsid w:val="000A751B"/>
    <w:rsid w:val="000D7E8A"/>
    <w:rsid w:val="000F7946"/>
    <w:rsid w:val="00104EDB"/>
    <w:rsid w:val="00106145"/>
    <w:rsid w:val="00115473"/>
    <w:rsid w:val="00116293"/>
    <w:rsid w:val="00117048"/>
    <w:rsid w:val="0012042B"/>
    <w:rsid w:val="001272AA"/>
    <w:rsid w:val="0012786D"/>
    <w:rsid w:val="00130566"/>
    <w:rsid w:val="00154119"/>
    <w:rsid w:val="001557F6"/>
    <w:rsid w:val="00155E73"/>
    <w:rsid w:val="00165D4B"/>
    <w:rsid w:val="00176E91"/>
    <w:rsid w:val="001821F4"/>
    <w:rsid w:val="00190AE8"/>
    <w:rsid w:val="00191E99"/>
    <w:rsid w:val="001A44FD"/>
    <w:rsid w:val="001A789A"/>
    <w:rsid w:val="001A7CFE"/>
    <w:rsid w:val="001D4D47"/>
    <w:rsid w:val="001D55C2"/>
    <w:rsid w:val="001E038D"/>
    <w:rsid w:val="001E308B"/>
    <w:rsid w:val="001F5573"/>
    <w:rsid w:val="001F58E2"/>
    <w:rsid w:val="00215042"/>
    <w:rsid w:val="00217BAD"/>
    <w:rsid w:val="0022324C"/>
    <w:rsid w:val="0023084D"/>
    <w:rsid w:val="0023555F"/>
    <w:rsid w:val="0024267C"/>
    <w:rsid w:val="00245DB2"/>
    <w:rsid w:val="00250ADF"/>
    <w:rsid w:val="0025401A"/>
    <w:rsid w:val="00260FDA"/>
    <w:rsid w:val="00296E71"/>
    <w:rsid w:val="002A3946"/>
    <w:rsid w:val="002A5293"/>
    <w:rsid w:val="002D083A"/>
    <w:rsid w:val="002E07D1"/>
    <w:rsid w:val="002E324C"/>
    <w:rsid w:val="002F2F04"/>
    <w:rsid w:val="00303C8B"/>
    <w:rsid w:val="00323230"/>
    <w:rsid w:val="00323380"/>
    <w:rsid w:val="00327646"/>
    <w:rsid w:val="00335AE7"/>
    <w:rsid w:val="00341E4A"/>
    <w:rsid w:val="00345C2E"/>
    <w:rsid w:val="00360495"/>
    <w:rsid w:val="0038661F"/>
    <w:rsid w:val="00394A06"/>
    <w:rsid w:val="0039700C"/>
    <w:rsid w:val="003A0BDC"/>
    <w:rsid w:val="003A175F"/>
    <w:rsid w:val="003C0982"/>
    <w:rsid w:val="003D6212"/>
    <w:rsid w:val="003E2C59"/>
    <w:rsid w:val="003E38F1"/>
    <w:rsid w:val="003E71DA"/>
    <w:rsid w:val="00412D04"/>
    <w:rsid w:val="00417C8A"/>
    <w:rsid w:val="00425C89"/>
    <w:rsid w:val="00426616"/>
    <w:rsid w:val="0043302A"/>
    <w:rsid w:val="004333CE"/>
    <w:rsid w:val="0044345C"/>
    <w:rsid w:val="004549A4"/>
    <w:rsid w:val="0045543B"/>
    <w:rsid w:val="00463630"/>
    <w:rsid w:val="00466D6C"/>
    <w:rsid w:val="004965F1"/>
    <w:rsid w:val="004A5637"/>
    <w:rsid w:val="004B0559"/>
    <w:rsid w:val="004B1AD7"/>
    <w:rsid w:val="004B3B62"/>
    <w:rsid w:val="004C457E"/>
    <w:rsid w:val="004C4801"/>
    <w:rsid w:val="004E70DF"/>
    <w:rsid w:val="00504F23"/>
    <w:rsid w:val="00505170"/>
    <w:rsid w:val="00505784"/>
    <w:rsid w:val="00510515"/>
    <w:rsid w:val="005117C8"/>
    <w:rsid w:val="005224DB"/>
    <w:rsid w:val="00526C6C"/>
    <w:rsid w:val="005278DD"/>
    <w:rsid w:val="005368E0"/>
    <w:rsid w:val="00546DA2"/>
    <w:rsid w:val="005517B6"/>
    <w:rsid w:val="00553009"/>
    <w:rsid w:val="00556E57"/>
    <w:rsid w:val="005637E8"/>
    <w:rsid w:val="00573DB7"/>
    <w:rsid w:val="00592630"/>
    <w:rsid w:val="005A02A7"/>
    <w:rsid w:val="005B7DF0"/>
    <w:rsid w:val="005C0F60"/>
    <w:rsid w:val="005C249C"/>
    <w:rsid w:val="005E2276"/>
    <w:rsid w:val="00601462"/>
    <w:rsid w:val="006077DF"/>
    <w:rsid w:val="006278D6"/>
    <w:rsid w:val="00631714"/>
    <w:rsid w:val="00652A5F"/>
    <w:rsid w:val="0066349F"/>
    <w:rsid w:val="00665690"/>
    <w:rsid w:val="00667C59"/>
    <w:rsid w:val="0067779B"/>
    <w:rsid w:val="006816BF"/>
    <w:rsid w:val="006A600C"/>
    <w:rsid w:val="006B604A"/>
    <w:rsid w:val="006C0733"/>
    <w:rsid w:val="006C270C"/>
    <w:rsid w:val="006D0947"/>
    <w:rsid w:val="006D3778"/>
    <w:rsid w:val="006E672C"/>
    <w:rsid w:val="006F0D3F"/>
    <w:rsid w:val="006F2363"/>
    <w:rsid w:val="00713181"/>
    <w:rsid w:val="00721607"/>
    <w:rsid w:val="00727874"/>
    <w:rsid w:val="007301E5"/>
    <w:rsid w:val="00730B0A"/>
    <w:rsid w:val="0073127B"/>
    <w:rsid w:val="00735AE2"/>
    <w:rsid w:val="00740BE6"/>
    <w:rsid w:val="00760642"/>
    <w:rsid w:val="007778DD"/>
    <w:rsid w:val="00780930"/>
    <w:rsid w:val="007832A0"/>
    <w:rsid w:val="00783844"/>
    <w:rsid w:val="0078392B"/>
    <w:rsid w:val="00797211"/>
    <w:rsid w:val="007A712C"/>
    <w:rsid w:val="007B22A1"/>
    <w:rsid w:val="007B6CC0"/>
    <w:rsid w:val="007D2C37"/>
    <w:rsid w:val="007D7BCE"/>
    <w:rsid w:val="007E08C6"/>
    <w:rsid w:val="007E0A66"/>
    <w:rsid w:val="007E5283"/>
    <w:rsid w:val="007F2489"/>
    <w:rsid w:val="00812824"/>
    <w:rsid w:val="008340DB"/>
    <w:rsid w:val="00835EC8"/>
    <w:rsid w:val="00840E78"/>
    <w:rsid w:val="00841F9B"/>
    <w:rsid w:val="00847840"/>
    <w:rsid w:val="008713A1"/>
    <w:rsid w:val="00876362"/>
    <w:rsid w:val="00877153"/>
    <w:rsid w:val="00891B9D"/>
    <w:rsid w:val="00891D18"/>
    <w:rsid w:val="00894F86"/>
    <w:rsid w:val="00897D7F"/>
    <w:rsid w:val="008A0D71"/>
    <w:rsid w:val="008C397E"/>
    <w:rsid w:val="008E18CA"/>
    <w:rsid w:val="009015A8"/>
    <w:rsid w:val="00907A76"/>
    <w:rsid w:val="00916111"/>
    <w:rsid w:val="00922B62"/>
    <w:rsid w:val="0094733C"/>
    <w:rsid w:val="00947566"/>
    <w:rsid w:val="009530AA"/>
    <w:rsid w:val="00964200"/>
    <w:rsid w:val="0096608A"/>
    <w:rsid w:val="009733B8"/>
    <w:rsid w:val="00973575"/>
    <w:rsid w:val="00974603"/>
    <w:rsid w:val="0098299A"/>
    <w:rsid w:val="00991CE7"/>
    <w:rsid w:val="009D2211"/>
    <w:rsid w:val="009F2D32"/>
    <w:rsid w:val="009F47FE"/>
    <w:rsid w:val="00A06305"/>
    <w:rsid w:val="00A06C93"/>
    <w:rsid w:val="00A13A1F"/>
    <w:rsid w:val="00A13FF2"/>
    <w:rsid w:val="00A165FF"/>
    <w:rsid w:val="00A20532"/>
    <w:rsid w:val="00A2305A"/>
    <w:rsid w:val="00A23F27"/>
    <w:rsid w:val="00A27FBD"/>
    <w:rsid w:val="00A3014F"/>
    <w:rsid w:val="00A32529"/>
    <w:rsid w:val="00A336CD"/>
    <w:rsid w:val="00A43FE6"/>
    <w:rsid w:val="00A505CF"/>
    <w:rsid w:val="00A513ED"/>
    <w:rsid w:val="00A51FD3"/>
    <w:rsid w:val="00A56E8C"/>
    <w:rsid w:val="00A73AB0"/>
    <w:rsid w:val="00A77281"/>
    <w:rsid w:val="00AA03CB"/>
    <w:rsid w:val="00AA0E0B"/>
    <w:rsid w:val="00AA54EE"/>
    <w:rsid w:val="00AB4EB4"/>
    <w:rsid w:val="00AB694F"/>
    <w:rsid w:val="00AC10FC"/>
    <w:rsid w:val="00AE71A3"/>
    <w:rsid w:val="00B04934"/>
    <w:rsid w:val="00B04B32"/>
    <w:rsid w:val="00B1050C"/>
    <w:rsid w:val="00B11BB8"/>
    <w:rsid w:val="00B22FF7"/>
    <w:rsid w:val="00B26B4B"/>
    <w:rsid w:val="00B4096D"/>
    <w:rsid w:val="00B421A2"/>
    <w:rsid w:val="00B439A7"/>
    <w:rsid w:val="00B47FA3"/>
    <w:rsid w:val="00B50EA3"/>
    <w:rsid w:val="00B72507"/>
    <w:rsid w:val="00B75218"/>
    <w:rsid w:val="00B81FE1"/>
    <w:rsid w:val="00B836AA"/>
    <w:rsid w:val="00B87511"/>
    <w:rsid w:val="00B964C3"/>
    <w:rsid w:val="00B9778A"/>
    <w:rsid w:val="00BB2B05"/>
    <w:rsid w:val="00BC185C"/>
    <w:rsid w:val="00BC3DAA"/>
    <w:rsid w:val="00BC41D8"/>
    <w:rsid w:val="00BD6DD5"/>
    <w:rsid w:val="00BF2F4D"/>
    <w:rsid w:val="00BF644A"/>
    <w:rsid w:val="00C23511"/>
    <w:rsid w:val="00C30D9A"/>
    <w:rsid w:val="00C3224C"/>
    <w:rsid w:val="00C446A2"/>
    <w:rsid w:val="00C525F4"/>
    <w:rsid w:val="00C550A2"/>
    <w:rsid w:val="00C5565B"/>
    <w:rsid w:val="00C55BC9"/>
    <w:rsid w:val="00C60075"/>
    <w:rsid w:val="00C61DCC"/>
    <w:rsid w:val="00C91445"/>
    <w:rsid w:val="00C951B2"/>
    <w:rsid w:val="00CA25B1"/>
    <w:rsid w:val="00CA57C6"/>
    <w:rsid w:val="00CA69FB"/>
    <w:rsid w:val="00CA7F3A"/>
    <w:rsid w:val="00CC5920"/>
    <w:rsid w:val="00CE2EE7"/>
    <w:rsid w:val="00CE4986"/>
    <w:rsid w:val="00CF3B1D"/>
    <w:rsid w:val="00D12B7D"/>
    <w:rsid w:val="00D16A92"/>
    <w:rsid w:val="00D232B2"/>
    <w:rsid w:val="00D3350B"/>
    <w:rsid w:val="00D40457"/>
    <w:rsid w:val="00D41ECF"/>
    <w:rsid w:val="00D4689E"/>
    <w:rsid w:val="00D46DCE"/>
    <w:rsid w:val="00D67C61"/>
    <w:rsid w:val="00D70724"/>
    <w:rsid w:val="00D74146"/>
    <w:rsid w:val="00D80139"/>
    <w:rsid w:val="00D82209"/>
    <w:rsid w:val="00DC05DB"/>
    <w:rsid w:val="00DC1959"/>
    <w:rsid w:val="00DC4451"/>
    <w:rsid w:val="00DD5BB0"/>
    <w:rsid w:val="00DE0A7D"/>
    <w:rsid w:val="00DE6C48"/>
    <w:rsid w:val="00DF1A74"/>
    <w:rsid w:val="00E076A7"/>
    <w:rsid w:val="00E1052A"/>
    <w:rsid w:val="00E201BA"/>
    <w:rsid w:val="00E207E6"/>
    <w:rsid w:val="00E271D0"/>
    <w:rsid w:val="00E273FA"/>
    <w:rsid w:val="00E31D05"/>
    <w:rsid w:val="00E519EE"/>
    <w:rsid w:val="00E64177"/>
    <w:rsid w:val="00E7319D"/>
    <w:rsid w:val="00E925CC"/>
    <w:rsid w:val="00E9768A"/>
    <w:rsid w:val="00EB6A72"/>
    <w:rsid w:val="00EE529D"/>
    <w:rsid w:val="00EE7245"/>
    <w:rsid w:val="00EF19AC"/>
    <w:rsid w:val="00EF67E5"/>
    <w:rsid w:val="00F03053"/>
    <w:rsid w:val="00F24695"/>
    <w:rsid w:val="00F2576D"/>
    <w:rsid w:val="00F354E0"/>
    <w:rsid w:val="00F400B6"/>
    <w:rsid w:val="00F779B9"/>
    <w:rsid w:val="00F90E00"/>
    <w:rsid w:val="00F910D9"/>
    <w:rsid w:val="00F95811"/>
    <w:rsid w:val="00F95AEC"/>
    <w:rsid w:val="00FB6DDD"/>
    <w:rsid w:val="00FC2C7A"/>
    <w:rsid w:val="00FD0F87"/>
    <w:rsid w:val="00FD1124"/>
    <w:rsid w:val="00FD6CC4"/>
    <w:rsid w:val="00FF4CB8"/>
    <w:rsid w:val="00FF786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5130D"/>
  <w15:chartTrackingRefBased/>
  <w15:docId w15:val="{5E0BA51C-D3D7-4C0A-8196-8A72D4C8F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951B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4119"/>
    <w:pPr>
      <w:ind w:left="720"/>
      <w:contextualSpacing/>
    </w:pPr>
  </w:style>
  <w:style w:type="character" w:styleId="Hyperlink">
    <w:name w:val="Hyperlink"/>
    <w:basedOn w:val="DefaultParagraphFont"/>
    <w:uiPriority w:val="99"/>
    <w:unhideWhenUsed/>
    <w:rsid w:val="00154119"/>
    <w:rPr>
      <w:color w:val="0000FF" w:themeColor="hyperlink"/>
      <w:u w:val="single"/>
    </w:rPr>
  </w:style>
  <w:style w:type="table" w:styleId="TableGrid">
    <w:name w:val="Table Grid"/>
    <w:basedOn w:val="TableNormal"/>
    <w:uiPriority w:val="59"/>
    <w:rsid w:val="00601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042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2042B"/>
  </w:style>
  <w:style w:type="paragraph" w:styleId="Footer">
    <w:name w:val="footer"/>
    <w:basedOn w:val="Normal"/>
    <w:link w:val="FooterChar"/>
    <w:uiPriority w:val="99"/>
    <w:unhideWhenUsed/>
    <w:rsid w:val="001204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2042B"/>
  </w:style>
  <w:style w:type="paragraph" w:customStyle="1" w:styleId="Instructions">
    <w:name w:val="Instructions"/>
    <w:basedOn w:val="Normal"/>
    <w:link w:val="InstructionsCar"/>
    <w:qFormat/>
    <w:rsid w:val="00EF67E5"/>
    <w:pPr>
      <w:spacing w:after="0" w:line="240" w:lineRule="auto"/>
      <w:ind w:left="357"/>
      <w:jc w:val="both"/>
    </w:pPr>
    <w:rPr>
      <w:rFonts w:ascii="Arial" w:eastAsia="MS Mincho" w:hAnsi="Arial" w:cs="Times New Roman"/>
      <w:i/>
      <w:color w:val="808080"/>
      <w:szCs w:val="24"/>
      <w:lang w:eastAsia="ja-JP"/>
    </w:rPr>
  </w:style>
  <w:style w:type="character" w:customStyle="1" w:styleId="InstructionsCar">
    <w:name w:val="Instructions Car"/>
    <w:link w:val="Instructions"/>
    <w:rsid w:val="00EF67E5"/>
    <w:rPr>
      <w:rFonts w:ascii="Arial" w:eastAsia="MS Mincho" w:hAnsi="Arial" w:cs="Times New Roman"/>
      <w:i/>
      <w:color w:val="808080"/>
      <w:szCs w:val="24"/>
      <w:lang w:eastAsia="ja-JP"/>
    </w:rPr>
  </w:style>
  <w:style w:type="paragraph" w:customStyle="1" w:styleId="Default">
    <w:name w:val="Default"/>
    <w:rsid w:val="00F95811"/>
    <w:pPr>
      <w:autoSpaceDE w:val="0"/>
      <w:autoSpaceDN w:val="0"/>
      <w:adjustRightInd w:val="0"/>
      <w:spacing w:after="0" w:line="240" w:lineRule="auto"/>
    </w:pPr>
    <w:rPr>
      <w:rFonts w:ascii="Calibri" w:hAnsi="Calibri" w:cs="Calibri"/>
      <w:color w:val="000000"/>
      <w:sz w:val="24"/>
      <w:szCs w:val="24"/>
    </w:rPr>
  </w:style>
  <w:style w:type="character" w:styleId="PlaceholderText">
    <w:name w:val="Placeholder Text"/>
    <w:basedOn w:val="DefaultParagraphFont"/>
    <w:uiPriority w:val="99"/>
    <w:semiHidden/>
    <w:rsid w:val="00F779B9"/>
    <w:rPr>
      <w:color w:val="808080"/>
    </w:rPr>
  </w:style>
  <w:style w:type="character" w:styleId="Emphasis">
    <w:name w:val="Emphasis"/>
    <w:basedOn w:val="DefaultParagraphFont"/>
    <w:uiPriority w:val="20"/>
    <w:qFormat/>
    <w:rsid w:val="00812824"/>
    <w:rPr>
      <w:i/>
      <w:iCs/>
    </w:rPr>
  </w:style>
  <w:style w:type="character" w:customStyle="1" w:styleId="Heading2Char">
    <w:name w:val="Heading 2 Char"/>
    <w:basedOn w:val="DefaultParagraphFont"/>
    <w:link w:val="Heading2"/>
    <w:uiPriority w:val="9"/>
    <w:semiHidden/>
    <w:rsid w:val="00C951B2"/>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317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68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evin-jose.acuna-condori@universite-paris-saclay.f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3</Pages>
  <Words>1267</Words>
  <Characters>7222</Characters>
  <Application>Microsoft Office Word</Application>
  <DocSecurity>0</DocSecurity>
  <Lines>60</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Bastien Bechadergue</dc:creator>
  <cp:keywords/>
  <dc:description/>
  <cp:lastModifiedBy>Kevin Acuna</cp:lastModifiedBy>
  <cp:revision>6</cp:revision>
  <dcterms:created xsi:type="dcterms:W3CDTF">2024-06-06T12:55:00Z</dcterms:created>
  <dcterms:modified xsi:type="dcterms:W3CDTF">2025-12-01T16:57:00Z</dcterms:modified>
</cp:coreProperties>
</file>