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51579F" w14:textId="4B376C3F" w:rsidR="00701C94" w:rsidRDefault="00701C94" w:rsidP="00C67042">
      <w:pPr>
        <w:pStyle w:val="Normal1"/>
        <w:spacing w:after="0" w:line="240" w:lineRule="auto"/>
        <w:ind w:firstLine="0"/>
        <w:jc w:val="center"/>
        <w:rPr>
          <w:rFonts w:cs="Times New Roman"/>
          <w:b/>
          <w:bCs/>
          <w:caps/>
        </w:rPr>
      </w:pPr>
      <w:r>
        <w:rPr>
          <w:rFonts w:cs="Times New Roman"/>
          <w:b/>
          <w:bCs/>
          <w:caps/>
        </w:rPr>
        <w:t>Kernochan Center for Law, Media and the Arts</w:t>
      </w:r>
    </w:p>
    <w:p w14:paraId="16DA2E85" w14:textId="2840951D" w:rsidR="00701C94" w:rsidRDefault="00701C94" w:rsidP="00C67042">
      <w:pPr>
        <w:pStyle w:val="Normal1"/>
        <w:spacing w:after="0" w:line="240" w:lineRule="auto"/>
        <w:ind w:firstLine="0"/>
        <w:jc w:val="center"/>
        <w:rPr>
          <w:rFonts w:cs="Times New Roman"/>
          <w:b/>
          <w:bCs/>
          <w:caps/>
        </w:rPr>
      </w:pPr>
      <w:r>
        <w:rPr>
          <w:rFonts w:cs="Times New Roman"/>
          <w:b/>
          <w:bCs/>
          <w:caps/>
        </w:rPr>
        <w:t>Columbia Law School</w:t>
      </w:r>
      <w:bookmarkStart w:id="0" w:name="_GoBack"/>
      <w:bookmarkEnd w:id="0"/>
    </w:p>
    <w:p w14:paraId="769B2741" w14:textId="77777777" w:rsidR="00701C94" w:rsidRDefault="00701C94" w:rsidP="00C67042">
      <w:pPr>
        <w:pStyle w:val="Normal1"/>
        <w:spacing w:after="0" w:line="240" w:lineRule="auto"/>
        <w:ind w:firstLine="0"/>
        <w:jc w:val="center"/>
        <w:rPr>
          <w:rFonts w:cs="Times New Roman"/>
          <w:b/>
          <w:bCs/>
          <w:caps/>
        </w:rPr>
      </w:pPr>
    </w:p>
    <w:p w14:paraId="393DE72B" w14:textId="77777777" w:rsidR="00701C94" w:rsidRDefault="00701C94" w:rsidP="00C67042">
      <w:pPr>
        <w:pStyle w:val="Normal1"/>
        <w:spacing w:after="0" w:line="240" w:lineRule="auto"/>
        <w:ind w:firstLine="0"/>
        <w:jc w:val="center"/>
        <w:rPr>
          <w:rFonts w:cs="Times New Roman"/>
          <w:b/>
          <w:bCs/>
          <w:caps/>
        </w:rPr>
      </w:pPr>
    </w:p>
    <w:p w14:paraId="703B0A4B" w14:textId="77777777" w:rsidR="00C67042" w:rsidRPr="00172580" w:rsidRDefault="00C67042" w:rsidP="00C67042">
      <w:pPr>
        <w:pStyle w:val="Normal1"/>
        <w:spacing w:after="0" w:line="240" w:lineRule="auto"/>
        <w:ind w:firstLine="0"/>
        <w:jc w:val="center"/>
        <w:rPr>
          <w:rFonts w:cs="Times New Roman"/>
          <w:b/>
          <w:bCs/>
          <w:caps/>
        </w:rPr>
      </w:pPr>
      <w:r w:rsidRPr="00172580">
        <w:rPr>
          <w:rFonts w:cs="Times New Roman"/>
          <w:b/>
          <w:bCs/>
          <w:caps/>
        </w:rPr>
        <w:t>Before the</w:t>
      </w:r>
    </w:p>
    <w:p w14:paraId="2406DEC7" w14:textId="77777777" w:rsidR="00C67042" w:rsidRPr="00172580" w:rsidRDefault="00C67042" w:rsidP="00C67042">
      <w:pPr>
        <w:pStyle w:val="Normal1"/>
        <w:spacing w:after="0" w:line="240" w:lineRule="auto"/>
        <w:ind w:firstLine="0"/>
        <w:jc w:val="center"/>
        <w:rPr>
          <w:rFonts w:cs="Times New Roman"/>
          <w:b/>
          <w:bCs/>
          <w:caps/>
        </w:rPr>
      </w:pPr>
      <w:r w:rsidRPr="00172580">
        <w:rPr>
          <w:rFonts w:cs="Times New Roman"/>
          <w:b/>
          <w:bCs/>
          <w:caps/>
        </w:rPr>
        <w:t>U.S. COPYRIGHT OFFICE</w:t>
      </w:r>
    </w:p>
    <w:p w14:paraId="369D31C4" w14:textId="77777777" w:rsidR="00C67042" w:rsidRPr="00172580" w:rsidRDefault="00C67042" w:rsidP="00C67042">
      <w:pPr>
        <w:pStyle w:val="Normal1"/>
        <w:spacing w:line="240" w:lineRule="auto"/>
        <w:ind w:firstLine="0"/>
        <w:rPr>
          <w:rFonts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67042" w:rsidRPr="00172580" w14:paraId="13565326" w14:textId="77777777" w:rsidTr="00C67042">
        <w:tc>
          <w:tcPr>
            <w:tcW w:w="4788" w:type="dxa"/>
            <w:tcBorders>
              <w:top w:val="single" w:sz="4" w:space="0" w:color="auto"/>
              <w:left w:val="nil"/>
              <w:bottom w:val="single" w:sz="4" w:space="0" w:color="auto"/>
              <w:right w:val="single" w:sz="4" w:space="0" w:color="auto"/>
            </w:tcBorders>
            <w:vAlign w:val="center"/>
          </w:tcPr>
          <w:p w14:paraId="478AEBE4" w14:textId="77777777" w:rsidR="00C67042" w:rsidRPr="00172580" w:rsidRDefault="00C67042">
            <w:pPr>
              <w:pStyle w:val="Normal1"/>
              <w:spacing w:after="0" w:line="240" w:lineRule="auto"/>
              <w:ind w:firstLine="0"/>
              <w:jc w:val="center"/>
              <w:rPr>
                <w:rFonts w:cs="Times New Roman"/>
                <w:b/>
              </w:rPr>
            </w:pPr>
          </w:p>
          <w:p w14:paraId="378872CE" w14:textId="77777777" w:rsidR="00C67042" w:rsidRPr="00172580" w:rsidRDefault="00C67042">
            <w:pPr>
              <w:pStyle w:val="Normal1"/>
              <w:spacing w:after="0" w:line="240" w:lineRule="auto"/>
              <w:ind w:firstLine="0"/>
              <w:jc w:val="center"/>
              <w:rPr>
                <w:rFonts w:cs="Times New Roman"/>
                <w:b/>
              </w:rPr>
            </w:pPr>
          </w:p>
          <w:p w14:paraId="08A90EAC" w14:textId="77777777" w:rsidR="00C67042" w:rsidRPr="00172580" w:rsidRDefault="00C67042">
            <w:pPr>
              <w:pStyle w:val="Normal1"/>
              <w:spacing w:after="0" w:line="240" w:lineRule="auto"/>
              <w:ind w:firstLine="0"/>
              <w:rPr>
                <w:rFonts w:cs="Times New Roman"/>
                <w:b/>
              </w:rPr>
            </w:pPr>
            <w:r w:rsidRPr="00172580">
              <w:rPr>
                <w:rFonts w:cs="Times New Roman"/>
                <w:b/>
              </w:rPr>
              <w:t>Section 1201 Study</w:t>
            </w:r>
          </w:p>
          <w:p w14:paraId="58A49B0C" w14:textId="77777777" w:rsidR="00C67042" w:rsidRPr="00172580" w:rsidRDefault="00C67042">
            <w:pPr>
              <w:pStyle w:val="Normal1"/>
              <w:spacing w:after="0" w:line="240" w:lineRule="auto"/>
              <w:ind w:firstLine="0"/>
              <w:jc w:val="center"/>
              <w:rPr>
                <w:rFonts w:cs="Times New Roman"/>
                <w:b/>
              </w:rPr>
            </w:pPr>
          </w:p>
          <w:p w14:paraId="3DDD0EE6" w14:textId="77777777" w:rsidR="00C67042" w:rsidRPr="00172580" w:rsidRDefault="00C67042">
            <w:pPr>
              <w:pStyle w:val="Normal1"/>
              <w:spacing w:after="0" w:line="240" w:lineRule="auto"/>
              <w:ind w:firstLine="0"/>
              <w:jc w:val="center"/>
              <w:rPr>
                <w:rFonts w:cs="Times New Roman"/>
                <w:b/>
              </w:rPr>
            </w:pPr>
          </w:p>
        </w:tc>
        <w:tc>
          <w:tcPr>
            <w:tcW w:w="4788" w:type="dxa"/>
            <w:tcBorders>
              <w:top w:val="nil"/>
              <w:left w:val="single" w:sz="4" w:space="0" w:color="auto"/>
              <w:bottom w:val="nil"/>
              <w:right w:val="nil"/>
            </w:tcBorders>
            <w:vAlign w:val="center"/>
          </w:tcPr>
          <w:p w14:paraId="64916AD7" w14:textId="77777777" w:rsidR="00C67042" w:rsidRPr="00172580" w:rsidRDefault="00C67042">
            <w:pPr>
              <w:pStyle w:val="Normal1"/>
              <w:spacing w:after="0" w:line="240" w:lineRule="auto"/>
              <w:ind w:firstLine="0"/>
              <w:jc w:val="center"/>
              <w:rPr>
                <w:rFonts w:cs="Times New Roman"/>
                <w:b/>
              </w:rPr>
            </w:pPr>
            <w:r w:rsidRPr="00172580">
              <w:rPr>
                <w:rFonts w:cs="Times New Roman"/>
                <w:b/>
              </w:rPr>
              <w:t>Docket No. 2015-8</w:t>
            </w:r>
          </w:p>
          <w:p w14:paraId="39BC996A" w14:textId="77777777" w:rsidR="00C67042" w:rsidRPr="00172580" w:rsidRDefault="00C67042">
            <w:pPr>
              <w:pStyle w:val="Normal1"/>
              <w:spacing w:after="0" w:line="240" w:lineRule="auto"/>
              <w:ind w:firstLine="0"/>
              <w:jc w:val="center"/>
              <w:rPr>
                <w:rFonts w:cs="Times New Roman"/>
                <w:b/>
              </w:rPr>
            </w:pPr>
          </w:p>
        </w:tc>
      </w:tr>
    </w:tbl>
    <w:p w14:paraId="71C091E6" w14:textId="77777777" w:rsidR="00C67042" w:rsidRPr="00172580" w:rsidRDefault="00C67042" w:rsidP="00C67042">
      <w:pPr>
        <w:rPr>
          <w:rFonts w:ascii="Times New Roman" w:hAnsi="Times New Roman" w:cs="Times New Roman"/>
        </w:rPr>
      </w:pPr>
    </w:p>
    <w:p w14:paraId="03AA0E22" w14:textId="77777777" w:rsidR="00C67042" w:rsidRPr="00172580" w:rsidRDefault="00C67042" w:rsidP="00C67042">
      <w:pPr>
        <w:spacing w:after="120"/>
        <w:jc w:val="center"/>
        <w:outlineLvl w:val="0"/>
        <w:rPr>
          <w:rFonts w:ascii="Times New Roman" w:hAnsi="Times New Roman" w:cs="Times New Roman"/>
          <w:b/>
          <w:u w:val="single"/>
        </w:rPr>
      </w:pPr>
      <w:r w:rsidRPr="00172580">
        <w:rPr>
          <w:rFonts w:ascii="Times New Roman" w:hAnsi="Times New Roman" w:cs="Times New Roman"/>
          <w:b/>
          <w:u w:val="single"/>
        </w:rPr>
        <w:t xml:space="preserve">Comments of the </w:t>
      </w:r>
      <w:proofErr w:type="spellStart"/>
      <w:r w:rsidRPr="00172580">
        <w:rPr>
          <w:rFonts w:ascii="Times New Roman" w:hAnsi="Times New Roman" w:cs="Times New Roman"/>
          <w:b/>
          <w:u w:val="single"/>
        </w:rPr>
        <w:t>Kernochan</w:t>
      </w:r>
      <w:proofErr w:type="spellEnd"/>
      <w:r w:rsidRPr="00172580">
        <w:rPr>
          <w:rFonts w:ascii="Times New Roman" w:hAnsi="Times New Roman" w:cs="Times New Roman"/>
          <w:b/>
          <w:u w:val="single"/>
        </w:rPr>
        <w:t xml:space="preserve"> Center for Law, Media and the Arts</w:t>
      </w:r>
    </w:p>
    <w:p w14:paraId="2DECDF48" w14:textId="77777777" w:rsidR="00C67042" w:rsidRPr="00172580" w:rsidRDefault="00C67042" w:rsidP="00C67042">
      <w:pPr>
        <w:spacing w:after="120"/>
        <w:jc w:val="center"/>
        <w:outlineLvl w:val="0"/>
        <w:rPr>
          <w:rFonts w:ascii="Times New Roman" w:hAnsi="Times New Roman" w:cs="Times New Roman"/>
          <w:b/>
          <w:u w:val="single"/>
        </w:rPr>
      </w:pPr>
      <w:r w:rsidRPr="00172580">
        <w:rPr>
          <w:rFonts w:ascii="Times New Roman" w:hAnsi="Times New Roman" w:cs="Times New Roman"/>
          <w:b/>
          <w:u w:val="single"/>
        </w:rPr>
        <w:t>Columbia Law School</w:t>
      </w:r>
    </w:p>
    <w:p w14:paraId="733E9815" w14:textId="77777777" w:rsidR="00C67042" w:rsidRPr="00172580" w:rsidRDefault="00C67042" w:rsidP="00A554CB">
      <w:pPr>
        <w:spacing w:after="240" w:line="276" w:lineRule="auto"/>
        <w:rPr>
          <w:rFonts w:ascii="Times New Roman" w:hAnsi="Times New Roman" w:cs="Times New Roman"/>
          <w:b/>
        </w:rPr>
      </w:pPr>
      <w:r w:rsidRPr="00172580">
        <w:rPr>
          <w:rFonts w:ascii="Times New Roman" w:hAnsi="Times New Roman" w:cs="Times New Roman"/>
          <w:b/>
        </w:rPr>
        <w:t>Introduction</w:t>
      </w:r>
    </w:p>
    <w:p w14:paraId="435D500B" w14:textId="2D266BF8" w:rsidR="00172580" w:rsidRDefault="00C67042" w:rsidP="00E011B1">
      <w:pPr>
        <w:widowControl w:val="0"/>
        <w:autoSpaceDE w:val="0"/>
        <w:autoSpaceDN w:val="0"/>
        <w:adjustRightInd w:val="0"/>
        <w:spacing w:line="360" w:lineRule="auto"/>
        <w:ind w:firstLine="720"/>
        <w:rPr>
          <w:rFonts w:ascii="Times New Roman" w:hAnsi="Times New Roman" w:cs="Times New Roman"/>
        </w:rPr>
      </w:pPr>
      <w:r w:rsidRPr="00172580">
        <w:rPr>
          <w:rFonts w:ascii="Times New Roman" w:hAnsi="Times New Roman" w:cs="Times New Roman"/>
        </w:rPr>
        <w:t xml:space="preserve">The </w:t>
      </w:r>
      <w:proofErr w:type="spellStart"/>
      <w:r w:rsidRPr="00172580">
        <w:rPr>
          <w:rFonts w:ascii="Times New Roman" w:hAnsi="Times New Roman" w:cs="Times New Roman"/>
        </w:rPr>
        <w:t>Kernochan</w:t>
      </w:r>
      <w:proofErr w:type="spellEnd"/>
      <w:r w:rsidRPr="00172580">
        <w:rPr>
          <w:rFonts w:ascii="Times New Roman" w:hAnsi="Times New Roman" w:cs="Times New Roman"/>
        </w:rPr>
        <w:t xml:space="preserve"> Center for Law, Media and the Arts appreciates the opportunity to respond to the Notice of Inquiry concerning </w:t>
      </w:r>
      <w:r w:rsidR="00E35EC8">
        <w:rPr>
          <w:rFonts w:ascii="Times New Roman" w:hAnsi="Times New Roman" w:cs="Times New Roman"/>
        </w:rPr>
        <w:t>the</w:t>
      </w:r>
      <w:r w:rsidRPr="00172580">
        <w:rPr>
          <w:rFonts w:ascii="Times New Roman" w:hAnsi="Times New Roman" w:cs="Times New Roman"/>
        </w:rPr>
        <w:t xml:space="preserve"> study of Section 1201</w:t>
      </w:r>
      <w:r w:rsidRPr="00172580">
        <w:rPr>
          <w:rFonts w:ascii="Times New Roman" w:hAnsi="Times New Roman" w:cs="Times New Roman"/>
          <w:i/>
        </w:rPr>
        <w:t xml:space="preserve"> </w:t>
      </w:r>
      <w:r w:rsidRPr="00172580">
        <w:rPr>
          <w:rFonts w:ascii="Times New Roman" w:hAnsi="Times New Roman" w:cs="Times New Roman"/>
        </w:rPr>
        <w:t xml:space="preserve">published by the U.S. Copyright Office, 80 Fed. Reg. </w:t>
      </w:r>
      <w:r w:rsidR="00B46B0D">
        <w:rPr>
          <w:rFonts w:ascii="Times New Roman" w:hAnsi="Times New Roman" w:cs="Times New Roman"/>
        </w:rPr>
        <w:t>8</w:t>
      </w:r>
      <w:r w:rsidRPr="00172580">
        <w:rPr>
          <w:rFonts w:ascii="Times New Roman" w:hAnsi="Times New Roman" w:cs="Times New Roman"/>
        </w:rPr>
        <w:t>1,369-73 (Dec. 29, 2015).</w:t>
      </w:r>
      <w:r w:rsidR="00A5799E" w:rsidRPr="00A5799E">
        <w:rPr>
          <w:rStyle w:val="FootnoteReference"/>
          <w:rFonts w:ascii="Times New Roman" w:hAnsi="Times New Roman" w:cs="Times New Roman"/>
        </w:rPr>
        <w:t xml:space="preserve"> </w:t>
      </w:r>
      <w:r w:rsidR="00A5799E">
        <w:rPr>
          <w:rStyle w:val="FootnoteReference"/>
          <w:rFonts w:ascii="Times New Roman" w:hAnsi="Times New Roman" w:cs="Times New Roman"/>
        </w:rPr>
        <w:footnoteReference w:id="1"/>
      </w:r>
      <w:r w:rsidRPr="00172580">
        <w:rPr>
          <w:rFonts w:ascii="Times New Roman" w:hAnsi="Times New Roman" w:cs="Times New Roman"/>
        </w:rPr>
        <w:t xml:space="preserve">  </w:t>
      </w:r>
    </w:p>
    <w:p w14:paraId="6DD49DEB" w14:textId="77777777" w:rsidR="00172580" w:rsidRPr="00172580" w:rsidRDefault="00172580" w:rsidP="00E011B1">
      <w:pPr>
        <w:widowControl w:val="0"/>
        <w:autoSpaceDE w:val="0"/>
        <w:autoSpaceDN w:val="0"/>
        <w:adjustRightInd w:val="0"/>
        <w:spacing w:line="360" w:lineRule="auto"/>
        <w:ind w:firstLine="720"/>
        <w:rPr>
          <w:rFonts w:ascii="Times New Roman" w:hAnsi="Times New Roman" w:cs="Times New Roman"/>
        </w:rPr>
      </w:pPr>
      <w:r w:rsidRPr="00172580">
        <w:rPr>
          <w:rFonts w:ascii="Times New Roman" w:hAnsi="Times New Roman" w:cs="Times New Roman"/>
        </w:rPr>
        <w:t xml:space="preserve">The </w:t>
      </w:r>
      <w:proofErr w:type="spellStart"/>
      <w:r w:rsidRPr="00172580">
        <w:rPr>
          <w:rFonts w:ascii="Times New Roman" w:hAnsi="Times New Roman" w:cs="Times New Roman"/>
        </w:rPr>
        <w:t>Kernochan</w:t>
      </w:r>
      <w:proofErr w:type="spellEnd"/>
      <w:r w:rsidRPr="00172580">
        <w:rPr>
          <w:rFonts w:ascii="Times New Roman" w:hAnsi="Times New Roman" w:cs="Times New Roman"/>
        </w:rPr>
        <w:t xml:space="preserve"> Center for Law, Media, and the Arts at Columbia Law School is one of the leading centers for intellectual property research in the United States.  Its faculty and staff dedicate their research and writing to copyright, trademarks, and related areas as they concern traditional and emerging media, entertainment and the arts.  The Center offers students an in-depth program of instruction, lectures, internships and externships while providing symposia, lectures, research studies and publications to the broader legal community.  Founded as the Center for Law and the Arts, it was renamed in 1999 to honor Professor John M. </w:t>
      </w:r>
      <w:proofErr w:type="spellStart"/>
      <w:r w:rsidRPr="00172580">
        <w:rPr>
          <w:rFonts w:ascii="Times New Roman" w:hAnsi="Times New Roman" w:cs="Times New Roman"/>
        </w:rPr>
        <w:t>Kernochan</w:t>
      </w:r>
      <w:proofErr w:type="spellEnd"/>
      <w:r w:rsidRPr="00172580">
        <w:rPr>
          <w:rFonts w:ascii="Times New Roman" w:hAnsi="Times New Roman" w:cs="Times New Roman"/>
        </w:rPr>
        <w:t>, its founder and a pioneer in teaching copyright in American law schools.  </w:t>
      </w:r>
    </w:p>
    <w:p w14:paraId="10BB3E1B" w14:textId="271CBD01" w:rsidR="003A40F5" w:rsidRDefault="00D44C0E" w:rsidP="00E011B1">
      <w:pPr>
        <w:spacing w:line="360" w:lineRule="auto"/>
        <w:rPr>
          <w:rFonts w:ascii="Times New Roman" w:hAnsi="Times New Roman" w:cs="Times New Roman"/>
        </w:rPr>
      </w:pPr>
      <w:r>
        <w:rPr>
          <w:rFonts w:ascii="Times New Roman" w:hAnsi="Times New Roman" w:cs="Times New Roman"/>
          <w:i/>
        </w:rPr>
        <w:tab/>
      </w:r>
      <w:r>
        <w:rPr>
          <w:rFonts w:ascii="Times New Roman" w:hAnsi="Times New Roman" w:cs="Times New Roman"/>
        </w:rPr>
        <w:t xml:space="preserve">Section 1201 of Title 17 was passed with the goal of encouraging content producers to release their content on the internet, and to develop new distribution methods, such as providing different price points for different levels of consumption.  Given the vast range of content now available on the internet, it’s easy to forget how rudimentary </w:t>
      </w:r>
      <w:r w:rsidR="00E35EC8">
        <w:rPr>
          <w:rFonts w:ascii="Times New Roman" w:hAnsi="Times New Roman" w:cs="Times New Roman"/>
        </w:rPr>
        <w:t xml:space="preserve">such </w:t>
      </w:r>
      <w:r>
        <w:rPr>
          <w:rFonts w:ascii="Times New Roman" w:hAnsi="Times New Roman" w:cs="Times New Roman"/>
        </w:rPr>
        <w:t xml:space="preserve">content offerings were in the </w:t>
      </w:r>
      <w:r w:rsidR="00EC5259">
        <w:rPr>
          <w:rFonts w:ascii="Times New Roman" w:hAnsi="Times New Roman" w:cs="Times New Roman"/>
        </w:rPr>
        <w:t xml:space="preserve">early </w:t>
      </w:r>
      <w:r>
        <w:rPr>
          <w:rFonts w:ascii="Times New Roman" w:hAnsi="Times New Roman" w:cs="Times New Roman"/>
        </w:rPr>
        <w:t xml:space="preserve">1990s when protection for technological protection </w:t>
      </w:r>
      <w:r w:rsidR="00EC5259">
        <w:rPr>
          <w:rFonts w:ascii="Times New Roman" w:hAnsi="Times New Roman" w:cs="Times New Roman"/>
        </w:rPr>
        <w:t>measure</w:t>
      </w:r>
      <w:r>
        <w:rPr>
          <w:rFonts w:ascii="Times New Roman" w:hAnsi="Times New Roman" w:cs="Times New Roman"/>
        </w:rPr>
        <w:t xml:space="preserve">s was initially proposed.   </w:t>
      </w:r>
    </w:p>
    <w:p w14:paraId="7A4A3D7D" w14:textId="0CDFE90B" w:rsidR="00D44C0E" w:rsidRDefault="00D44C0E" w:rsidP="00E011B1">
      <w:pPr>
        <w:spacing w:line="360" w:lineRule="auto"/>
        <w:ind w:firstLine="720"/>
        <w:rPr>
          <w:rFonts w:ascii="Times New Roman" w:hAnsi="Times New Roman" w:cs="Times New Roman"/>
        </w:rPr>
      </w:pPr>
      <w:r>
        <w:rPr>
          <w:rFonts w:ascii="Times New Roman" w:hAnsi="Times New Roman" w:cs="Times New Roman"/>
        </w:rPr>
        <w:lastRenderedPageBreak/>
        <w:t xml:space="preserve">As we discuss in our response to </w:t>
      </w:r>
      <w:r w:rsidR="00B46B0D">
        <w:rPr>
          <w:rFonts w:ascii="Times New Roman" w:hAnsi="Times New Roman" w:cs="Times New Roman"/>
        </w:rPr>
        <w:t>Q</w:t>
      </w:r>
      <w:r>
        <w:rPr>
          <w:rFonts w:ascii="Times New Roman" w:hAnsi="Times New Roman" w:cs="Times New Roman"/>
        </w:rPr>
        <w:t xml:space="preserve">uestion 1, below, section 1201 has been highly effective.  </w:t>
      </w:r>
      <w:r w:rsidR="003A40F5">
        <w:rPr>
          <w:rFonts w:ascii="Times New Roman" w:hAnsi="Times New Roman" w:cs="Times New Roman"/>
        </w:rPr>
        <w:t>Experience in the years since passage of the DMCA suggest</w:t>
      </w:r>
      <w:r w:rsidR="00DA0871">
        <w:rPr>
          <w:rFonts w:ascii="Times New Roman" w:hAnsi="Times New Roman" w:cs="Times New Roman"/>
        </w:rPr>
        <w:t>s</w:t>
      </w:r>
      <w:r w:rsidR="003A40F5">
        <w:rPr>
          <w:rFonts w:ascii="Times New Roman" w:hAnsi="Times New Roman" w:cs="Times New Roman"/>
        </w:rPr>
        <w:t xml:space="preserve"> that </w:t>
      </w:r>
      <w:r w:rsidR="00E011B1">
        <w:rPr>
          <w:rFonts w:ascii="Times New Roman" w:hAnsi="Times New Roman" w:cs="Times New Roman"/>
        </w:rPr>
        <w:t xml:space="preserve">while </w:t>
      </w:r>
      <w:r w:rsidR="003A40F5">
        <w:rPr>
          <w:rFonts w:ascii="Times New Roman" w:hAnsi="Times New Roman" w:cs="Times New Roman"/>
        </w:rPr>
        <w:t>certain changes to the law</w:t>
      </w:r>
      <w:r w:rsidR="00E35EC8">
        <w:rPr>
          <w:rFonts w:ascii="Times New Roman" w:hAnsi="Times New Roman" w:cs="Times New Roman"/>
        </w:rPr>
        <w:t xml:space="preserve"> may be warranted, </w:t>
      </w:r>
      <w:r w:rsidR="00E011B1">
        <w:rPr>
          <w:rFonts w:ascii="Times New Roman" w:hAnsi="Times New Roman" w:cs="Times New Roman"/>
        </w:rPr>
        <w:t>s</w:t>
      </w:r>
      <w:r>
        <w:rPr>
          <w:rFonts w:ascii="Times New Roman" w:hAnsi="Times New Roman" w:cs="Times New Roman"/>
        </w:rPr>
        <w:t>uch changes should be carefully considered and incremental in nature</w:t>
      </w:r>
      <w:r w:rsidR="00E35EC8">
        <w:rPr>
          <w:rFonts w:ascii="Times New Roman" w:hAnsi="Times New Roman" w:cs="Times New Roman"/>
        </w:rPr>
        <w:t>,</w:t>
      </w:r>
      <w:r>
        <w:rPr>
          <w:rFonts w:ascii="Times New Roman" w:hAnsi="Times New Roman" w:cs="Times New Roman"/>
        </w:rPr>
        <w:t xml:space="preserve"> lest we undermine the positive effects that the statute has had.</w:t>
      </w:r>
    </w:p>
    <w:p w14:paraId="0D25E0A5" w14:textId="77777777" w:rsidR="00A554CB" w:rsidRDefault="00A554CB" w:rsidP="00A554CB">
      <w:pPr>
        <w:spacing w:line="276" w:lineRule="auto"/>
        <w:ind w:firstLine="720"/>
        <w:rPr>
          <w:rFonts w:ascii="Times New Roman" w:hAnsi="Times New Roman" w:cs="Times New Roman"/>
          <w:i/>
        </w:rPr>
      </w:pPr>
    </w:p>
    <w:p w14:paraId="0127D3B7" w14:textId="77777777" w:rsidR="00C67042" w:rsidRDefault="00C67042" w:rsidP="00C67042">
      <w:pPr>
        <w:spacing w:after="240"/>
        <w:rPr>
          <w:rFonts w:ascii="Times New Roman" w:hAnsi="Times New Roman" w:cs="Times New Roman"/>
          <w:i/>
        </w:rPr>
      </w:pPr>
      <w:r w:rsidRPr="00172580">
        <w:rPr>
          <w:rFonts w:ascii="Times New Roman" w:hAnsi="Times New Roman" w:cs="Times New Roman"/>
          <w:i/>
        </w:rPr>
        <w:t>1. Please provide any insights or observations regarding the role and effectiveness of the prohibition on circumvention of technological measures in section 1201(a).</w:t>
      </w:r>
    </w:p>
    <w:p w14:paraId="6FF1C8AD" w14:textId="04FC0E23" w:rsidR="002319E5" w:rsidRDefault="00D44C0E" w:rsidP="00E011B1">
      <w:pPr>
        <w:spacing w:line="360" w:lineRule="auto"/>
        <w:ind w:firstLine="720"/>
        <w:rPr>
          <w:rFonts w:ascii="Times New Roman" w:hAnsi="Times New Roman" w:cs="Times New Roman"/>
        </w:rPr>
      </w:pPr>
      <w:r>
        <w:rPr>
          <w:rFonts w:ascii="Times New Roman" w:hAnsi="Times New Roman" w:cs="Times New Roman"/>
        </w:rPr>
        <w:t xml:space="preserve">Section 1201 </w:t>
      </w:r>
      <w:r w:rsidR="00B46B0D">
        <w:rPr>
          <w:rFonts w:ascii="Times New Roman" w:hAnsi="Times New Roman" w:cs="Times New Roman"/>
        </w:rPr>
        <w:t xml:space="preserve">(a) </w:t>
      </w:r>
      <w:r>
        <w:rPr>
          <w:rFonts w:ascii="Times New Roman" w:hAnsi="Times New Roman" w:cs="Times New Roman"/>
        </w:rPr>
        <w:t xml:space="preserve">has provided content owners with confidence that technological protection </w:t>
      </w:r>
      <w:r w:rsidR="003A40F5">
        <w:rPr>
          <w:rFonts w:ascii="Times New Roman" w:hAnsi="Times New Roman" w:cs="Times New Roman"/>
        </w:rPr>
        <w:t xml:space="preserve">for copyrighted works </w:t>
      </w:r>
      <w:r>
        <w:rPr>
          <w:rFonts w:ascii="Times New Roman" w:hAnsi="Times New Roman" w:cs="Times New Roman"/>
        </w:rPr>
        <w:t xml:space="preserve">can be reasonably effective, </w:t>
      </w:r>
      <w:r w:rsidR="0012016D">
        <w:rPr>
          <w:rFonts w:ascii="Times New Roman" w:hAnsi="Times New Roman" w:cs="Times New Roman"/>
        </w:rPr>
        <w:t xml:space="preserve">and </w:t>
      </w:r>
      <w:r>
        <w:rPr>
          <w:rFonts w:ascii="Times New Roman" w:hAnsi="Times New Roman" w:cs="Times New Roman"/>
        </w:rPr>
        <w:t>encourag</w:t>
      </w:r>
      <w:r w:rsidR="0012016D">
        <w:rPr>
          <w:rFonts w:ascii="Times New Roman" w:hAnsi="Times New Roman" w:cs="Times New Roman"/>
        </w:rPr>
        <w:t>ed</w:t>
      </w:r>
      <w:r>
        <w:rPr>
          <w:rFonts w:ascii="Times New Roman" w:hAnsi="Times New Roman" w:cs="Times New Roman"/>
        </w:rPr>
        <w:t xml:space="preserve"> them to </w:t>
      </w:r>
      <w:r w:rsidR="0012016D">
        <w:rPr>
          <w:rFonts w:ascii="Times New Roman" w:hAnsi="Times New Roman" w:cs="Times New Roman"/>
        </w:rPr>
        <w:t xml:space="preserve">experiment with various means of content distribution in the digital environment.  New forms of distribution </w:t>
      </w:r>
      <w:r w:rsidR="00F60B6D">
        <w:rPr>
          <w:rFonts w:ascii="Times New Roman" w:hAnsi="Times New Roman" w:cs="Times New Roman"/>
        </w:rPr>
        <w:t xml:space="preserve">reliant on </w:t>
      </w:r>
      <w:r w:rsidR="009A3BE1">
        <w:rPr>
          <w:rFonts w:ascii="Times New Roman" w:hAnsi="Times New Roman" w:cs="Times New Roman"/>
        </w:rPr>
        <w:t>technological protection measures</w:t>
      </w:r>
      <w:r w:rsidR="00F60B6D">
        <w:rPr>
          <w:rFonts w:ascii="Times New Roman" w:hAnsi="Times New Roman" w:cs="Times New Roman"/>
        </w:rPr>
        <w:t xml:space="preserve"> </w:t>
      </w:r>
      <w:r w:rsidR="0012016D">
        <w:rPr>
          <w:rFonts w:ascii="Times New Roman" w:hAnsi="Times New Roman" w:cs="Times New Roman"/>
        </w:rPr>
        <w:t xml:space="preserve">include </w:t>
      </w:r>
      <w:r w:rsidR="00F60B6D">
        <w:rPr>
          <w:rFonts w:ascii="Times New Roman" w:hAnsi="Times New Roman" w:cs="Times New Roman"/>
        </w:rPr>
        <w:t>sales of DVDs and Blu-</w:t>
      </w:r>
      <w:r w:rsidR="00EF7B61">
        <w:rPr>
          <w:rFonts w:ascii="Times New Roman" w:hAnsi="Times New Roman" w:cs="Times New Roman"/>
        </w:rPr>
        <w:t>R</w:t>
      </w:r>
      <w:r w:rsidR="00F60B6D">
        <w:rPr>
          <w:rFonts w:ascii="Times New Roman" w:hAnsi="Times New Roman" w:cs="Times New Roman"/>
        </w:rPr>
        <w:t xml:space="preserve">ay Discs; on demand access to sound recordings (Spotify, for example, offers free access based on an advertising model, and paid subscriptions that provide on demand access without advertising); on demand </w:t>
      </w:r>
      <w:r w:rsidR="0053102B">
        <w:rPr>
          <w:rFonts w:ascii="Times New Roman" w:hAnsi="Times New Roman" w:cs="Times New Roman"/>
        </w:rPr>
        <w:t>digital downloads and on demand streaming of television programs and movies</w:t>
      </w:r>
      <w:r w:rsidR="00F60B6D">
        <w:rPr>
          <w:rFonts w:ascii="Times New Roman" w:hAnsi="Times New Roman" w:cs="Times New Roman"/>
        </w:rPr>
        <w:t>, individually and through subscription models</w:t>
      </w:r>
      <w:r w:rsidR="0053102B">
        <w:rPr>
          <w:rFonts w:ascii="Times New Roman" w:hAnsi="Times New Roman" w:cs="Times New Roman"/>
        </w:rPr>
        <w:t xml:space="preserve">; live streaming of performances; availability of </w:t>
      </w:r>
      <w:r w:rsidR="00F60B6D">
        <w:rPr>
          <w:rFonts w:ascii="Times New Roman" w:hAnsi="Times New Roman" w:cs="Times New Roman"/>
        </w:rPr>
        <w:t>books, music, television, movies and other content by means of mobile telephone and tablet computers, and so on</w:t>
      </w:r>
      <w:r w:rsidR="0012016D">
        <w:rPr>
          <w:rFonts w:ascii="Times New Roman" w:hAnsi="Times New Roman" w:cs="Times New Roman"/>
        </w:rPr>
        <w:t xml:space="preserve">.  </w:t>
      </w:r>
    </w:p>
    <w:p w14:paraId="29AC93B4" w14:textId="28AEE2EF" w:rsidR="001B606D" w:rsidRDefault="00F60B6D" w:rsidP="00E011B1">
      <w:pPr>
        <w:spacing w:line="360" w:lineRule="auto"/>
        <w:ind w:firstLine="720"/>
        <w:rPr>
          <w:rFonts w:ascii="Times New Roman" w:hAnsi="Times New Roman" w:cs="Times New Roman"/>
        </w:rPr>
      </w:pPr>
      <w:r>
        <w:rPr>
          <w:rFonts w:ascii="Times New Roman" w:hAnsi="Times New Roman" w:cs="Times New Roman"/>
        </w:rPr>
        <w:t>Many more examples are provided in t</w:t>
      </w:r>
      <w:r w:rsidR="0012016D">
        <w:rPr>
          <w:rFonts w:ascii="Times New Roman" w:hAnsi="Times New Roman" w:cs="Times New Roman"/>
        </w:rPr>
        <w:t xml:space="preserve">he comments submitted by the Copyright Alliance in this proceeding, as well as </w:t>
      </w:r>
      <w:r>
        <w:rPr>
          <w:rFonts w:ascii="Times New Roman" w:hAnsi="Times New Roman" w:cs="Times New Roman"/>
        </w:rPr>
        <w:t xml:space="preserve">in </w:t>
      </w:r>
      <w:r w:rsidR="0012016D">
        <w:rPr>
          <w:rFonts w:ascii="Times New Roman" w:hAnsi="Times New Roman" w:cs="Times New Roman"/>
        </w:rPr>
        <w:t xml:space="preserve">testimony to Congress in its </w:t>
      </w:r>
      <w:r w:rsidR="00DC4549">
        <w:rPr>
          <w:rFonts w:ascii="Times New Roman" w:hAnsi="Times New Roman" w:cs="Times New Roman"/>
        </w:rPr>
        <w:t>September 17, 2014</w:t>
      </w:r>
      <w:r w:rsidR="0012016D">
        <w:rPr>
          <w:rFonts w:ascii="Times New Roman" w:hAnsi="Times New Roman" w:cs="Times New Roman"/>
        </w:rPr>
        <w:t xml:space="preserve"> hearing</w:t>
      </w:r>
      <w:r>
        <w:rPr>
          <w:rFonts w:ascii="Times New Roman" w:hAnsi="Times New Roman" w:cs="Times New Roman"/>
        </w:rPr>
        <w:t xml:space="preserve"> on </w:t>
      </w:r>
      <w:r w:rsidR="00DC4549">
        <w:rPr>
          <w:rFonts w:ascii="Times New Roman" w:hAnsi="Times New Roman" w:cs="Times New Roman"/>
        </w:rPr>
        <w:t>chapter 12 of Title 17</w:t>
      </w:r>
      <w:r>
        <w:rPr>
          <w:rFonts w:ascii="Times New Roman" w:hAnsi="Times New Roman" w:cs="Times New Roman"/>
        </w:rPr>
        <w:t xml:space="preserve">.  </w:t>
      </w:r>
      <w:r w:rsidR="00EC5259">
        <w:rPr>
          <w:rFonts w:ascii="Times New Roman" w:hAnsi="Times New Roman" w:cs="Times New Roman"/>
        </w:rPr>
        <w:t xml:space="preserve">In those hearings, </w:t>
      </w:r>
      <w:r w:rsidR="00DC4549">
        <w:rPr>
          <w:rFonts w:ascii="Times New Roman" w:hAnsi="Times New Roman" w:cs="Times New Roman"/>
        </w:rPr>
        <w:t xml:space="preserve">Jonathan </w:t>
      </w:r>
      <w:proofErr w:type="spellStart"/>
      <w:r w:rsidR="00DC4549">
        <w:rPr>
          <w:rFonts w:ascii="Times New Roman" w:hAnsi="Times New Roman" w:cs="Times New Roman"/>
        </w:rPr>
        <w:t>Zuck</w:t>
      </w:r>
      <w:proofErr w:type="spellEnd"/>
      <w:r w:rsidR="00DC4549">
        <w:rPr>
          <w:rFonts w:ascii="Times New Roman" w:hAnsi="Times New Roman" w:cs="Times New Roman"/>
        </w:rPr>
        <w:t>, president of ACT | The App Association maintained that the DMCA created an environment that contributed to “explosive growth in technological innovations</w:t>
      </w:r>
      <w:r w:rsidR="00710443">
        <w:rPr>
          <w:rFonts w:ascii="Times New Roman" w:hAnsi="Times New Roman" w:cs="Times New Roman"/>
        </w:rPr>
        <w:t xml:space="preserve"> and content delivery options.”  He pointed to iTunes, Hulu and Spotify, as well as numerous apps </w:t>
      </w:r>
      <w:r w:rsidR="00DA0871">
        <w:rPr>
          <w:rFonts w:ascii="Times New Roman" w:hAnsi="Times New Roman" w:cs="Times New Roman"/>
        </w:rPr>
        <w:t xml:space="preserve">that can be made </w:t>
      </w:r>
      <w:r w:rsidR="001A0DE5">
        <w:rPr>
          <w:rFonts w:ascii="Times New Roman" w:hAnsi="Times New Roman" w:cs="Times New Roman"/>
        </w:rPr>
        <w:t>available to consumers with little risk that they will contain viruses or malware.</w:t>
      </w:r>
      <w:r w:rsidR="001A0DE5">
        <w:rPr>
          <w:rStyle w:val="FootnoteReference"/>
          <w:rFonts w:ascii="Times New Roman" w:hAnsi="Times New Roman" w:cs="Times New Roman"/>
        </w:rPr>
        <w:footnoteReference w:id="2"/>
      </w:r>
      <w:r>
        <w:rPr>
          <w:rFonts w:ascii="Times New Roman" w:hAnsi="Times New Roman" w:cs="Times New Roman"/>
        </w:rPr>
        <w:t xml:space="preserve"> </w:t>
      </w:r>
      <w:r w:rsidR="001A0DE5">
        <w:rPr>
          <w:rFonts w:ascii="Times New Roman" w:hAnsi="Times New Roman" w:cs="Times New Roman"/>
        </w:rPr>
        <w:t xml:space="preserve"> Christian </w:t>
      </w:r>
      <w:proofErr w:type="spellStart"/>
      <w:r w:rsidR="001A0DE5">
        <w:rPr>
          <w:rFonts w:ascii="Times New Roman" w:hAnsi="Times New Roman" w:cs="Times New Roman"/>
        </w:rPr>
        <w:t>Genetski</w:t>
      </w:r>
      <w:proofErr w:type="spellEnd"/>
      <w:r w:rsidR="001A0DE5">
        <w:rPr>
          <w:rFonts w:ascii="Times New Roman" w:hAnsi="Times New Roman" w:cs="Times New Roman"/>
        </w:rPr>
        <w:t xml:space="preserve"> of the Entertainment Software Associa</w:t>
      </w:r>
      <w:r w:rsidR="001B606D">
        <w:rPr>
          <w:rFonts w:ascii="Times New Roman" w:hAnsi="Times New Roman" w:cs="Times New Roman"/>
        </w:rPr>
        <w:t>tion stated that section 1201’s anti</w:t>
      </w:r>
      <w:r w:rsidR="00D41AB4">
        <w:rPr>
          <w:rFonts w:ascii="Times New Roman" w:hAnsi="Times New Roman" w:cs="Times New Roman"/>
        </w:rPr>
        <w:t>-</w:t>
      </w:r>
      <w:r w:rsidR="001B606D">
        <w:rPr>
          <w:rFonts w:ascii="Times New Roman" w:hAnsi="Times New Roman" w:cs="Times New Roman"/>
        </w:rPr>
        <w:t>circumvention provisions successfully provided incentives to the videogame industry to expand consumer choices by “exponentially growing the universe of authorized uses across multiple platforms with increased flexibility and at a wider range of price points.”</w:t>
      </w:r>
      <w:r w:rsidR="001B606D">
        <w:rPr>
          <w:rStyle w:val="FootnoteReference"/>
          <w:rFonts w:ascii="Times New Roman" w:hAnsi="Times New Roman" w:cs="Times New Roman"/>
        </w:rPr>
        <w:footnoteReference w:id="3"/>
      </w:r>
    </w:p>
    <w:p w14:paraId="5CAB3356" w14:textId="77777777" w:rsidR="00EC5259" w:rsidRDefault="00EC5259" w:rsidP="00C67042">
      <w:pPr>
        <w:spacing w:after="240"/>
        <w:rPr>
          <w:rFonts w:ascii="Times New Roman" w:hAnsi="Times New Roman" w:cs="Times New Roman"/>
          <w:i/>
        </w:rPr>
      </w:pPr>
    </w:p>
    <w:p w14:paraId="2EDD4701" w14:textId="77777777" w:rsidR="00C67042" w:rsidRPr="00172580" w:rsidRDefault="00C67042" w:rsidP="00C67042">
      <w:pPr>
        <w:spacing w:after="240"/>
        <w:rPr>
          <w:rFonts w:ascii="Times New Roman" w:hAnsi="Times New Roman" w:cs="Times New Roman"/>
          <w:i/>
        </w:rPr>
      </w:pPr>
      <w:r w:rsidRPr="00172580">
        <w:rPr>
          <w:rFonts w:ascii="Times New Roman" w:hAnsi="Times New Roman" w:cs="Times New Roman"/>
          <w:i/>
        </w:rPr>
        <w:lastRenderedPageBreak/>
        <w:t>2. How should section 1201 accommodate interests that are outside of core copyright concerns, for example, in cases where circumvention of access controls protecting computer programs implicates issues of product interoperability or public safety?</w:t>
      </w:r>
    </w:p>
    <w:p w14:paraId="79F9C641" w14:textId="7E13AF73" w:rsidR="00964EB5" w:rsidRDefault="00EC5259" w:rsidP="00DD0A2D">
      <w:pPr>
        <w:spacing w:line="360" w:lineRule="auto"/>
        <w:ind w:firstLine="720"/>
        <w:rPr>
          <w:rFonts w:ascii="Times New Roman" w:hAnsi="Times New Roman" w:cs="Times New Roman"/>
        </w:rPr>
      </w:pPr>
      <w:r>
        <w:rPr>
          <w:rFonts w:ascii="Times New Roman" w:hAnsi="Times New Roman" w:cs="Times New Roman"/>
        </w:rPr>
        <w:t>Congress was aware of interoperability concerns when it passed the DMCA</w:t>
      </w:r>
      <w:r w:rsidR="00E35EC8">
        <w:rPr>
          <w:rFonts w:ascii="Times New Roman" w:hAnsi="Times New Roman" w:cs="Times New Roman"/>
        </w:rPr>
        <w:t xml:space="preserve"> (see 17 U.S.C.§ 1201 (f) re reverse engineering)</w:t>
      </w:r>
      <w:r>
        <w:rPr>
          <w:rFonts w:ascii="Times New Roman" w:hAnsi="Times New Roman" w:cs="Times New Roman"/>
        </w:rPr>
        <w:t>, but it is unlikely that it anticipated the vast range of products now governed by computer programs</w:t>
      </w:r>
      <w:r w:rsidR="00964EB5">
        <w:rPr>
          <w:rFonts w:ascii="Times New Roman" w:hAnsi="Times New Roman" w:cs="Times New Roman"/>
        </w:rPr>
        <w:t xml:space="preserve"> or the potential for products manufacturers to use the DMCA to control the markets for replacement parts or repair services</w:t>
      </w:r>
      <w:r>
        <w:rPr>
          <w:rFonts w:ascii="Times New Roman" w:hAnsi="Times New Roman" w:cs="Times New Roman"/>
        </w:rPr>
        <w:t xml:space="preserve">.  </w:t>
      </w:r>
      <w:r w:rsidR="00964EB5">
        <w:rPr>
          <w:rFonts w:ascii="Times New Roman" w:hAnsi="Times New Roman" w:cs="Times New Roman"/>
        </w:rPr>
        <w:t xml:space="preserve">The courts have thus far rejected such attempts, see, e.g., </w:t>
      </w:r>
      <w:r w:rsidR="00DC4549" w:rsidRPr="00E35EC8">
        <w:rPr>
          <w:rFonts w:ascii="Times New Roman" w:hAnsi="Times New Roman" w:cs="Times New Roman"/>
          <w:i/>
        </w:rPr>
        <w:t>Lexmark v. Static Control</w:t>
      </w:r>
      <w:r w:rsidR="00E35EC8" w:rsidRPr="00E35EC8">
        <w:rPr>
          <w:rFonts w:ascii="Times New Roman" w:hAnsi="Times New Roman" w:cs="Times New Roman"/>
          <w:i/>
        </w:rPr>
        <w:t xml:space="preserve"> Components</w:t>
      </w:r>
      <w:r w:rsidR="00E35EC8">
        <w:rPr>
          <w:rFonts w:ascii="Times New Roman" w:hAnsi="Times New Roman" w:cs="Times New Roman"/>
        </w:rPr>
        <w:t>, 387 F.3d 522 (6</w:t>
      </w:r>
      <w:r w:rsidR="00E35EC8" w:rsidRPr="007A7225">
        <w:rPr>
          <w:rFonts w:ascii="Times New Roman" w:hAnsi="Times New Roman" w:cs="Times New Roman"/>
        </w:rPr>
        <w:t>th</w:t>
      </w:r>
      <w:r w:rsidR="00E35EC8">
        <w:rPr>
          <w:rFonts w:ascii="Times New Roman" w:hAnsi="Times New Roman" w:cs="Times New Roman"/>
        </w:rPr>
        <w:t xml:space="preserve"> Cir. 2004) (re printer cartridges) and </w:t>
      </w:r>
      <w:r w:rsidR="00E35EC8" w:rsidRPr="00B03234">
        <w:rPr>
          <w:rFonts w:ascii="Times New Roman" w:hAnsi="Times New Roman" w:cs="Times New Roman"/>
          <w:i/>
        </w:rPr>
        <w:t xml:space="preserve">Chamberlain </w:t>
      </w:r>
      <w:r w:rsidR="00C336D2">
        <w:rPr>
          <w:rFonts w:ascii="Times New Roman" w:hAnsi="Times New Roman" w:cs="Times New Roman"/>
          <w:i/>
        </w:rPr>
        <w:t xml:space="preserve">v. </w:t>
      </w:r>
      <w:proofErr w:type="spellStart"/>
      <w:r w:rsidR="00E35EC8" w:rsidRPr="00B03234">
        <w:rPr>
          <w:rFonts w:ascii="Times New Roman" w:hAnsi="Times New Roman" w:cs="Times New Roman"/>
          <w:i/>
        </w:rPr>
        <w:t>Skylink</w:t>
      </w:r>
      <w:proofErr w:type="spellEnd"/>
      <w:r w:rsidR="00E35EC8">
        <w:rPr>
          <w:rFonts w:ascii="Times New Roman" w:hAnsi="Times New Roman" w:cs="Times New Roman"/>
        </w:rPr>
        <w:t>, 381 F.3d 1178 (</w:t>
      </w:r>
      <w:r w:rsidR="00794B2C">
        <w:rPr>
          <w:rFonts w:ascii="Times New Roman" w:hAnsi="Times New Roman" w:cs="Times New Roman"/>
        </w:rPr>
        <w:t>F</w:t>
      </w:r>
      <w:r w:rsidR="00E35EC8">
        <w:rPr>
          <w:rFonts w:ascii="Times New Roman" w:hAnsi="Times New Roman" w:cs="Times New Roman"/>
        </w:rPr>
        <w:t>ed. Cir. 2004) (</w:t>
      </w:r>
      <w:r w:rsidR="00DA0871">
        <w:rPr>
          <w:rFonts w:ascii="Times New Roman" w:hAnsi="Times New Roman" w:cs="Times New Roman"/>
        </w:rPr>
        <w:t xml:space="preserve">re </w:t>
      </w:r>
      <w:r w:rsidR="00E35EC8">
        <w:rPr>
          <w:rFonts w:ascii="Times New Roman" w:hAnsi="Times New Roman" w:cs="Times New Roman"/>
        </w:rPr>
        <w:t>garage door opener</w:t>
      </w:r>
      <w:r w:rsidR="00DA0871">
        <w:rPr>
          <w:rFonts w:ascii="Times New Roman" w:hAnsi="Times New Roman" w:cs="Times New Roman"/>
        </w:rPr>
        <w:t>s</w:t>
      </w:r>
      <w:r w:rsidR="00E35EC8">
        <w:rPr>
          <w:rFonts w:ascii="Times New Roman" w:hAnsi="Times New Roman" w:cs="Times New Roman"/>
        </w:rPr>
        <w:t>)</w:t>
      </w:r>
      <w:r w:rsidR="00964EB5">
        <w:rPr>
          <w:rFonts w:ascii="Times New Roman" w:hAnsi="Times New Roman" w:cs="Times New Roman"/>
        </w:rPr>
        <w:t xml:space="preserve">.  While the results of these cases surely comport with Congressional intent – it seems clear from the history of the DMCA that Congress meant to protect expressive works of authorship, not markets for functional products or replacement parts – the reasoning of these cases is somewhat strained, as the law provides no express exemption for circumvention of access controls for these purposes.  </w:t>
      </w:r>
    </w:p>
    <w:p w14:paraId="7E37A418" w14:textId="057DE8A1" w:rsidR="00A71140" w:rsidRDefault="00964EB5" w:rsidP="00DD0A2D">
      <w:pPr>
        <w:spacing w:line="360" w:lineRule="auto"/>
        <w:ind w:firstLine="720"/>
        <w:rPr>
          <w:rFonts w:ascii="Times New Roman" w:hAnsi="Times New Roman" w:cs="Times New Roman"/>
        </w:rPr>
      </w:pPr>
      <w:r>
        <w:rPr>
          <w:rFonts w:ascii="Times New Roman" w:hAnsi="Times New Roman" w:cs="Times New Roman"/>
        </w:rPr>
        <w:t xml:space="preserve">In the most recent rulemaking proceeding, the Copyright Office was presented with a number of requests for exemptions to </w:t>
      </w:r>
      <w:r w:rsidR="00E4281C">
        <w:rPr>
          <w:rFonts w:ascii="Times New Roman" w:hAnsi="Times New Roman" w:cs="Times New Roman"/>
        </w:rPr>
        <w:t xml:space="preserve">circumvent technological controls to </w:t>
      </w:r>
      <w:r>
        <w:rPr>
          <w:rFonts w:ascii="Times New Roman" w:hAnsi="Times New Roman" w:cs="Times New Roman"/>
        </w:rPr>
        <w:t xml:space="preserve">access </w:t>
      </w:r>
      <w:r w:rsidR="006E7A92">
        <w:rPr>
          <w:rFonts w:ascii="Times New Roman" w:hAnsi="Times New Roman" w:cs="Times New Roman"/>
        </w:rPr>
        <w:t>software that protects various consumer products</w:t>
      </w:r>
      <w:r w:rsidR="00E4281C">
        <w:rPr>
          <w:rFonts w:ascii="Times New Roman" w:hAnsi="Times New Roman" w:cs="Times New Roman"/>
        </w:rPr>
        <w:t>,</w:t>
      </w:r>
      <w:r w:rsidR="006E7A92">
        <w:rPr>
          <w:rFonts w:ascii="Times New Roman" w:hAnsi="Times New Roman" w:cs="Times New Roman"/>
        </w:rPr>
        <w:t xml:space="preserve"> in order to create replacement parts</w:t>
      </w:r>
      <w:r w:rsidR="00E4281C">
        <w:rPr>
          <w:rFonts w:ascii="Times New Roman" w:hAnsi="Times New Roman" w:cs="Times New Roman"/>
        </w:rPr>
        <w:t xml:space="preserve"> or diagnose and repair problems.</w:t>
      </w:r>
      <w:r w:rsidR="00DC4549">
        <w:rPr>
          <w:rFonts w:ascii="Times New Roman" w:hAnsi="Times New Roman" w:cs="Times New Roman"/>
        </w:rPr>
        <w:t xml:space="preserve"> </w:t>
      </w:r>
      <w:r w:rsidR="00E4281C">
        <w:rPr>
          <w:rFonts w:ascii="Times New Roman" w:hAnsi="Times New Roman" w:cs="Times New Roman"/>
        </w:rPr>
        <w:t>The Office granted exemptions to, among other things, circumvent</w:t>
      </w:r>
      <w:r w:rsidR="009A3BE1">
        <w:rPr>
          <w:rFonts w:ascii="Times New Roman" w:hAnsi="Times New Roman" w:cs="Times New Roman"/>
        </w:rPr>
        <w:t xml:space="preserve"> technological access controls</w:t>
      </w:r>
      <w:r w:rsidR="00E4281C">
        <w:rPr>
          <w:rFonts w:ascii="Times New Roman" w:hAnsi="Times New Roman" w:cs="Times New Roman"/>
        </w:rPr>
        <w:t xml:space="preserve"> on 3D printers to allow use of alternative feedstock,</w:t>
      </w:r>
      <w:r w:rsidR="00F3215A">
        <w:rPr>
          <w:rStyle w:val="FootnoteReference"/>
          <w:rFonts w:ascii="Times New Roman" w:hAnsi="Times New Roman" w:cs="Times New Roman"/>
        </w:rPr>
        <w:footnoteReference w:id="4"/>
      </w:r>
      <w:r w:rsidR="00E4281C">
        <w:rPr>
          <w:rFonts w:ascii="Times New Roman" w:hAnsi="Times New Roman" w:cs="Times New Roman"/>
        </w:rPr>
        <w:t xml:space="preserve"> and circumvent </w:t>
      </w:r>
      <w:r w:rsidR="009A3BE1">
        <w:rPr>
          <w:rFonts w:ascii="Times New Roman" w:hAnsi="Times New Roman" w:cs="Times New Roman"/>
        </w:rPr>
        <w:t>technological access controls</w:t>
      </w:r>
      <w:r w:rsidR="00E4281C">
        <w:rPr>
          <w:rFonts w:ascii="Times New Roman" w:hAnsi="Times New Roman" w:cs="Times New Roman"/>
        </w:rPr>
        <w:t xml:space="preserve"> on motorized land vehicles where necessary to allow </w:t>
      </w:r>
      <w:r w:rsidR="00F3215A">
        <w:rPr>
          <w:rFonts w:ascii="Times New Roman" w:hAnsi="Times New Roman" w:cs="Times New Roman"/>
        </w:rPr>
        <w:t>diagnosis, repair and lawful modification of a vehicle function.</w:t>
      </w:r>
      <w:r w:rsidR="00F3215A" w:rsidRPr="00F3215A">
        <w:rPr>
          <w:rStyle w:val="FootnoteReference"/>
          <w:rFonts w:ascii="Times New Roman" w:hAnsi="Times New Roman" w:cs="Times New Roman"/>
        </w:rPr>
        <w:t xml:space="preserve"> </w:t>
      </w:r>
      <w:r w:rsidR="00F3215A">
        <w:rPr>
          <w:rStyle w:val="FootnoteReference"/>
          <w:rFonts w:ascii="Times New Roman" w:hAnsi="Times New Roman" w:cs="Times New Roman"/>
        </w:rPr>
        <w:footnoteReference w:id="5"/>
      </w:r>
    </w:p>
    <w:p w14:paraId="379F2FEB" w14:textId="55BA5E36" w:rsidR="00B03234" w:rsidRDefault="002B3C00" w:rsidP="00DD0A2D">
      <w:pPr>
        <w:spacing w:line="360" w:lineRule="auto"/>
        <w:ind w:firstLine="720"/>
        <w:rPr>
          <w:rFonts w:ascii="Times New Roman" w:hAnsi="Times New Roman" w:cs="Times New Roman"/>
        </w:rPr>
      </w:pPr>
      <w:r>
        <w:rPr>
          <w:rFonts w:ascii="Times New Roman" w:hAnsi="Times New Roman" w:cs="Times New Roman"/>
        </w:rPr>
        <w:lastRenderedPageBreak/>
        <w:t>While it seems clear that section 1201 should not be used to protect a manufacture</w:t>
      </w:r>
      <w:r w:rsidR="00794B2C">
        <w:rPr>
          <w:rFonts w:ascii="Times New Roman" w:hAnsi="Times New Roman" w:cs="Times New Roman"/>
        </w:rPr>
        <w:t>r</w:t>
      </w:r>
      <w:r>
        <w:rPr>
          <w:rFonts w:ascii="Times New Roman" w:hAnsi="Times New Roman" w:cs="Times New Roman"/>
        </w:rPr>
        <w:t xml:space="preserve"> of consumer products against competition in the repair or supply of materials used in conjunction with that product, </w:t>
      </w:r>
      <w:r w:rsidR="00B03234">
        <w:rPr>
          <w:rFonts w:ascii="Times New Roman" w:hAnsi="Times New Roman" w:cs="Times New Roman"/>
        </w:rPr>
        <w:t>in the recent proceeding</w:t>
      </w:r>
      <w:r w:rsidR="00861EFC">
        <w:rPr>
          <w:rFonts w:ascii="Times New Roman" w:hAnsi="Times New Roman" w:cs="Times New Roman"/>
        </w:rPr>
        <w:t>,</w:t>
      </w:r>
      <w:r w:rsidR="00B03234">
        <w:rPr>
          <w:rFonts w:ascii="Times New Roman" w:hAnsi="Times New Roman" w:cs="Times New Roman"/>
        </w:rPr>
        <w:t xml:space="preserve"> health and safety concerns were cited as potential adverse consequences </w:t>
      </w:r>
      <w:r w:rsidR="00861EFC">
        <w:rPr>
          <w:rFonts w:ascii="Times New Roman" w:hAnsi="Times New Roman" w:cs="Times New Roman"/>
        </w:rPr>
        <w:t>of</w:t>
      </w:r>
      <w:r w:rsidR="00B03234">
        <w:rPr>
          <w:rFonts w:ascii="Times New Roman" w:hAnsi="Times New Roman" w:cs="Times New Roman"/>
        </w:rPr>
        <w:t xml:space="preserve"> allowing circumvention of technological controls that protect, for example, emissions controls on automobiles.  While these may be legitimate concerns, they </w:t>
      </w:r>
      <w:r w:rsidR="00DA0871">
        <w:rPr>
          <w:rFonts w:ascii="Times New Roman" w:hAnsi="Times New Roman" w:cs="Times New Roman"/>
        </w:rPr>
        <w:t xml:space="preserve">are not </w:t>
      </w:r>
      <w:r w:rsidR="00B03234">
        <w:rPr>
          <w:rFonts w:ascii="Times New Roman" w:hAnsi="Times New Roman" w:cs="Times New Roman"/>
        </w:rPr>
        <w:t>within the expertise or jurisdiction of the Copyright Office.  The Office handled these issues appropriately, by notifying the relevant federal agencies and granting certain exemptions with a year’s delay before the</w:t>
      </w:r>
      <w:r w:rsidR="00DA0871">
        <w:rPr>
          <w:rFonts w:ascii="Times New Roman" w:hAnsi="Times New Roman" w:cs="Times New Roman"/>
        </w:rPr>
        <w:t>y</w:t>
      </w:r>
      <w:r w:rsidR="00B03234">
        <w:rPr>
          <w:rFonts w:ascii="Times New Roman" w:hAnsi="Times New Roman" w:cs="Times New Roman"/>
        </w:rPr>
        <w:t xml:space="preserve"> go into effect, to give the relevant agencies time to take action if they deem it appropriate.</w:t>
      </w:r>
    </w:p>
    <w:p w14:paraId="70FE264E" w14:textId="0B06E8F1" w:rsidR="002B3C00" w:rsidRPr="00DC4549" w:rsidRDefault="00B03234" w:rsidP="00DD0A2D">
      <w:pPr>
        <w:spacing w:line="360" w:lineRule="auto"/>
        <w:ind w:firstLine="720"/>
        <w:rPr>
          <w:rFonts w:ascii="Times New Roman" w:hAnsi="Times New Roman" w:cs="Times New Roman"/>
        </w:rPr>
      </w:pPr>
      <w:r>
        <w:rPr>
          <w:rFonts w:ascii="Times New Roman" w:hAnsi="Times New Roman" w:cs="Times New Roman"/>
        </w:rPr>
        <w:t>A</w:t>
      </w:r>
      <w:r w:rsidR="002B3C00">
        <w:rPr>
          <w:rFonts w:ascii="Times New Roman" w:hAnsi="Times New Roman" w:cs="Times New Roman"/>
        </w:rPr>
        <w:t xml:space="preserve"> fundamental question is whether </w:t>
      </w:r>
      <w:r w:rsidR="00861EFC">
        <w:rPr>
          <w:rFonts w:ascii="Times New Roman" w:hAnsi="Times New Roman" w:cs="Times New Roman"/>
        </w:rPr>
        <w:t>circumvention of access controls that protect primarily functional products rather than expressive works</w:t>
      </w:r>
      <w:r w:rsidR="002B3C00">
        <w:rPr>
          <w:rFonts w:ascii="Times New Roman" w:hAnsi="Times New Roman" w:cs="Times New Roman"/>
        </w:rPr>
        <w:t xml:space="preserve"> should continue to be addressed in the rulemaking process, or whether a permanent exemption should be adopted.</w:t>
      </w:r>
      <w:r w:rsidR="001F6897">
        <w:rPr>
          <w:rFonts w:ascii="Times New Roman" w:hAnsi="Times New Roman" w:cs="Times New Roman"/>
        </w:rPr>
        <w:t xml:space="preserve">  </w:t>
      </w:r>
      <w:r>
        <w:rPr>
          <w:rFonts w:ascii="Times New Roman" w:hAnsi="Times New Roman" w:cs="Times New Roman"/>
        </w:rPr>
        <w:t>I</w:t>
      </w:r>
      <w:r w:rsidR="001F6897">
        <w:rPr>
          <w:rFonts w:ascii="Times New Roman" w:hAnsi="Times New Roman" w:cs="Times New Roman"/>
        </w:rPr>
        <w:t xml:space="preserve">n light of the various considerations reflected in these exemptions and others related to circumvention of protections on software that governs primarily functional products that were granted in the most recent rulemaking, we believe it is premature to try to formulate a permanent exemption </w:t>
      </w:r>
      <w:r w:rsidR="00DA0871">
        <w:rPr>
          <w:rFonts w:ascii="Times New Roman" w:hAnsi="Times New Roman" w:cs="Times New Roman"/>
        </w:rPr>
        <w:t>now.</w:t>
      </w:r>
    </w:p>
    <w:p w14:paraId="611079AB" w14:textId="77777777" w:rsidR="00A71140" w:rsidRDefault="00A71140" w:rsidP="00C67042">
      <w:pPr>
        <w:spacing w:after="240"/>
        <w:rPr>
          <w:rFonts w:ascii="Times New Roman" w:hAnsi="Times New Roman" w:cs="Times New Roman"/>
          <w:i/>
        </w:rPr>
      </w:pPr>
    </w:p>
    <w:p w14:paraId="50186E5C" w14:textId="77777777" w:rsidR="00C67042" w:rsidRPr="00172580" w:rsidRDefault="00C67042" w:rsidP="00C67042">
      <w:pPr>
        <w:spacing w:after="240"/>
        <w:rPr>
          <w:rFonts w:ascii="Times New Roman" w:hAnsi="Times New Roman" w:cs="Times New Roman"/>
          <w:i/>
        </w:rPr>
      </w:pPr>
      <w:r w:rsidRPr="00172580">
        <w:rPr>
          <w:rFonts w:ascii="Times New Roman" w:hAnsi="Times New Roman" w:cs="Times New Roman"/>
          <w:i/>
        </w:rPr>
        <w:t>3. Should section 1201 be adjusted to provide for presumptive renewal of previously granted exemptions—for example, when there is no meaningful opposition to renewal—or otherwise be modified to streamline the process of continuing an existing exemption? If so, how?</w:t>
      </w:r>
    </w:p>
    <w:p w14:paraId="544EA613" w14:textId="777FF57C" w:rsidR="00A71140" w:rsidRPr="00142C98" w:rsidRDefault="00DC4549" w:rsidP="00E011B1">
      <w:pPr>
        <w:spacing w:line="360" w:lineRule="auto"/>
        <w:ind w:firstLine="720"/>
        <w:rPr>
          <w:rFonts w:ascii="Times New Roman" w:hAnsi="Times New Roman" w:cs="Times New Roman"/>
        </w:rPr>
      </w:pPr>
      <w:r>
        <w:rPr>
          <w:rFonts w:ascii="Times New Roman" w:hAnsi="Times New Roman" w:cs="Times New Roman"/>
        </w:rPr>
        <w:t xml:space="preserve">In light of the demands that section 1201 places on the proponents of an exception and on the Copyright Office itself, some adjustment to the rulemaking process </w:t>
      </w:r>
      <w:r w:rsidR="002F2AAE">
        <w:rPr>
          <w:rFonts w:ascii="Times New Roman" w:hAnsi="Times New Roman" w:cs="Times New Roman"/>
        </w:rPr>
        <w:t>may be</w:t>
      </w:r>
      <w:r>
        <w:rPr>
          <w:rFonts w:ascii="Times New Roman" w:hAnsi="Times New Roman" w:cs="Times New Roman"/>
        </w:rPr>
        <w:t xml:space="preserve"> warranted.</w:t>
      </w:r>
      <w:r w:rsidR="002F2AAE">
        <w:rPr>
          <w:rFonts w:ascii="Times New Roman" w:hAnsi="Times New Roman" w:cs="Times New Roman"/>
        </w:rPr>
        <w:t xml:space="preserve">  </w:t>
      </w:r>
      <w:r w:rsidR="001C2865">
        <w:rPr>
          <w:rFonts w:ascii="Times New Roman" w:hAnsi="Times New Roman" w:cs="Times New Roman"/>
        </w:rPr>
        <w:t xml:space="preserve">Rather than </w:t>
      </w:r>
      <w:r w:rsidR="00C336D2">
        <w:rPr>
          <w:rFonts w:ascii="Times New Roman" w:hAnsi="Times New Roman" w:cs="Times New Roman"/>
        </w:rPr>
        <w:t xml:space="preserve">the Copyright Office </w:t>
      </w:r>
      <w:r w:rsidR="001C2865">
        <w:rPr>
          <w:rFonts w:ascii="Times New Roman" w:hAnsi="Times New Roman" w:cs="Times New Roman"/>
        </w:rPr>
        <w:t xml:space="preserve">simply presuming that a previously granted exception should be renewed, however, </w:t>
      </w:r>
      <w:r w:rsidR="00EF7B61">
        <w:rPr>
          <w:rFonts w:ascii="Times New Roman" w:hAnsi="Times New Roman" w:cs="Times New Roman"/>
        </w:rPr>
        <w:t xml:space="preserve">a </w:t>
      </w:r>
      <w:r w:rsidR="001C2865">
        <w:rPr>
          <w:rFonts w:ascii="Times New Roman" w:hAnsi="Times New Roman" w:cs="Times New Roman"/>
        </w:rPr>
        <w:t xml:space="preserve">proponent of the exemption should be required to file a simple request for renewal, </w:t>
      </w:r>
      <w:r w:rsidR="002F2AAE">
        <w:rPr>
          <w:rFonts w:ascii="Times New Roman" w:hAnsi="Times New Roman" w:cs="Times New Roman"/>
        </w:rPr>
        <w:t xml:space="preserve">affirming that </w:t>
      </w:r>
      <w:r w:rsidR="001C2865">
        <w:rPr>
          <w:rFonts w:ascii="Times New Roman" w:hAnsi="Times New Roman" w:cs="Times New Roman"/>
        </w:rPr>
        <w:t xml:space="preserve">the exemption is still warranted and that </w:t>
      </w:r>
      <w:r w:rsidR="002F2AAE">
        <w:rPr>
          <w:rFonts w:ascii="Times New Roman" w:hAnsi="Times New Roman" w:cs="Times New Roman"/>
        </w:rPr>
        <w:t>there have been no material substantive changes in the circumstances</w:t>
      </w:r>
      <w:r w:rsidR="001C2865">
        <w:rPr>
          <w:rFonts w:ascii="Times New Roman" w:hAnsi="Times New Roman" w:cs="Times New Roman"/>
        </w:rPr>
        <w:t xml:space="preserve"> that supported the earlier determination to grant an exemption.</w:t>
      </w:r>
      <w:r w:rsidR="00861EFC">
        <w:rPr>
          <w:rStyle w:val="FootnoteReference"/>
          <w:rFonts w:ascii="Times New Roman" w:hAnsi="Times New Roman" w:cs="Times New Roman"/>
        </w:rPr>
        <w:footnoteReference w:id="6"/>
      </w:r>
      <w:r w:rsidR="001C2865">
        <w:rPr>
          <w:rFonts w:ascii="Times New Roman" w:hAnsi="Times New Roman" w:cs="Times New Roman"/>
        </w:rPr>
        <w:t xml:space="preserve">  A party who opposes the exemption would have the obligation to come forth with </w:t>
      </w:r>
      <w:r w:rsidR="001C2865">
        <w:rPr>
          <w:rFonts w:ascii="Times New Roman" w:hAnsi="Times New Roman" w:cs="Times New Roman"/>
        </w:rPr>
        <w:lastRenderedPageBreak/>
        <w:t xml:space="preserve">evidence that there has been a change in circumstances, e.g., evidence that there is greater ability to make fair uses without circumvention than there </w:t>
      </w:r>
      <w:r w:rsidR="00B03234">
        <w:rPr>
          <w:rFonts w:ascii="Times New Roman" w:hAnsi="Times New Roman" w:cs="Times New Roman"/>
        </w:rPr>
        <w:t>was</w:t>
      </w:r>
      <w:r w:rsidR="001C2865">
        <w:rPr>
          <w:rFonts w:ascii="Times New Roman" w:hAnsi="Times New Roman" w:cs="Times New Roman"/>
        </w:rPr>
        <w:t xml:space="preserve"> </w:t>
      </w:r>
      <w:r w:rsidR="00910FA3">
        <w:rPr>
          <w:rFonts w:ascii="Times New Roman" w:hAnsi="Times New Roman" w:cs="Times New Roman"/>
        </w:rPr>
        <w:t>when</w:t>
      </w:r>
      <w:r w:rsidR="001C2865">
        <w:rPr>
          <w:rFonts w:ascii="Times New Roman" w:hAnsi="Times New Roman" w:cs="Times New Roman"/>
        </w:rPr>
        <w:t xml:space="preserve"> the earlier exemption was granted, or </w:t>
      </w:r>
      <w:r w:rsidR="00142C98">
        <w:rPr>
          <w:rFonts w:ascii="Times New Roman" w:hAnsi="Times New Roman" w:cs="Times New Roman"/>
        </w:rPr>
        <w:t xml:space="preserve">evidence that the circumvention of technological access controls is having an adverse effect </w:t>
      </w:r>
      <w:r w:rsidR="00142C98" w:rsidRPr="00142C98">
        <w:rPr>
          <w:rFonts w:ascii="Times New Roman" w:hAnsi="Times New Roman" w:cs="Times New Roman"/>
        </w:rPr>
        <w:t>on the market for or value of copyrighted works</w:t>
      </w:r>
      <w:r w:rsidR="00142C98">
        <w:rPr>
          <w:rFonts w:ascii="Times New Roman" w:hAnsi="Times New Roman" w:cs="Times New Roman"/>
        </w:rPr>
        <w:t xml:space="preserve">.  At that point, the Copyright Office should consider the application for the exemption </w:t>
      </w:r>
      <w:r w:rsidR="00142C98" w:rsidRPr="00142C98">
        <w:rPr>
          <w:rFonts w:ascii="Times New Roman" w:hAnsi="Times New Roman" w:cs="Times New Roman"/>
          <w:i/>
        </w:rPr>
        <w:t>de novo</w:t>
      </w:r>
      <w:r w:rsidR="00142C98">
        <w:rPr>
          <w:rFonts w:ascii="Times New Roman" w:hAnsi="Times New Roman" w:cs="Times New Roman"/>
        </w:rPr>
        <w:t xml:space="preserve">, and the burden of proof should be on the proponent. </w:t>
      </w:r>
    </w:p>
    <w:p w14:paraId="6845FAE5" w14:textId="77777777" w:rsidR="00A71140" w:rsidRDefault="00A71140" w:rsidP="00C67042">
      <w:pPr>
        <w:spacing w:after="240"/>
        <w:rPr>
          <w:rFonts w:ascii="Times New Roman" w:hAnsi="Times New Roman" w:cs="Times New Roman"/>
          <w:i/>
        </w:rPr>
      </w:pPr>
    </w:p>
    <w:p w14:paraId="5FB714C8" w14:textId="77777777" w:rsidR="00C67042" w:rsidRPr="00172580" w:rsidRDefault="00C67042" w:rsidP="00C67042">
      <w:pPr>
        <w:spacing w:after="240"/>
        <w:rPr>
          <w:rFonts w:ascii="Times New Roman" w:hAnsi="Times New Roman" w:cs="Times New Roman"/>
          <w:i/>
        </w:rPr>
      </w:pPr>
      <w:r w:rsidRPr="00172580">
        <w:rPr>
          <w:rFonts w:ascii="Times New Roman" w:hAnsi="Times New Roman" w:cs="Times New Roman"/>
          <w:i/>
        </w:rPr>
        <w:t>4. Pleas</w:t>
      </w:r>
      <w:r w:rsidR="00172580">
        <w:rPr>
          <w:rFonts w:ascii="Times New Roman" w:hAnsi="Times New Roman" w:cs="Times New Roman"/>
          <w:i/>
        </w:rPr>
        <w:t>e</w:t>
      </w:r>
      <w:r w:rsidRPr="00172580">
        <w:rPr>
          <w:rFonts w:ascii="Times New Roman" w:hAnsi="Times New Roman" w:cs="Times New Roman"/>
          <w:i/>
        </w:rPr>
        <w:t xml:space="preserve"> assess the current legal requirements that proponents of an exemption must satisfy to demonstrate entitlement to an exemption.  Should they be altered?  If so, how?  In responding, please comment on the relationship to traditional principles of administrative law.</w:t>
      </w:r>
    </w:p>
    <w:p w14:paraId="0DA52496" w14:textId="49FC506E" w:rsidR="00293075" w:rsidRDefault="00CA6980" w:rsidP="00293075">
      <w:pPr>
        <w:pStyle w:val="thirdlevel"/>
        <w:spacing w:before="0" w:beforeAutospacing="0" w:after="0" w:afterAutospacing="0" w:line="360" w:lineRule="auto"/>
        <w:ind w:firstLine="720"/>
      </w:pPr>
      <w:r>
        <w:t xml:space="preserve">Currently, proponents of an exemption must demonstrate that they “are, or are likely to be in the succeeding 3-year period, adversely affected by the prohibition [on circumvention of </w:t>
      </w:r>
      <w:r w:rsidR="00EF7B61">
        <w:t xml:space="preserve">technological measures that control </w:t>
      </w:r>
      <w:r>
        <w:t xml:space="preserve">access </w:t>
      </w:r>
      <w:r w:rsidR="00EF7B61">
        <w:t>to</w:t>
      </w:r>
      <w:r>
        <w:t xml:space="preserve"> copyrighted works] in their ability to make </w:t>
      </w:r>
      <w:proofErr w:type="spellStart"/>
      <w:r>
        <w:t>noninfringing</w:t>
      </w:r>
      <w:proofErr w:type="spellEnd"/>
      <w:r>
        <w:t xml:space="preserve"> uses under [Title 17] of a particular class of copyrighted works.”  17 U.S.C. §1201(a</w:t>
      </w:r>
      <w:proofErr w:type="gramStart"/>
      <w:r>
        <w:t>)(</w:t>
      </w:r>
      <w:proofErr w:type="gramEnd"/>
      <w:r>
        <w:t xml:space="preserve">1)(C).   </w:t>
      </w:r>
      <w:r w:rsidR="00A222C4">
        <w:t xml:space="preserve">As a practical matter, the proponent of an exemption must identify the class of works for which the exemption is sought, demonstrate that the uses for which the exemption is sought are or are likely to be </w:t>
      </w:r>
      <w:proofErr w:type="spellStart"/>
      <w:r w:rsidR="00A222C4">
        <w:t>noninfringing</w:t>
      </w:r>
      <w:proofErr w:type="spellEnd"/>
      <w:r w:rsidR="00A222C4">
        <w:t>, and that the technological access control measure is diminishing the ability to use these works in an otherwise lawful manner.  Consistent with the Administrative Procedure Act, 5 U.S.C. § 556 (d),</w:t>
      </w:r>
      <w:r w:rsidR="00DD0A2D">
        <w:rPr>
          <w:rStyle w:val="FootnoteReference"/>
        </w:rPr>
        <w:footnoteReference w:id="7"/>
      </w:r>
      <w:r w:rsidR="00A222C4">
        <w:t xml:space="preserve"> the Office has placed the burden of proof on the proponent of the exemption.  </w:t>
      </w:r>
      <w:r w:rsidR="00DF0706">
        <w:t xml:space="preserve">     </w:t>
      </w:r>
      <w:r w:rsidR="00293075">
        <w:t xml:space="preserve">   </w:t>
      </w:r>
    </w:p>
    <w:p w14:paraId="13793F80" w14:textId="3DA65D1E" w:rsidR="00DD0A2D" w:rsidRDefault="00DD0A2D" w:rsidP="00293075">
      <w:pPr>
        <w:pStyle w:val="thirdlevel"/>
        <w:spacing w:before="0" w:beforeAutospacing="0" w:after="0" w:afterAutospacing="0" w:line="360" w:lineRule="auto"/>
        <w:ind w:firstLine="720"/>
      </w:pPr>
      <w:r>
        <w:t xml:space="preserve">Section 556 (d) is a default rule and </w:t>
      </w:r>
      <w:r w:rsidR="00DF0706">
        <w:t>can be altered,</w:t>
      </w:r>
      <w:r w:rsidR="00DF0706">
        <w:rPr>
          <w:rStyle w:val="FootnoteReference"/>
        </w:rPr>
        <w:footnoteReference w:id="8"/>
      </w:r>
      <w:r w:rsidR="00DF0706">
        <w:t xml:space="preserve"> and we are aware that the Breaking </w:t>
      </w:r>
      <w:proofErr w:type="gramStart"/>
      <w:r w:rsidR="00DF0706">
        <w:t>Down</w:t>
      </w:r>
      <w:proofErr w:type="gramEnd"/>
      <w:r w:rsidR="00DF0706">
        <w:t xml:space="preserve"> Barriers to Innovation Act of 201</w:t>
      </w:r>
      <w:r w:rsidR="00910FA3">
        <w:t>5</w:t>
      </w:r>
      <w:r w:rsidR="00DA0871">
        <w:rPr>
          <w:rStyle w:val="FootnoteReference"/>
        </w:rPr>
        <w:footnoteReference w:id="9"/>
      </w:r>
      <w:r w:rsidR="00DF0706">
        <w:t xml:space="preserve"> would </w:t>
      </w:r>
      <w:r w:rsidR="00293075">
        <w:t xml:space="preserve">amend section 1201 to </w:t>
      </w:r>
      <w:r w:rsidR="00DF0706">
        <w:t>shift the burden away from the proponents of an exemption.  However, the current procedure appears to be working reasonably well, a</w:t>
      </w:r>
      <w:r w:rsidR="00293075">
        <w:t xml:space="preserve">s demonstrated by the success of proponents of exemptions in the last rulemaking.  </w:t>
      </w:r>
      <w:r w:rsidR="00EF7B61">
        <w:t>C</w:t>
      </w:r>
      <w:r w:rsidR="00DF0706">
        <w:t>hanging the burden of proof</w:t>
      </w:r>
      <w:r w:rsidR="00DA0871">
        <w:t xml:space="preserve"> is unwarranted</w:t>
      </w:r>
      <w:r w:rsidR="00DF0706">
        <w:t xml:space="preserve">, </w:t>
      </w:r>
      <w:r w:rsidR="00DA0871">
        <w:t xml:space="preserve">and </w:t>
      </w:r>
      <w:r w:rsidR="00DF0706">
        <w:t xml:space="preserve">granting the Librarian discretion to conduct rulemakings outside the triennial process (another provision of the Breaking Down Barriers to Innovation Act), </w:t>
      </w:r>
      <w:r w:rsidR="00B46B0D">
        <w:t>w</w:t>
      </w:r>
      <w:r w:rsidR="00DF0706">
        <w:t xml:space="preserve">ould overburden the Copyright Office and the stakeholders, and lead to confusion.  In short, we </w:t>
      </w:r>
      <w:r>
        <w:t xml:space="preserve">don’t recommend altering the requirements at this time, but we </w:t>
      </w:r>
      <w:r w:rsidR="00293075">
        <w:lastRenderedPageBreak/>
        <w:t xml:space="preserve">will review other comments filed in this proceeding to determine whether </w:t>
      </w:r>
      <w:r w:rsidR="0063631D">
        <w:t>changes may be warranted.</w:t>
      </w:r>
    </w:p>
    <w:p w14:paraId="2D85BD09" w14:textId="77777777" w:rsidR="0063631D" w:rsidRDefault="0063631D" w:rsidP="00293075">
      <w:pPr>
        <w:pStyle w:val="thirdlevel"/>
        <w:spacing w:before="0" w:beforeAutospacing="0" w:after="0" w:afterAutospacing="0" w:line="360" w:lineRule="auto"/>
        <w:ind w:firstLine="720"/>
      </w:pPr>
    </w:p>
    <w:p w14:paraId="7EB1CA32" w14:textId="77777777" w:rsidR="00C67042" w:rsidRPr="00172580" w:rsidRDefault="00C67042" w:rsidP="00C67042">
      <w:pPr>
        <w:spacing w:after="240"/>
        <w:rPr>
          <w:rFonts w:ascii="Times New Roman" w:hAnsi="Times New Roman" w:cs="Times New Roman"/>
          <w:i/>
        </w:rPr>
      </w:pPr>
      <w:r w:rsidRPr="00172580">
        <w:rPr>
          <w:rFonts w:ascii="Times New Roman" w:hAnsi="Times New Roman" w:cs="Times New Roman"/>
          <w:i/>
        </w:rPr>
        <w:t>5. Please provide additional suggestions to improve the rulemaking process.</w:t>
      </w:r>
    </w:p>
    <w:p w14:paraId="05A6EEC2" w14:textId="22E7A926" w:rsidR="00A71140" w:rsidRDefault="0097319D" w:rsidP="0097319D">
      <w:pPr>
        <w:spacing w:line="360" w:lineRule="auto"/>
        <w:ind w:firstLine="720"/>
        <w:rPr>
          <w:rFonts w:ascii="Times New Roman" w:hAnsi="Times New Roman" w:cs="Times New Roman"/>
        </w:rPr>
      </w:pPr>
      <w:r>
        <w:rPr>
          <w:rFonts w:ascii="Times New Roman" w:hAnsi="Times New Roman" w:cs="Times New Roman"/>
        </w:rPr>
        <w:t xml:space="preserve">Our principal suggestion for improving the rulemaking process is contained in our response to </w:t>
      </w:r>
      <w:r w:rsidR="00B46B0D">
        <w:rPr>
          <w:rFonts w:ascii="Times New Roman" w:hAnsi="Times New Roman" w:cs="Times New Roman"/>
        </w:rPr>
        <w:t>Q</w:t>
      </w:r>
      <w:r>
        <w:rPr>
          <w:rFonts w:ascii="Times New Roman" w:hAnsi="Times New Roman" w:cs="Times New Roman"/>
        </w:rPr>
        <w:t xml:space="preserve">uestion 3, above.  In the Sixth Triennial Proceeding, the Copyright Office reorganized the procedures for the rulemaking, so that proponents first filed petitions for proposed exemptions containing the basic elements of the exemptions, and then the Copyright Office grouped the proposed exemptions into categories and sought comments thereon.  This  “administrative streamlining” benefited the rulemaking process and should be </w:t>
      </w:r>
      <w:r w:rsidR="00DA0871">
        <w:rPr>
          <w:rFonts w:ascii="Times New Roman" w:hAnsi="Times New Roman" w:cs="Times New Roman"/>
        </w:rPr>
        <w:t>retained</w:t>
      </w:r>
      <w:r>
        <w:rPr>
          <w:rFonts w:ascii="Times New Roman" w:hAnsi="Times New Roman" w:cs="Times New Roman"/>
        </w:rPr>
        <w:t>.  This does not necessitate a statutory amendment, however.</w:t>
      </w:r>
    </w:p>
    <w:p w14:paraId="2F52AB61" w14:textId="77777777" w:rsidR="009D6A4E" w:rsidRPr="0097319D" w:rsidRDefault="009D6A4E" w:rsidP="0097319D">
      <w:pPr>
        <w:spacing w:line="360" w:lineRule="auto"/>
        <w:ind w:firstLine="720"/>
        <w:rPr>
          <w:rFonts w:ascii="Times New Roman" w:hAnsi="Times New Roman" w:cs="Times New Roman"/>
        </w:rPr>
      </w:pPr>
    </w:p>
    <w:p w14:paraId="70222F10" w14:textId="77777777" w:rsidR="00C67042" w:rsidRPr="00172580" w:rsidRDefault="00C67042" w:rsidP="00C67042">
      <w:pPr>
        <w:spacing w:after="240"/>
        <w:rPr>
          <w:rFonts w:ascii="Times New Roman" w:hAnsi="Times New Roman" w:cs="Times New Roman"/>
          <w:i/>
        </w:rPr>
      </w:pPr>
      <w:r w:rsidRPr="00172580">
        <w:rPr>
          <w:rFonts w:ascii="Times New Roman" w:hAnsi="Times New Roman" w:cs="Times New Roman"/>
          <w:i/>
        </w:rPr>
        <w:t xml:space="preserve">6. Please assess the role of the </w:t>
      </w:r>
      <w:proofErr w:type="spellStart"/>
      <w:r w:rsidRPr="00172580">
        <w:rPr>
          <w:rFonts w:ascii="Times New Roman" w:hAnsi="Times New Roman" w:cs="Times New Roman"/>
          <w:i/>
        </w:rPr>
        <w:t>antitrafficking</w:t>
      </w:r>
      <w:proofErr w:type="spellEnd"/>
      <w:r w:rsidRPr="00172580">
        <w:rPr>
          <w:rFonts w:ascii="Times New Roman" w:hAnsi="Times New Roman" w:cs="Times New Roman"/>
          <w:i/>
        </w:rPr>
        <w:t xml:space="preserve"> provisions of sections 1201(a</w:t>
      </w:r>
      <w:proofErr w:type="gramStart"/>
      <w:r w:rsidRPr="00172580">
        <w:rPr>
          <w:rFonts w:ascii="Times New Roman" w:hAnsi="Times New Roman" w:cs="Times New Roman"/>
          <w:i/>
        </w:rPr>
        <w:t>)(</w:t>
      </w:r>
      <w:proofErr w:type="gramEnd"/>
      <w:r w:rsidRPr="00172580">
        <w:rPr>
          <w:rFonts w:ascii="Times New Roman" w:hAnsi="Times New Roman" w:cs="Times New Roman"/>
          <w:i/>
        </w:rPr>
        <w:t>2) and 1201(b) in deterring copyright infringement, and address whether any amendments may be advisable.</w:t>
      </w:r>
    </w:p>
    <w:p w14:paraId="6A74678E" w14:textId="77777777" w:rsidR="00A71140" w:rsidRPr="0012016D" w:rsidRDefault="0012016D" w:rsidP="006F3CC5">
      <w:pPr>
        <w:spacing w:line="360" w:lineRule="auto"/>
        <w:ind w:firstLine="720"/>
        <w:rPr>
          <w:rFonts w:ascii="Times New Roman" w:hAnsi="Times New Roman" w:cs="Times New Roman"/>
        </w:rPr>
      </w:pPr>
      <w:r>
        <w:rPr>
          <w:rFonts w:ascii="Times New Roman" w:hAnsi="Times New Roman" w:cs="Times New Roman"/>
        </w:rPr>
        <w:t>The anti</w:t>
      </w:r>
      <w:r w:rsidR="00EF39D1">
        <w:rPr>
          <w:rFonts w:ascii="Times New Roman" w:hAnsi="Times New Roman" w:cs="Times New Roman"/>
        </w:rPr>
        <w:t>-</w:t>
      </w:r>
      <w:r>
        <w:rPr>
          <w:rFonts w:ascii="Times New Roman" w:hAnsi="Times New Roman" w:cs="Times New Roman"/>
        </w:rPr>
        <w:t xml:space="preserve">trafficking provisions in section 1201 are </w:t>
      </w:r>
      <w:r w:rsidR="0097319D">
        <w:rPr>
          <w:rFonts w:ascii="Times New Roman" w:hAnsi="Times New Roman" w:cs="Times New Roman"/>
        </w:rPr>
        <w:t xml:space="preserve">critical </w:t>
      </w:r>
      <w:r>
        <w:rPr>
          <w:rFonts w:ascii="Times New Roman" w:hAnsi="Times New Roman" w:cs="Times New Roman"/>
        </w:rPr>
        <w:t xml:space="preserve">to </w:t>
      </w:r>
      <w:r w:rsidR="00EF39D1">
        <w:rPr>
          <w:rFonts w:ascii="Times New Roman" w:hAnsi="Times New Roman" w:cs="Times New Roman"/>
        </w:rPr>
        <w:t xml:space="preserve">the overall scheme of protecting </w:t>
      </w:r>
      <w:r>
        <w:rPr>
          <w:rFonts w:ascii="Times New Roman" w:hAnsi="Times New Roman" w:cs="Times New Roman"/>
        </w:rPr>
        <w:t>technological controls</w:t>
      </w:r>
      <w:r w:rsidR="00EF39D1">
        <w:rPr>
          <w:rFonts w:ascii="Times New Roman" w:hAnsi="Times New Roman" w:cs="Times New Roman"/>
        </w:rPr>
        <w:t xml:space="preserve"> against circumvention</w:t>
      </w:r>
      <w:r>
        <w:rPr>
          <w:rFonts w:ascii="Times New Roman" w:hAnsi="Times New Roman" w:cs="Times New Roman"/>
        </w:rPr>
        <w:t xml:space="preserve">.  </w:t>
      </w:r>
      <w:r w:rsidR="006F3CC5">
        <w:rPr>
          <w:rFonts w:ascii="Times New Roman" w:hAnsi="Times New Roman" w:cs="Times New Roman"/>
        </w:rPr>
        <w:t xml:space="preserve">Almost any technological protection measure can be broken, so without the ban against trafficking, circumvention devices useable by even the most technology-challenged of consumers </w:t>
      </w:r>
      <w:r w:rsidR="00EF39D1">
        <w:rPr>
          <w:rFonts w:ascii="Times New Roman" w:hAnsi="Times New Roman" w:cs="Times New Roman"/>
        </w:rPr>
        <w:t>would undoubtedly be readily available, and T</w:t>
      </w:r>
      <w:r w:rsidR="000026BD">
        <w:rPr>
          <w:rFonts w:ascii="Times New Roman" w:hAnsi="Times New Roman" w:cs="Times New Roman"/>
        </w:rPr>
        <w:t xml:space="preserve">PMs would </w:t>
      </w:r>
      <w:r w:rsidR="006F3CC5">
        <w:rPr>
          <w:rFonts w:ascii="Times New Roman" w:hAnsi="Times New Roman" w:cs="Times New Roman"/>
        </w:rPr>
        <w:t>be largely ineffective.</w:t>
      </w:r>
      <w:r w:rsidR="00EF39D1">
        <w:rPr>
          <w:rFonts w:ascii="Times New Roman" w:hAnsi="Times New Roman" w:cs="Times New Roman"/>
        </w:rPr>
        <w:t xml:space="preserve">  Any changes to the anti-trafficking provisions should be approached with great caution, as discussed below.</w:t>
      </w:r>
    </w:p>
    <w:p w14:paraId="0EB59E69" w14:textId="77777777" w:rsidR="00A71140" w:rsidRDefault="00A71140" w:rsidP="006F3CC5">
      <w:pPr>
        <w:spacing w:after="240" w:line="360" w:lineRule="auto"/>
        <w:rPr>
          <w:rFonts w:ascii="Times New Roman" w:hAnsi="Times New Roman" w:cs="Times New Roman"/>
          <w:i/>
        </w:rPr>
      </w:pPr>
    </w:p>
    <w:p w14:paraId="688AE43B" w14:textId="77777777" w:rsidR="00C67042" w:rsidRDefault="00C67042" w:rsidP="00C67042">
      <w:pPr>
        <w:spacing w:after="240"/>
        <w:rPr>
          <w:rFonts w:ascii="Times New Roman" w:hAnsi="Times New Roman" w:cs="Times New Roman"/>
          <w:i/>
        </w:rPr>
      </w:pPr>
      <w:r w:rsidRPr="00172580">
        <w:rPr>
          <w:rFonts w:ascii="Times New Roman" w:hAnsi="Times New Roman" w:cs="Times New Roman"/>
          <w:i/>
        </w:rPr>
        <w:t xml:space="preserve">7. Should section 1201 be amended to allow the adoption of exemptions to the prohibition on circumvention that can extend to exemptions to the </w:t>
      </w:r>
      <w:proofErr w:type="spellStart"/>
      <w:r w:rsidRPr="00172580">
        <w:rPr>
          <w:rFonts w:ascii="Times New Roman" w:hAnsi="Times New Roman" w:cs="Times New Roman"/>
          <w:i/>
        </w:rPr>
        <w:t>antitrafficking</w:t>
      </w:r>
      <w:proofErr w:type="spellEnd"/>
      <w:r w:rsidRPr="00172580">
        <w:rPr>
          <w:rFonts w:ascii="Times New Roman" w:hAnsi="Times New Roman" w:cs="Times New Roman"/>
          <w:i/>
        </w:rPr>
        <w:t xml:space="preserve"> prohibitions, and if so, in what way? For example, should the Register be able to recommend, and the Librarian able to adopt, exemptions that permit third-party assistance when justified by the record?</w:t>
      </w:r>
    </w:p>
    <w:p w14:paraId="33628D37" w14:textId="77777777" w:rsidR="00876C60" w:rsidRDefault="00073CD1" w:rsidP="00E011B1">
      <w:pPr>
        <w:spacing w:line="360" w:lineRule="auto"/>
        <w:ind w:firstLine="720"/>
        <w:rPr>
          <w:rFonts w:ascii="Times New Roman" w:hAnsi="Times New Roman" w:cs="Times New Roman"/>
        </w:rPr>
      </w:pPr>
      <w:r>
        <w:rPr>
          <w:rFonts w:ascii="Times New Roman" w:hAnsi="Times New Roman" w:cs="Times New Roman"/>
        </w:rPr>
        <w:t>I</w:t>
      </w:r>
      <w:r w:rsidR="002319E5">
        <w:rPr>
          <w:rFonts w:ascii="Times New Roman" w:hAnsi="Times New Roman" w:cs="Times New Roman"/>
        </w:rPr>
        <w:t>n some circumstances individuals or organizations have the right but not the ability to circumvent access controls on copyrighted works.  We suspect that this occurs less frequently that it might appear on the surface, as in many cases circumvention tools are available (e.g., for DVDs) and in other cases, it can be assumed that the beneficiaries of the exception have the technical expertise to circumvent</w:t>
      </w:r>
      <w:r w:rsidR="006701B1">
        <w:rPr>
          <w:rFonts w:ascii="Times New Roman" w:hAnsi="Times New Roman" w:cs="Times New Roman"/>
        </w:rPr>
        <w:t xml:space="preserve"> (e.g., where the underlying work is sought for the purpose of </w:t>
      </w:r>
      <w:r w:rsidR="006701B1">
        <w:rPr>
          <w:rFonts w:ascii="Times New Roman" w:hAnsi="Times New Roman" w:cs="Times New Roman"/>
        </w:rPr>
        <w:lastRenderedPageBreak/>
        <w:t>reverse engineering</w:t>
      </w:r>
      <w:r>
        <w:rPr>
          <w:rFonts w:ascii="Times New Roman" w:hAnsi="Times New Roman" w:cs="Times New Roman"/>
        </w:rPr>
        <w:t>)</w:t>
      </w:r>
      <w:r w:rsidR="002319E5">
        <w:rPr>
          <w:rFonts w:ascii="Times New Roman" w:hAnsi="Times New Roman" w:cs="Times New Roman"/>
        </w:rPr>
        <w:t>.</w:t>
      </w:r>
      <w:r w:rsidR="00830A83">
        <w:rPr>
          <w:rFonts w:ascii="Times New Roman" w:hAnsi="Times New Roman" w:cs="Times New Roman"/>
        </w:rPr>
        <w:t xml:space="preserve">  Nevertheless, there are circumstances in which the beneficiaries of an ex</w:t>
      </w:r>
      <w:r w:rsidR="00DA0871">
        <w:rPr>
          <w:rFonts w:ascii="Times New Roman" w:hAnsi="Times New Roman" w:cs="Times New Roman"/>
        </w:rPr>
        <w:t>emption</w:t>
      </w:r>
      <w:r w:rsidR="00830A83">
        <w:rPr>
          <w:rFonts w:ascii="Times New Roman" w:hAnsi="Times New Roman" w:cs="Times New Roman"/>
        </w:rPr>
        <w:t xml:space="preserve"> lack the technical expertise to circumvent access controls.</w:t>
      </w:r>
    </w:p>
    <w:p w14:paraId="66D05264" w14:textId="77777777" w:rsidR="00876C60" w:rsidRDefault="00830A83" w:rsidP="00E011B1">
      <w:pPr>
        <w:spacing w:line="360" w:lineRule="auto"/>
        <w:ind w:firstLine="720"/>
        <w:rPr>
          <w:rFonts w:ascii="Times New Roman" w:hAnsi="Times New Roman" w:cs="Times New Roman"/>
        </w:rPr>
      </w:pPr>
      <w:r>
        <w:rPr>
          <w:rFonts w:ascii="Times New Roman" w:hAnsi="Times New Roman" w:cs="Times New Roman"/>
        </w:rPr>
        <w:t xml:space="preserve">We urge that the ban on trafficking in anti-circumvention </w:t>
      </w:r>
      <w:r w:rsidRPr="00DA0871">
        <w:rPr>
          <w:rFonts w:ascii="Times New Roman" w:hAnsi="Times New Roman" w:cs="Times New Roman"/>
          <w:i/>
        </w:rPr>
        <w:t>devices</w:t>
      </w:r>
      <w:r>
        <w:rPr>
          <w:rFonts w:ascii="Times New Roman" w:hAnsi="Times New Roman" w:cs="Times New Roman"/>
        </w:rPr>
        <w:t xml:space="preserve"> should not be modified.  </w:t>
      </w:r>
      <w:r w:rsidR="002319E5">
        <w:rPr>
          <w:rFonts w:ascii="Times New Roman" w:hAnsi="Times New Roman" w:cs="Times New Roman"/>
        </w:rPr>
        <w:t xml:space="preserve">The Copyright Office defines exemptions not only by type of work but by type of use.  Devices capable of circumventing </w:t>
      </w:r>
      <w:r w:rsidR="006F3CC5">
        <w:rPr>
          <w:rFonts w:ascii="Times New Roman" w:hAnsi="Times New Roman" w:cs="Times New Roman"/>
        </w:rPr>
        <w:t>particular technological controls</w:t>
      </w:r>
      <w:r w:rsidR="002319E5">
        <w:rPr>
          <w:rFonts w:ascii="Times New Roman" w:hAnsi="Times New Roman" w:cs="Times New Roman"/>
        </w:rPr>
        <w:t xml:space="preserve"> can </w:t>
      </w:r>
      <w:r w:rsidR="00073CD1">
        <w:rPr>
          <w:rFonts w:ascii="Times New Roman" w:hAnsi="Times New Roman" w:cs="Times New Roman"/>
        </w:rPr>
        <w:t>perform this function</w:t>
      </w:r>
      <w:r w:rsidR="002319E5">
        <w:rPr>
          <w:rFonts w:ascii="Times New Roman" w:hAnsi="Times New Roman" w:cs="Times New Roman"/>
        </w:rPr>
        <w:t xml:space="preserve"> regardless of the use to which the clear copy may be put. </w:t>
      </w:r>
      <w:r>
        <w:rPr>
          <w:rFonts w:ascii="Times New Roman" w:hAnsi="Times New Roman" w:cs="Times New Roman"/>
        </w:rPr>
        <w:t xml:space="preserve"> Once a circumvention device is on the market, it will be readily available to anyone who wants to circumvent, not just to those who have a valid pu</w:t>
      </w:r>
      <w:r w:rsidR="00723424">
        <w:rPr>
          <w:rFonts w:ascii="Times New Roman" w:hAnsi="Times New Roman" w:cs="Times New Roman"/>
        </w:rPr>
        <w:t>r</w:t>
      </w:r>
      <w:r>
        <w:rPr>
          <w:rFonts w:ascii="Times New Roman" w:hAnsi="Times New Roman" w:cs="Times New Roman"/>
        </w:rPr>
        <w:t>pose.</w:t>
      </w:r>
      <w:r w:rsidR="002319E5">
        <w:rPr>
          <w:rFonts w:ascii="Times New Roman" w:hAnsi="Times New Roman" w:cs="Times New Roman"/>
        </w:rPr>
        <w:t xml:space="preserve"> </w:t>
      </w:r>
    </w:p>
    <w:p w14:paraId="60F5B73E" w14:textId="77777777" w:rsidR="00723424" w:rsidRDefault="002319E5" w:rsidP="00723424">
      <w:pPr>
        <w:spacing w:line="360" w:lineRule="auto"/>
        <w:ind w:firstLine="720"/>
        <w:rPr>
          <w:rFonts w:ascii="Times New Roman" w:hAnsi="Times New Roman" w:cs="Times New Roman"/>
        </w:rPr>
      </w:pPr>
      <w:r>
        <w:rPr>
          <w:rFonts w:ascii="Times New Roman" w:hAnsi="Times New Roman" w:cs="Times New Roman"/>
        </w:rPr>
        <w:t xml:space="preserve">Accordingly, other alternatives for making works available free of encryption should be </w:t>
      </w:r>
      <w:r w:rsidR="00830A83">
        <w:rPr>
          <w:rFonts w:ascii="Times New Roman" w:hAnsi="Times New Roman" w:cs="Times New Roman"/>
        </w:rPr>
        <w:t>explored</w:t>
      </w:r>
      <w:r>
        <w:rPr>
          <w:rFonts w:ascii="Times New Roman" w:hAnsi="Times New Roman" w:cs="Times New Roman"/>
        </w:rPr>
        <w:t>.</w:t>
      </w:r>
      <w:r w:rsidR="006701B1">
        <w:rPr>
          <w:rFonts w:ascii="Times New Roman" w:hAnsi="Times New Roman" w:cs="Times New Roman"/>
        </w:rPr>
        <w:t xml:space="preserve">  One possibility would be to </w:t>
      </w:r>
      <w:r w:rsidR="00830A83">
        <w:rPr>
          <w:rFonts w:ascii="Times New Roman" w:hAnsi="Times New Roman" w:cs="Times New Roman"/>
        </w:rPr>
        <w:t xml:space="preserve">permit circumvention services, subject to </w:t>
      </w:r>
      <w:r w:rsidR="006701B1">
        <w:rPr>
          <w:rFonts w:ascii="Times New Roman" w:hAnsi="Times New Roman" w:cs="Times New Roman"/>
        </w:rPr>
        <w:t xml:space="preserve">who can </w:t>
      </w:r>
      <w:r w:rsidR="00DA0871">
        <w:rPr>
          <w:rFonts w:ascii="Times New Roman" w:hAnsi="Times New Roman" w:cs="Times New Roman"/>
        </w:rPr>
        <w:t>de</w:t>
      </w:r>
      <w:r w:rsidR="006701B1">
        <w:rPr>
          <w:rFonts w:ascii="Times New Roman" w:hAnsi="Times New Roman" w:cs="Times New Roman"/>
        </w:rPr>
        <w:t>crypt for another and under what conditions, so that circumvention services would be allowed only in limited circumstances.  Another might be to permit circumvention but only after providing the right holders of the relevant copyrighted works an opportunity to make them available for the permitted uses</w:t>
      </w:r>
      <w:r w:rsidR="00142C98">
        <w:rPr>
          <w:rFonts w:ascii="Times New Roman" w:hAnsi="Times New Roman" w:cs="Times New Roman"/>
        </w:rPr>
        <w:t>.</w:t>
      </w:r>
      <w:r w:rsidR="0063631D">
        <w:rPr>
          <w:rStyle w:val="FootnoteReference"/>
          <w:rFonts w:ascii="Times New Roman" w:hAnsi="Times New Roman" w:cs="Times New Roman"/>
        </w:rPr>
        <w:footnoteReference w:id="10"/>
      </w:r>
      <w:r w:rsidR="00142C98">
        <w:rPr>
          <w:rFonts w:ascii="Times New Roman" w:hAnsi="Times New Roman" w:cs="Times New Roman"/>
        </w:rPr>
        <w:t xml:space="preserve">  </w:t>
      </w:r>
    </w:p>
    <w:p w14:paraId="4D83BB76" w14:textId="77777777" w:rsidR="00142C98" w:rsidRPr="002319E5" w:rsidRDefault="00A90C6F" w:rsidP="00E011B1">
      <w:pPr>
        <w:spacing w:after="240" w:line="360" w:lineRule="auto"/>
        <w:ind w:firstLine="720"/>
        <w:rPr>
          <w:rFonts w:ascii="Times New Roman" w:hAnsi="Times New Roman" w:cs="Times New Roman"/>
        </w:rPr>
      </w:pPr>
      <w:r>
        <w:rPr>
          <w:rFonts w:ascii="Times New Roman" w:hAnsi="Times New Roman" w:cs="Times New Roman"/>
        </w:rPr>
        <w:t>To the extent that beneficiaries of exemptions are permitted to seek circumvention services, it should be the Copyright Office that makes that determination, as part of the rulemaking</w:t>
      </w:r>
      <w:r w:rsidR="00DA0871">
        <w:rPr>
          <w:rFonts w:ascii="Times New Roman" w:hAnsi="Times New Roman" w:cs="Times New Roman"/>
        </w:rPr>
        <w:t xml:space="preserve"> process</w:t>
      </w:r>
      <w:r>
        <w:rPr>
          <w:rFonts w:ascii="Times New Roman" w:hAnsi="Times New Roman" w:cs="Times New Roman"/>
        </w:rPr>
        <w:t>.  The Office can determine whether such a provision is warranted, and fashion an appropriate solution.  Ultimately, it can provide a more nuanced solution directed to the particular circumstances for which circumvention is sought.</w:t>
      </w:r>
    </w:p>
    <w:p w14:paraId="51BB73F6" w14:textId="77777777" w:rsidR="00C67042" w:rsidRDefault="00C67042" w:rsidP="00C67042">
      <w:pPr>
        <w:spacing w:after="240"/>
        <w:rPr>
          <w:rFonts w:ascii="Times New Roman" w:hAnsi="Times New Roman" w:cs="Times New Roman"/>
          <w:i/>
        </w:rPr>
      </w:pPr>
      <w:r w:rsidRPr="00172580">
        <w:rPr>
          <w:rFonts w:ascii="Times New Roman" w:hAnsi="Times New Roman" w:cs="Times New Roman"/>
          <w:i/>
        </w:rPr>
        <w:t>8. Please assess whether the existing categories of permanent exemptions are necessary, relevant, and/or sufficient. How do the permanent exemptions affect the current state of reverse engineering, encryption research, and security testing? How do the permanent exemptions affect the activities of libraries, archives, and educational institutions? How might the existing permanent exemptions be amended to better facilitate such activities?</w:t>
      </w:r>
    </w:p>
    <w:p w14:paraId="1F5C72E5" w14:textId="22668E07" w:rsidR="0053102B" w:rsidRPr="00876C60" w:rsidRDefault="00F32CEA" w:rsidP="00E011B1">
      <w:pPr>
        <w:spacing w:line="360" w:lineRule="auto"/>
        <w:ind w:firstLine="720"/>
        <w:rPr>
          <w:rFonts w:ascii="Times New Roman" w:hAnsi="Times New Roman" w:cs="Times New Roman"/>
        </w:rPr>
      </w:pPr>
      <w:r>
        <w:rPr>
          <w:rFonts w:ascii="Times New Roman" w:hAnsi="Times New Roman" w:cs="Times New Roman"/>
        </w:rPr>
        <w:t xml:space="preserve">We are not in a position to judge the current state of reverse engineering, encryption research or security testing.  With respect to libraries, archives and educational institutions, </w:t>
      </w:r>
      <w:r w:rsidR="00593244">
        <w:rPr>
          <w:rFonts w:ascii="Times New Roman" w:hAnsi="Times New Roman" w:cs="Times New Roman"/>
        </w:rPr>
        <w:t>it appears that c</w:t>
      </w:r>
      <w:r w:rsidR="0053102B" w:rsidRPr="0053102B">
        <w:rPr>
          <w:rFonts w:ascii="Times New Roman" w:hAnsi="Times New Roman" w:cs="Times New Roman"/>
        </w:rPr>
        <w:t>ommentators’ suggestion that the current permanent exemption contained at section 1201</w:t>
      </w:r>
      <w:r w:rsidR="00337E75">
        <w:rPr>
          <w:rFonts w:ascii="Times New Roman" w:hAnsi="Times New Roman" w:cs="Times New Roman"/>
        </w:rPr>
        <w:t xml:space="preserve"> </w:t>
      </w:r>
      <w:r w:rsidR="0053102B" w:rsidRPr="0053102B">
        <w:rPr>
          <w:rFonts w:ascii="Times New Roman" w:hAnsi="Times New Roman" w:cs="Times New Roman"/>
        </w:rPr>
        <w:t>(d) is “woefully inadequate”</w:t>
      </w:r>
      <w:r w:rsidR="0053102B" w:rsidRPr="0053102B">
        <w:rPr>
          <w:rStyle w:val="FootnoteReference"/>
          <w:rFonts w:ascii="Times New Roman" w:hAnsi="Times New Roman" w:cs="Times New Roman"/>
        </w:rPr>
        <w:footnoteReference w:id="11"/>
      </w:r>
      <w:r w:rsidR="0053102B" w:rsidRPr="0053102B">
        <w:rPr>
          <w:rFonts w:ascii="Times New Roman" w:hAnsi="Times New Roman" w:cs="Times New Roman"/>
        </w:rPr>
        <w:t xml:space="preserve"> is not borne out by the evidentiary record</w:t>
      </w:r>
      <w:r w:rsidR="00593244">
        <w:rPr>
          <w:rFonts w:ascii="Times New Roman" w:hAnsi="Times New Roman" w:cs="Times New Roman"/>
        </w:rPr>
        <w:t>.</w:t>
      </w:r>
    </w:p>
    <w:p w14:paraId="38B07C74" w14:textId="145E81C8" w:rsidR="0053102B" w:rsidRPr="0053102B" w:rsidRDefault="0053102B" w:rsidP="00E011B1">
      <w:pPr>
        <w:spacing w:line="360" w:lineRule="auto"/>
        <w:rPr>
          <w:rFonts w:ascii="Times New Roman" w:hAnsi="Times New Roman" w:cs="Times New Roman"/>
        </w:rPr>
      </w:pPr>
      <w:r w:rsidRPr="0053102B">
        <w:rPr>
          <w:rFonts w:ascii="Times New Roman" w:hAnsi="Times New Roman" w:cs="Times New Roman"/>
        </w:rPr>
        <w:lastRenderedPageBreak/>
        <w:tab/>
        <w:t>The number of exemptions requested by libraries and affiliated associations</w:t>
      </w:r>
      <w:r w:rsidR="003C5E3E">
        <w:rPr>
          <w:rStyle w:val="FootnoteReference"/>
          <w:rFonts w:ascii="Times New Roman" w:hAnsi="Times New Roman" w:cs="Times New Roman"/>
        </w:rPr>
        <w:footnoteReference w:id="12"/>
      </w:r>
      <w:r w:rsidRPr="0053102B">
        <w:rPr>
          <w:rFonts w:ascii="Times New Roman" w:hAnsi="Times New Roman" w:cs="Times New Roman"/>
        </w:rPr>
        <w:t xml:space="preserve"> during the sixth triennial rulemaking represents the high water</w:t>
      </w:r>
      <w:r w:rsidR="00DA0871">
        <w:rPr>
          <w:rFonts w:ascii="Times New Roman" w:hAnsi="Times New Roman" w:cs="Times New Roman"/>
        </w:rPr>
        <w:t xml:space="preserve"> </w:t>
      </w:r>
      <w:r w:rsidRPr="0053102B">
        <w:rPr>
          <w:rFonts w:ascii="Times New Roman" w:hAnsi="Times New Roman" w:cs="Times New Roman"/>
        </w:rPr>
        <w:t xml:space="preserve">mark for requests by libraries in the triennial rulemaking process </w:t>
      </w:r>
      <w:r w:rsidR="004C355E">
        <w:rPr>
          <w:rFonts w:ascii="Times New Roman" w:hAnsi="Times New Roman" w:cs="Times New Roman"/>
        </w:rPr>
        <w:t>(</w:t>
      </w:r>
      <w:r w:rsidR="008F1268">
        <w:rPr>
          <w:rFonts w:ascii="Times New Roman" w:hAnsi="Times New Roman" w:cs="Times New Roman"/>
        </w:rPr>
        <w:t>those requests are</w:t>
      </w:r>
      <w:r w:rsidR="004C355E">
        <w:rPr>
          <w:rFonts w:ascii="Times New Roman" w:hAnsi="Times New Roman" w:cs="Times New Roman"/>
        </w:rPr>
        <w:t xml:space="preserve"> discussed below)</w:t>
      </w:r>
      <w:r w:rsidRPr="0053102B">
        <w:rPr>
          <w:rFonts w:ascii="Times New Roman" w:hAnsi="Times New Roman" w:cs="Times New Roman"/>
        </w:rPr>
        <w:t>.  An examination of all six rulemaking proceedings indicates that the perceived inadequacy of section 1201</w:t>
      </w:r>
      <w:r w:rsidR="004C355E">
        <w:rPr>
          <w:rFonts w:ascii="Times New Roman" w:hAnsi="Times New Roman" w:cs="Times New Roman"/>
        </w:rPr>
        <w:t xml:space="preserve"> </w:t>
      </w:r>
      <w:r w:rsidRPr="0053102B">
        <w:rPr>
          <w:rFonts w:ascii="Times New Roman" w:hAnsi="Times New Roman" w:cs="Times New Roman"/>
        </w:rPr>
        <w:t xml:space="preserve">(d) is overstated.  Presumably, a deficient statutory structure triggering the need for a broader permanent exemption would force libraries to consistently and repeatedly request numerous new exemptions and renewals every three years, but that </w:t>
      </w:r>
      <w:r w:rsidR="00593244">
        <w:rPr>
          <w:rFonts w:ascii="Times New Roman" w:hAnsi="Times New Roman" w:cs="Times New Roman"/>
        </w:rPr>
        <w:t>has not been</w:t>
      </w:r>
      <w:r w:rsidRPr="0053102B">
        <w:rPr>
          <w:rFonts w:ascii="Times New Roman" w:hAnsi="Times New Roman" w:cs="Times New Roman"/>
        </w:rPr>
        <w:t xml:space="preserve"> the case.  </w:t>
      </w:r>
    </w:p>
    <w:p w14:paraId="65A34FFF" w14:textId="08A596D9" w:rsidR="0053102B" w:rsidRPr="0053102B" w:rsidRDefault="0053102B" w:rsidP="00E011B1">
      <w:pPr>
        <w:spacing w:line="360" w:lineRule="auto"/>
        <w:rPr>
          <w:rFonts w:ascii="Times New Roman" w:hAnsi="Times New Roman" w:cs="Times New Roman"/>
        </w:rPr>
      </w:pPr>
      <w:r w:rsidRPr="0053102B">
        <w:rPr>
          <w:rFonts w:ascii="Times New Roman" w:hAnsi="Times New Roman" w:cs="Times New Roman"/>
        </w:rPr>
        <w:tab/>
      </w:r>
      <w:r w:rsidR="00E35EC8">
        <w:rPr>
          <w:rFonts w:ascii="Times New Roman" w:hAnsi="Times New Roman" w:cs="Times New Roman"/>
        </w:rPr>
        <w:t>L</w:t>
      </w:r>
      <w:r w:rsidRPr="0053102B">
        <w:rPr>
          <w:rFonts w:ascii="Times New Roman" w:hAnsi="Times New Roman" w:cs="Times New Roman"/>
        </w:rPr>
        <w:t>ibraries and affiliated associations have remained active participants in the triennial rulemaking process, but not to the extent that demonstrates a need to expand the permanent exemption contained in section 1201</w:t>
      </w:r>
      <w:r w:rsidR="004C355E">
        <w:rPr>
          <w:rFonts w:ascii="Times New Roman" w:hAnsi="Times New Roman" w:cs="Times New Roman"/>
        </w:rPr>
        <w:t xml:space="preserve"> </w:t>
      </w:r>
      <w:r w:rsidRPr="0053102B">
        <w:rPr>
          <w:rFonts w:ascii="Times New Roman" w:hAnsi="Times New Roman" w:cs="Times New Roman"/>
        </w:rPr>
        <w:t xml:space="preserve">(d).  For example, in the fifth triennial rulemaking the </w:t>
      </w:r>
      <w:r w:rsidR="00E35EC8">
        <w:rPr>
          <w:rFonts w:ascii="Times New Roman" w:hAnsi="Times New Roman" w:cs="Times New Roman"/>
        </w:rPr>
        <w:t>Library Copyright Alliance (</w:t>
      </w:r>
      <w:r w:rsidRPr="0053102B">
        <w:rPr>
          <w:rFonts w:ascii="Times New Roman" w:hAnsi="Times New Roman" w:cs="Times New Roman"/>
        </w:rPr>
        <w:t>LCA</w:t>
      </w:r>
      <w:r w:rsidR="00E35EC8">
        <w:rPr>
          <w:rFonts w:ascii="Times New Roman" w:hAnsi="Times New Roman" w:cs="Times New Roman"/>
        </w:rPr>
        <w:t>)</w:t>
      </w:r>
      <w:r w:rsidRPr="0053102B">
        <w:rPr>
          <w:rFonts w:ascii="Times New Roman" w:hAnsi="Times New Roman" w:cs="Times New Roman"/>
        </w:rPr>
        <w:t xml:space="preserve"> requested renewal of only one exemption,</w:t>
      </w:r>
      <w:r w:rsidR="005B6990">
        <w:rPr>
          <w:rFonts w:ascii="Times New Roman" w:hAnsi="Times New Roman" w:cs="Times New Roman"/>
        </w:rPr>
        <w:t xml:space="preserve"> </w:t>
      </w:r>
      <w:r w:rsidRPr="0053102B">
        <w:rPr>
          <w:rFonts w:ascii="Times New Roman" w:hAnsi="Times New Roman" w:cs="Times New Roman"/>
        </w:rPr>
        <w:t>that for use of short portions of motion pictures.  During the sixth triennial rulemaking, the LCA requested renewal of the previous motion picture ex</w:t>
      </w:r>
      <w:r w:rsidR="00DA0871">
        <w:rPr>
          <w:rFonts w:ascii="Times New Roman" w:hAnsi="Times New Roman" w:cs="Times New Roman"/>
        </w:rPr>
        <w:t>emption</w:t>
      </w:r>
      <w:r w:rsidRPr="0053102B">
        <w:rPr>
          <w:rFonts w:ascii="Times New Roman" w:hAnsi="Times New Roman" w:cs="Times New Roman"/>
        </w:rPr>
        <w:t xml:space="preserve">, but requested broadening </w:t>
      </w:r>
      <w:r w:rsidR="00DA0871">
        <w:rPr>
          <w:rFonts w:ascii="Times New Roman" w:hAnsi="Times New Roman" w:cs="Times New Roman"/>
        </w:rPr>
        <w:t>it</w:t>
      </w:r>
      <w:r w:rsidRPr="0053102B">
        <w:rPr>
          <w:rFonts w:ascii="Times New Roman" w:hAnsi="Times New Roman" w:cs="Times New Roman"/>
        </w:rPr>
        <w:t xml:space="preserve"> to include new storage technologies, such as Blu-Ray.</w:t>
      </w:r>
      <w:r w:rsidR="004C355E">
        <w:rPr>
          <w:rFonts w:ascii="Times New Roman" w:hAnsi="Times New Roman" w:cs="Times New Roman"/>
        </w:rPr>
        <w:t xml:space="preserve">  This request </w:t>
      </w:r>
      <w:r w:rsidR="00BA579D">
        <w:rPr>
          <w:rFonts w:ascii="Times New Roman" w:hAnsi="Times New Roman" w:cs="Times New Roman"/>
        </w:rPr>
        <w:t>was ultimately recommended by the Register.</w:t>
      </w:r>
      <w:r w:rsidR="00E90F64">
        <w:rPr>
          <w:rStyle w:val="FootnoteReference"/>
          <w:rFonts w:ascii="Times New Roman" w:hAnsi="Times New Roman" w:cs="Times New Roman"/>
        </w:rPr>
        <w:footnoteReference w:id="13"/>
      </w:r>
      <w:r w:rsidR="005B6990">
        <w:rPr>
          <w:rFonts w:ascii="Times New Roman" w:hAnsi="Times New Roman" w:cs="Times New Roman"/>
        </w:rPr>
        <w:t xml:space="preserve"> </w:t>
      </w:r>
      <w:r w:rsidRPr="0053102B">
        <w:rPr>
          <w:rFonts w:ascii="Times New Roman" w:hAnsi="Times New Roman" w:cs="Times New Roman"/>
        </w:rPr>
        <w:t xml:space="preserve"> </w:t>
      </w:r>
      <w:r w:rsidR="00BA579D">
        <w:rPr>
          <w:rFonts w:ascii="Times New Roman" w:hAnsi="Times New Roman" w:cs="Times New Roman"/>
        </w:rPr>
        <w:t>Therefore, c</w:t>
      </w:r>
      <w:r w:rsidRPr="0053102B">
        <w:rPr>
          <w:rFonts w:ascii="Times New Roman" w:hAnsi="Times New Roman" w:cs="Times New Roman"/>
        </w:rPr>
        <w:t xml:space="preserve">ontrary to the assertion that the current statutory structure is inadequate, it would appear that the triennial rulemaking process is not only used by libraries to a limited extent, but also that it is in fact </w:t>
      </w:r>
      <w:r w:rsidRPr="00E011B1">
        <w:rPr>
          <w:rFonts w:ascii="Times New Roman" w:hAnsi="Times New Roman" w:cs="Times New Roman"/>
        </w:rPr>
        <w:t>functioning consistently with legislative intent by</w:t>
      </w:r>
      <w:r w:rsidRPr="0053102B">
        <w:rPr>
          <w:rFonts w:ascii="Times New Roman" w:hAnsi="Times New Roman" w:cs="Times New Roman"/>
        </w:rPr>
        <w:t xml:space="preserve"> enabling libraries to keep the Copyright Office and the Register apprised of changing technologies and the changing needs of users.</w:t>
      </w:r>
    </w:p>
    <w:p w14:paraId="4540CC04" w14:textId="77777777" w:rsidR="0053102B" w:rsidRPr="0053102B" w:rsidRDefault="0053102B" w:rsidP="00E011B1">
      <w:pPr>
        <w:spacing w:line="360" w:lineRule="auto"/>
        <w:rPr>
          <w:rFonts w:ascii="Times New Roman" w:hAnsi="Times New Roman" w:cs="Times New Roman"/>
        </w:rPr>
      </w:pPr>
      <w:r w:rsidRPr="0053102B">
        <w:rPr>
          <w:rFonts w:ascii="Times New Roman" w:hAnsi="Times New Roman" w:cs="Times New Roman"/>
        </w:rPr>
        <w:tab/>
        <w:t>Moreover, many of the exemptions requested by associations such as the M</w:t>
      </w:r>
      <w:r w:rsidR="00E35EC8">
        <w:rPr>
          <w:rFonts w:ascii="Times New Roman" w:hAnsi="Times New Roman" w:cs="Times New Roman"/>
        </w:rPr>
        <w:t>usic Library Association (M</w:t>
      </w:r>
      <w:r w:rsidRPr="0053102B">
        <w:rPr>
          <w:rFonts w:ascii="Times New Roman" w:hAnsi="Times New Roman" w:cs="Times New Roman"/>
        </w:rPr>
        <w:t>LA</w:t>
      </w:r>
      <w:r w:rsidR="00E35EC8">
        <w:rPr>
          <w:rFonts w:ascii="Times New Roman" w:hAnsi="Times New Roman" w:cs="Times New Roman"/>
        </w:rPr>
        <w:t>)</w:t>
      </w:r>
      <w:r w:rsidRPr="0053102B">
        <w:rPr>
          <w:rFonts w:ascii="Times New Roman" w:hAnsi="Times New Roman" w:cs="Times New Roman"/>
        </w:rPr>
        <w:t xml:space="preserve"> in the sixth triennial rulemaking were declined based on insufficient records.  For example, the MLA requested broad exemptions for audiovisual and literary works for the purpose of noncommercial space-shifting or format-shifting.  The Register found that based on the record, it was not conclusive that the activities were “</w:t>
      </w:r>
      <w:proofErr w:type="spellStart"/>
      <w:r w:rsidRPr="0053102B">
        <w:rPr>
          <w:rFonts w:ascii="Times New Roman" w:hAnsi="Times New Roman" w:cs="Times New Roman"/>
        </w:rPr>
        <w:t>noninfringing</w:t>
      </w:r>
      <w:proofErr w:type="spellEnd"/>
      <w:r w:rsidRPr="0053102B">
        <w:rPr>
          <w:rFonts w:ascii="Times New Roman" w:hAnsi="Times New Roman" w:cs="Times New Roman"/>
        </w:rPr>
        <w:t xml:space="preserve">, or that the prohibition on </w:t>
      </w:r>
      <w:r w:rsidRPr="0053102B">
        <w:rPr>
          <w:rFonts w:ascii="Times New Roman" w:hAnsi="Times New Roman" w:cs="Times New Roman"/>
        </w:rPr>
        <w:lastRenderedPageBreak/>
        <w:t xml:space="preserve">circumvention has, or is likely to have, an adverse impact on </w:t>
      </w:r>
      <w:proofErr w:type="spellStart"/>
      <w:r w:rsidRPr="0053102B">
        <w:rPr>
          <w:rFonts w:ascii="Times New Roman" w:hAnsi="Times New Roman" w:cs="Times New Roman"/>
        </w:rPr>
        <w:t>noninfringing</w:t>
      </w:r>
      <w:proofErr w:type="spellEnd"/>
      <w:r w:rsidRPr="0053102B">
        <w:rPr>
          <w:rFonts w:ascii="Times New Roman" w:hAnsi="Times New Roman" w:cs="Times New Roman"/>
        </w:rPr>
        <w:t xml:space="preserve"> uses of the underlying works.”</w:t>
      </w:r>
      <w:r w:rsidRPr="0053102B">
        <w:rPr>
          <w:rStyle w:val="FootnoteReference"/>
          <w:rFonts w:ascii="Times New Roman" w:hAnsi="Times New Roman" w:cs="Times New Roman"/>
        </w:rPr>
        <w:footnoteReference w:id="14"/>
      </w:r>
      <w:r w:rsidRPr="0053102B">
        <w:rPr>
          <w:rFonts w:ascii="Times New Roman" w:hAnsi="Times New Roman" w:cs="Times New Roman"/>
        </w:rPr>
        <w:t xml:space="preserve">  A record that is insufficient to support an exemption in the triennial rulemaking process is equally insufficient to support broadening the existing permanent exemption.</w:t>
      </w:r>
    </w:p>
    <w:p w14:paraId="61DFA23F" w14:textId="5DCA9587" w:rsidR="00876C60" w:rsidRDefault="00DE09B8" w:rsidP="003C5E3E">
      <w:pPr>
        <w:spacing w:line="360" w:lineRule="auto"/>
        <w:rPr>
          <w:rFonts w:ascii="Times New Roman" w:hAnsi="Times New Roman" w:cs="Times New Roman"/>
        </w:rPr>
      </w:pPr>
      <w:r>
        <w:rPr>
          <w:rFonts w:ascii="Times New Roman" w:hAnsi="Times New Roman" w:cs="Times New Roman"/>
        </w:rPr>
        <w:tab/>
      </w:r>
      <w:r w:rsidR="003C5E3E">
        <w:rPr>
          <w:rFonts w:ascii="Times New Roman" w:hAnsi="Times New Roman" w:cs="Times New Roman"/>
        </w:rPr>
        <w:t xml:space="preserve">We recognize, however, that </w:t>
      </w:r>
      <w:r w:rsidR="008D6C4F">
        <w:rPr>
          <w:rFonts w:ascii="Times New Roman" w:hAnsi="Times New Roman" w:cs="Times New Roman"/>
        </w:rPr>
        <w:t xml:space="preserve">the </w:t>
      </w:r>
      <w:r w:rsidR="003C5E3E">
        <w:rPr>
          <w:rFonts w:ascii="Times New Roman" w:hAnsi="Times New Roman" w:cs="Times New Roman"/>
        </w:rPr>
        <w:t>needs of nonprofit libraries and archives, the nature of technological protection and the scope of copyright exceptions continue to evolve.  Accordingly, the record of future rulemakings may demonstrate a need to revisit the permanent exemption for libraries.</w:t>
      </w:r>
    </w:p>
    <w:p w14:paraId="72215F79" w14:textId="77777777" w:rsidR="003C5E3E" w:rsidRPr="00DE09B8" w:rsidRDefault="003C5E3E" w:rsidP="003C5E3E">
      <w:pPr>
        <w:spacing w:line="360" w:lineRule="auto"/>
        <w:rPr>
          <w:rFonts w:ascii="Times New Roman" w:hAnsi="Times New Roman" w:cs="Times New Roman"/>
        </w:rPr>
      </w:pPr>
    </w:p>
    <w:p w14:paraId="5B604132" w14:textId="77777777" w:rsidR="00C67042" w:rsidRPr="00172580" w:rsidRDefault="00C67042" w:rsidP="00C67042">
      <w:pPr>
        <w:spacing w:after="240"/>
        <w:rPr>
          <w:rFonts w:ascii="Times New Roman" w:hAnsi="Times New Roman" w:cs="Times New Roman"/>
          <w:i/>
        </w:rPr>
      </w:pPr>
      <w:r w:rsidRPr="00172580">
        <w:rPr>
          <w:rFonts w:ascii="Times New Roman" w:hAnsi="Times New Roman" w:cs="Times New Roman"/>
          <w:i/>
        </w:rPr>
        <w:t>9. Please assess whether there are other permanent exemption categories that Congress should consider establishing – for example, to facilitate access to literary works by print-disabled persons.</w:t>
      </w:r>
    </w:p>
    <w:p w14:paraId="16B2141A" w14:textId="423A42BC" w:rsidR="005C1F7C" w:rsidRDefault="00692E10" w:rsidP="00E011B1">
      <w:pPr>
        <w:spacing w:line="360" w:lineRule="auto"/>
        <w:ind w:firstLine="720"/>
        <w:rPr>
          <w:rFonts w:ascii="Times New Roman" w:hAnsi="Times New Roman" w:cs="Times New Roman"/>
        </w:rPr>
      </w:pPr>
      <w:r>
        <w:rPr>
          <w:rFonts w:ascii="Times New Roman" w:hAnsi="Times New Roman" w:cs="Times New Roman"/>
        </w:rPr>
        <w:t>Congress should consider a</w:t>
      </w:r>
      <w:r w:rsidR="00DA0871">
        <w:rPr>
          <w:rFonts w:ascii="Times New Roman" w:hAnsi="Times New Roman" w:cs="Times New Roman"/>
        </w:rPr>
        <w:t>n appropriate</w:t>
      </w:r>
      <w:r w:rsidR="00B45053">
        <w:rPr>
          <w:rFonts w:ascii="Times New Roman" w:hAnsi="Times New Roman" w:cs="Times New Roman"/>
        </w:rPr>
        <w:t>ly</w:t>
      </w:r>
      <w:r w:rsidR="00DA0871">
        <w:rPr>
          <w:rFonts w:ascii="Times New Roman" w:hAnsi="Times New Roman" w:cs="Times New Roman"/>
        </w:rPr>
        <w:t xml:space="preserve"> drafted</w:t>
      </w:r>
      <w:r>
        <w:rPr>
          <w:rFonts w:ascii="Times New Roman" w:hAnsi="Times New Roman" w:cs="Times New Roman"/>
        </w:rPr>
        <w:t xml:space="preserve"> permanent exemption to facilitate access to literary works by print-disabled persons.  The history of the triennial rulemaking indicates that this is </w:t>
      </w:r>
      <w:r w:rsidR="00B45053">
        <w:rPr>
          <w:rFonts w:ascii="Times New Roman" w:hAnsi="Times New Roman" w:cs="Times New Roman"/>
        </w:rPr>
        <w:t xml:space="preserve">an </w:t>
      </w:r>
      <w:r>
        <w:rPr>
          <w:rFonts w:ascii="Times New Roman" w:hAnsi="Times New Roman" w:cs="Times New Roman"/>
        </w:rPr>
        <w:t xml:space="preserve">exemption that </w:t>
      </w:r>
      <w:r w:rsidR="008D6C4F">
        <w:rPr>
          <w:rFonts w:ascii="Times New Roman" w:hAnsi="Times New Roman" w:cs="Times New Roman"/>
        </w:rPr>
        <w:t>has been</w:t>
      </w:r>
      <w:r>
        <w:rPr>
          <w:rFonts w:ascii="Times New Roman" w:hAnsi="Times New Roman" w:cs="Times New Roman"/>
        </w:rPr>
        <w:t xml:space="preserve"> r</w:t>
      </w:r>
      <w:r w:rsidR="00DA0871">
        <w:rPr>
          <w:rFonts w:ascii="Times New Roman" w:hAnsi="Times New Roman" w:cs="Times New Roman"/>
        </w:rPr>
        <w:t>egularly sought and granted</w:t>
      </w:r>
      <w:r>
        <w:rPr>
          <w:rFonts w:ascii="Times New Roman" w:hAnsi="Times New Roman" w:cs="Times New Roman"/>
        </w:rPr>
        <w:t xml:space="preserve">, </w:t>
      </w:r>
      <w:r w:rsidR="001C2865">
        <w:rPr>
          <w:rFonts w:ascii="Times New Roman" w:hAnsi="Times New Roman" w:cs="Times New Roman"/>
        </w:rPr>
        <w:t xml:space="preserve">and there are </w:t>
      </w:r>
      <w:r>
        <w:rPr>
          <w:rFonts w:ascii="Times New Roman" w:hAnsi="Times New Roman" w:cs="Times New Roman"/>
        </w:rPr>
        <w:t>strong public policy reasons for raising it to the level of a permanent exemption.</w:t>
      </w:r>
    </w:p>
    <w:p w14:paraId="48B9E35D" w14:textId="77777777" w:rsidR="001C2865" w:rsidRDefault="001C2865" w:rsidP="00E011B1">
      <w:pPr>
        <w:spacing w:line="360" w:lineRule="auto"/>
        <w:ind w:firstLine="720"/>
        <w:rPr>
          <w:rFonts w:ascii="Times New Roman" w:hAnsi="Times New Roman" w:cs="Times New Roman"/>
        </w:rPr>
      </w:pPr>
      <w:r>
        <w:rPr>
          <w:rFonts w:ascii="Times New Roman" w:hAnsi="Times New Roman" w:cs="Times New Roman"/>
        </w:rPr>
        <w:t>With respect to additional new permanent exemptions, we refer to our discussion above concerning broadening the exemption for libraries.  W</w:t>
      </w:r>
      <w:r w:rsidR="00692E10">
        <w:rPr>
          <w:rFonts w:ascii="Times New Roman" w:hAnsi="Times New Roman" w:cs="Times New Roman"/>
        </w:rPr>
        <w:t xml:space="preserve">here </w:t>
      </w:r>
      <w:r w:rsidR="005C1F7C">
        <w:rPr>
          <w:rFonts w:ascii="Times New Roman" w:hAnsi="Times New Roman" w:cs="Times New Roman"/>
        </w:rPr>
        <w:t>the record</w:t>
      </w:r>
      <w:r w:rsidR="009D4689">
        <w:rPr>
          <w:rFonts w:ascii="Times New Roman" w:hAnsi="Times New Roman" w:cs="Times New Roman"/>
        </w:rPr>
        <w:t>s</w:t>
      </w:r>
      <w:r w:rsidR="005C1F7C">
        <w:rPr>
          <w:rFonts w:ascii="Times New Roman" w:hAnsi="Times New Roman" w:cs="Times New Roman"/>
        </w:rPr>
        <w:t xml:space="preserve"> of previous rulemaking proceedings indicate that </w:t>
      </w:r>
      <w:r w:rsidR="00692E10">
        <w:rPr>
          <w:rFonts w:ascii="Times New Roman" w:hAnsi="Times New Roman" w:cs="Times New Roman"/>
        </w:rPr>
        <w:t xml:space="preserve">the </w:t>
      </w:r>
      <w:r w:rsidR="005C1F7C">
        <w:rPr>
          <w:rFonts w:ascii="Times New Roman" w:hAnsi="Times New Roman" w:cs="Times New Roman"/>
        </w:rPr>
        <w:t xml:space="preserve">potential beneficiaries have not sought an exemption in the past, or sought it but failed to provide sufficient evidence to justify it, there is </w:t>
      </w:r>
      <w:r w:rsidR="00692E10" w:rsidRPr="0053102B">
        <w:rPr>
          <w:rFonts w:ascii="Times New Roman" w:hAnsi="Times New Roman" w:cs="Times New Roman"/>
        </w:rPr>
        <w:t>insufficient</w:t>
      </w:r>
      <w:r w:rsidR="005C1F7C">
        <w:rPr>
          <w:rFonts w:ascii="Times New Roman" w:hAnsi="Times New Roman" w:cs="Times New Roman"/>
        </w:rPr>
        <w:t xml:space="preserve"> basis</w:t>
      </w:r>
      <w:r w:rsidR="00692E10" w:rsidRPr="0053102B">
        <w:rPr>
          <w:rFonts w:ascii="Times New Roman" w:hAnsi="Times New Roman" w:cs="Times New Roman"/>
        </w:rPr>
        <w:t xml:space="preserve"> to </w:t>
      </w:r>
      <w:r w:rsidR="005C1F7C">
        <w:rPr>
          <w:rFonts w:ascii="Times New Roman" w:hAnsi="Times New Roman" w:cs="Times New Roman"/>
        </w:rPr>
        <w:t>create a new</w:t>
      </w:r>
      <w:r w:rsidR="00692E10" w:rsidRPr="0053102B">
        <w:rPr>
          <w:rFonts w:ascii="Times New Roman" w:hAnsi="Times New Roman" w:cs="Times New Roman"/>
        </w:rPr>
        <w:t xml:space="preserve"> permanent exemption.</w:t>
      </w:r>
      <w:r w:rsidR="005C1F7C">
        <w:rPr>
          <w:rFonts w:ascii="Times New Roman" w:hAnsi="Times New Roman" w:cs="Times New Roman"/>
        </w:rPr>
        <w:t xml:space="preserve">  </w:t>
      </w:r>
    </w:p>
    <w:p w14:paraId="1E545049" w14:textId="32FBD9ED" w:rsidR="00692E10" w:rsidRPr="00692E10" w:rsidRDefault="005C1F7C" w:rsidP="00E011B1">
      <w:pPr>
        <w:spacing w:line="360" w:lineRule="auto"/>
        <w:ind w:firstLine="720"/>
        <w:rPr>
          <w:rFonts w:ascii="Times New Roman" w:hAnsi="Times New Roman" w:cs="Times New Roman"/>
        </w:rPr>
      </w:pPr>
      <w:r>
        <w:rPr>
          <w:rFonts w:ascii="Times New Roman" w:hAnsi="Times New Roman" w:cs="Times New Roman"/>
        </w:rPr>
        <w:t xml:space="preserve">We do not, however, suggest that every exemption that has been granted in past </w:t>
      </w:r>
      <w:r w:rsidR="00910FA3">
        <w:rPr>
          <w:rFonts w:ascii="Times New Roman" w:hAnsi="Times New Roman" w:cs="Times New Roman"/>
        </w:rPr>
        <w:t xml:space="preserve">rulemaking proceedings </w:t>
      </w:r>
      <w:r w:rsidR="001C2865">
        <w:rPr>
          <w:rFonts w:ascii="Times New Roman" w:hAnsi="Times New Roman" w:cs="Times New Roman"/>
        </w:rPr>
        <w:t xml:space="preserve">should </w:t>
      </w:r>
      <w:r>
        <w:rPr>
          <w:rFonts w:ascii="Times New Roman" w:hAnsi="Times New Roman" w:cs="Times New Roman"/>
        </w:rPr>
        <w:t xml:space="preserve">become a permanent exemption.  Doing so </w:t>
      </w:r>
      <w:r w:rsidR="00910FA3">
        <w:rPr>
          <w:rFonts w:ascii="Times New Roman" w:hAnsi="Times New Roman" w:cs="Times New Roman"/>
        </w:rPr>
        <w:t xml:space="preserve">would </w:t>
      </w:r>
      <w:r>
        <w:rPr>
          <w:rFonts w:ascii="Times New Roman" w:hAnsi="Times New Roman" w:cs="Times New Roman"/>
        </w:rPr>
        <w:t xml:space="preserve">minimize flexibility and make it difficult to alter the scope of the exemption as circumstances change.  It is clear that in some areas, technology, distribution methods and the means available to </w:t>
      </w:r>
      <w:r w:rsidR="009F64E5">
        <w:rPr>
          <w:rFonts w:ascii="Times New Roman" w:hAnsi="Times New Roman" w:cs="Times New Roman"/>
        </w:rPr>
        <w:t xml:space="preserve">access copyrighted works are changing rapidly. </w:t>
      </w:r>
      <w:r w:rsidR="007F2C13">
        <w:rPr>
          <w:rFonts w:ascii="Times New Roman" w:hAnsi="Times New Roman" w:cs="Times New Roman"/>
        </w:rPr>
        <w:t xml:space="preserve"> </w:t>
      </w:r>
      <w:r w:rsidR="009F64E5">
        <w:rPr>
          <w:rFonts w:ascii="Times New Roman" w:hAnsi="Times New Roman" w:cs="Times New Roman"/>
        </w:rPr>
        <w:t>Also, s</w:t>
      </w:r>
      <w:r>
        <w:rPr>
          <w:rFonts w:ascii="Times New Roman" w:hAnsi="Times New Roman" w:cs="Times New Roman"/>
        </w:rPr>
        <w:t xml:space="preserve">ome of the exemptions contain detailed conditions that </w:t>
      </w:r>
      <w:r w:rsidR="009F64E5">
        <w:rPr>
          <w:rFonts w:ascii="Times New Roman" w:hAnsi="Times New Roman" w:cs="Times New Roman"/>
        </w:rPr>
        <w:t>are better suited to regulations tha</w:t>
      </w:r>
      <w:r w:rsidR="001C2865">
        <w:rPr>
          <w:rFonts w:ascii="Times New Roman" w:hAnsi="Times New Roman" w:cs="Times New Roman"/>
        </w:rPr>
        <w:t>n</w:t>
      </w:r>
      <w:r w:rsidR="009F64E5">
        <w:rPr>
          <w:rFonts w:ascii="Times New Roman" w:hAnsi="Times New Roman" w:cs="Times New Roman"/>
        </w:rPr>
        <w:t xml:space="preserve"> to incorporation into section 1201</w:t>
      </w:r>
      <w:r w:rsidR="001C2865">
        <w:rPr>
          <w:rFonts w:ascii="Times New Roman" w:hAnsi="Times New Roman" w:cs="Times New Roman"/>
        </w:rPr>
        <w:t xml:space="preserve"> as permanent exemption</w:t>
      </w:r>
      <w:r w:rsidR="00EF7B61">
        <w:rPr>
          <w:rFonts w:ascii="Times New Roman" w:hAnsi="Times New Roman" w:cs="Times New Roman"/>
        </w:rPr>
        <w:t>s</w:t>
      </w:r>
      <w:r w:rsidR="009F64E5">
        <w:rPr>
          <w:rFonts w:ascii="Times New Roman" w:hAnsi="Times New Roman" w:cs="Times New Roman"/>
        </w:rPr>
        <w:t>.</w:t>
      </w:r>
      <w:r w:rsidR="007F2C13">
        <w:rPr>
          <w:rFonts w:ascii="Times New Roman" w:hAnsi="Times New Roman" w:cs="Times New Roman"/>
        </w:rPr>
        <w:t xml:space="preserve">  Streamlining the process for seeking exemptions and allowing a party to rely on the record of a prior rulemaking, discussed elsewhere</w:t>
      </w:r>
      <w:r w:rsidR="009D4689">
        <w:rPr>
          <w:rFonts w:ascii="Times New Roman" w:hAnsi="Times New Roman" w:cs="Times New Roman"/>
        </w:rPr>
        <w:t>, should make the process of getting exemption</w:t>
      </w:r>
      <w:r w:rsidR="008D6C4F">
        <w:rPr>
          <w:rFonts w:ascii="Times New Roman" w:hAnsi="Times New Roman" w:cs="Times New Roman"/>
        </w:rPr>
        <w:t>s</w:t>
      </w:r>
      <w:r w:rsidR="009D4689">
        <w:rPr>
          <w:rFonts w:ascii="Times New Roman" w:hAnsi="Times New Roman" w:cs="Times New Roman"/>
        </w:rPr>
        <w:t xml:space="preserve"> easier.</w:t>
      </w:r>
    </w:p>
    <w:p w14:paraId="2398D0C5" w14:textId="77777777" w:rsidR="00A71140" w:rsidRDefault="00A71140" w:rsidP="00C67042">
      <w:pPr>
        <w:spacing w:after="240"/>
        <w:rPr>
          <w:rFonts w:ascii="Times New Roman" w:hAnsi="Times New Roman" w:cs="Times New Roman"/>
          <w:i/>
        </w:rPr>
      </w:pPr>
    </w:p>
    <w:p w14:paraId="388DDDA6" w14:textId="77777777" w:rsidR="00C67042" w:rsidRDefault="00C67042" w:rsidP="00C67042">
      <w:pPr>
        <w:spacing w:after="240"/>
        <w:rPr>
          <w:rFonts w:ascii="Times New Roman" w:hAnsi="Times New Roman" w:cs="Times New Roman"/>
          <w:i/>
        </w:rPr>
      </w:pPr>
      <w:r w:rsidRPr="00172580">
        <w:rPr>
          <w:rFonts w:ascii="Times New Roman" w:hAnsi="Times New Roman" w:cs="Times New Roman"/>
          <w:i/>
        </w:rPr>
        <w:t>10. To what extent and how might any proposed amendments to section 1201 implicate the United States’ trade and treaty obligations?</w:t>
      </w:r>
    </w:p>
    <w:p w14:paraId="357CF91B" w14:textId="77777777" w:rsidR="00F32CEA" w:rsidRDefault="005F3746" w:rsidP="00DA0871">
      <w:pPr>
        <w:spacing w:after="240" w:line="360" w:lineRule="auto"/>
        <w:ind w:firstLine="720"/>
        <w:rPr>
          <w:rFonts w:ascii="Times New Roman" w:hAnsi="Times New Roman" w:cs="Times New Roman"/>
        </w:rPr>
      </w:pPr>
      <w:r>
        <w:rPr>
          <w:rFonts w:ascii="Times New Roman" w:hAnsi="Times New Roman" w:cs="Times New Roman"/>
        </w:rPr>
        <w:t xml:space="preserve">The extent to which any proposed amendments would implicate US trade and treaty obligations depends in large part on the nature of the proposal.  The WIPO </w:t>
      </w:r>
      <w:r w:rsidR="007E287C">
        <w:rPr>
          <w:rFonts w:ascii="Times New Roman" w:hAnsi="Times New Roman" w:cs="Times New Roman"/>
        </w:rPr>
        <w:t>Copyright Treaty provides:</w:t>
      </w:r>
    </w:p>
    <w:p w14:paraId="166D4572" w14:textId="77777777" w:rsidR="007E287C" w:rsidRDefault="007E287C" w:rsidP="002C13D9">
      <w:pPr>
        <w:pStyle w:val="NormalWeb"/>
        <w:ind w:left="720" w:right="720"/>
      </w:pPr>
      <w:r>
        <w:t>Contracting Parties shall provide adequate legal protection and effective legal remedies against the circumvention of effective technological measures that are used by authors in connection with the exercise of their rights under this Treaty or the Berne Convention and that restrict acts, in respect of their works, which are not authorized by the authors concerned or permitted by law.</w:t>
      </w:r>
      <w:r w:rsidR="0063631D">
        <w:rPr>
          <w:rStyle w:val="FootnoteReference"/>
        </w:rPr>
        <w:footnoteReference w:id="15"/>
      </w:r>
    </w:p>
    <w:p w14:paraId="790DE893" w14:textId="2E56D551" w:rsidR="009D4689" w:rsidRDefault="00A5799E" w:rsidP="009D4689">
      <w:pPr>
        <w:spacing w:line="360" w:lineRule="auto"/>
        <w:ind w:firstLine="720"/>
        <w:rPr>
          <w:rFonts w:ascii="Times New Roman" w:hAnsi="Times New Roman" w:cs="Times New Roman"/>
        </w:rPr>
      </w:pPr>
      <w:r>
        <w:rPr>
          <w:rFonts w:ascii="Times New Roman" w:hAnsi="Times New Roman" w:cs="Times New Roman"/>
        </w:rPr>
        <w:t>T</w:t>
      </w:r>
      <w:r w:rsidR="0063631D">
        <w:rPr>
          <w:rFonts w:ascii="Times New Roman" w:hAnsi="Times New Roman" w:cs="Times New Roman"/>
        </w:rPr>
        <w:t xml:space="preserve">here are strong arguments to be made that the fundamental structure of section 1201 </w:t>
      </w:r>
      <w:r>
        <w:rPr>
          <w:rFonts w:ascii="Times New Roman" w:hAnsi="Times New Roman" w:cs="Times New Roman"/>
        </w:rPr>
        <w:t xml:space="preserve">– that is, protection </w:t>
      </w:r>
      <w:r w:rsidR="000861AD">
        <w:rPr>
          <w:rFonts w:ascii="Times New Roman" w:hAnsi="Times New Roman" w:cs="Times New Roman"/>
        </w:rPr>
        <w:t xml:space="preserve">against circumvention </w:t>
      </w:r>
      <w:r>
        <w:rPr>
          <w:rFonts w:ascii="Times New Roman" w:hAnsi="Times New Roman" w:cs="Times New Roman"/>
        </w:rPr>
        <w:t>of access controls</w:t>
      </w:r>
      <w:r w:rsidR="000861AD">
        <w:rPr>
          <w:rFonts w:ascii="Times New Roman" w:hAnsi="Times New Roman" w:cs="Times New Roman"/>
        </w:rPr>
        <w:t>,</w:t>
      </w:r>
      <w:r>
        <w:rPr>
          <w:rFonts w:ascii="Times New Roman" w:hAnsi="Times New Roman" w:cs="Times New Roman"/>
        </w:rPr>
        <w:t xml:space="preserve"> and anti-trafficking provisions – </w:t>
      </w:r>
      <w:r w:rsidR="0063631D">
        <w:rPr>
          <w:rFonts w:ascii="Times New Roman" w:hAnsi="Times New Roman" w:cs="Times New Roman"/>
        </w:rPr>
        <w:t xml:space="preserve">is </w:t>
      </w:r>
      <w:r>
        <w:rPr>
          <w:rFonts w:ascii="Times New Roman" w:hAnsi="Times New Roman" w:cs="Times New Roman"/>
        </w:rPr>
        <w:t xml:space="preserve">necessary to provide “adequate legal protection and effective legal remedies” </w:t>
      </w:r>
      <w:r w:rsidR="000861AD">
        <w:rPr>
          <w:rFonts w:ascii="Times New Roman" w:hAnsi="Times New Roman" w:cs="Times New Roman"/>
        </w:rPr>
        <w:t xml:space="preserve">for technological measures </w:t>
      </w:r>
      <w:r>
        <w:rPr>
          <w:rFonts w:ascii="Times New Roman" w:hAnsi="Times New Roman" w:cs="Times New Roman"/>
        </w:rPr>
        <w:t>used by authors in connection with their works.</w:t>
      </w:r>
      <w:r>
        <w:rPr>
          <w:rStyle w:val="FootnoteReference"/>
          <w:rFonts w:ascii="Times New Roman" w:hAnsi="Times New Roman" w:cs="Times New Roman"/>
        </w:rPr>
        <w:footnoteReference w:id="16"/>
      </w:r>
      <w:r>
        <w:rPr>
          <w:rFonts w:ascii="Times New Roman" w:hAnsi="Times New Roman" w:cs="Times New Roman"/>
        </w:rPr>
        <w:t xml:space="preserve">  But at the same time, it is clear that the WIPO Copyright Treaty allows contracting parties some latitude with respect to the specific terms of their legislation, as long as they effectively implement this provision.  So there is room for the United States </w:t>
      </w:r>
      <w:r w:rsidR="00AB5766">
        <w:rPr>
          <w:rFonts w:ascii="Times New Roman" w:hAnsi="Times New Roman" w:cs="Times New Roman"/>
        </w:rPr>
        <w:t xml:space="preserve">to </w:t>
      </w:r>
      <w:r w:rsidR="00DA0871">
        <w:rPr>
          <w:rFonts w:ascii="Times New Roman" w:hAnsi="Times New Roman" w:cs="Times New Roman"/>
        </w:rPr>
        <w:t>make minor a</w:t>
      </w:r>
      <w:r>
        <w:rPr>
          <w:rFonts w:ascii="Times New Roman" w:hAnsi="Times New Roman" w:cs="Times New Roman"/>
        </w:rPr>
        <w:t>mend</w:t>
      </w:r>
      <w:r w:rsidR="00DA0871">
        <w:rPr>
          <w:rFonts w:ascii="Times New Roman" w:hAnsi="Times New Roman" w:cs="Times New Roman"/>
        </w:rPr>
        <w:t>ments to</w:t>
      </w:r>
      <w:r>
        <w:rPr>
          <w:rFonts w:ascii="Times New Roman" w:hAnsi="Times New Roman" w:cs="Times New Roman"/>
        </w:rPr>
        <w:t xml:space="preserve"> its legislation </w:t>
      </w:r>
      <w:r w:rsidR="00DA0871">
        <w:rPr>
          <w:rFonts w:ascii="Times New Roman" w:hAnsi="Times New Roman" w:cs="Times New Roman"/>
        </w:rPr>
        <w:t xml:space="preserve">and remain </w:t>
      </w:r>
      <w:r>
        <w:rPr>
          <w:rFonts w:ascii="Times New Roman" w:hAnsi="Times New Roman" w:cs="Times New Roman"/>
        </w:rPr>
        <w:t xml:space="preserve">consistent with the WIPO treaties, as long as it maintains adequate and effective protection against circumvention.  </w:t>
      </w:r>
    </w:p>
    <w:p w14:paraId="25A03827" w14:textId="263A9EFA" w:rsidR="005F3746" w:rsidRDefault="009D4689" w:rsidP="00EC2EBF">
      <w:pPr>
        <w:spacing w:after="240" w:line="360" w:lineRule="auto"/>
        <w:ind w:firstLine="720"/>
        <w:rPr>
          <w:rFonts w:ascii="Times New Roman" w:hAnsi="Times New Roman" w:cs="Times New Roman"/>
        </w:rPr>
      </w:pPr>
      <w:r>
        <w:rPr>
          <w:rFonts w:ascii="Times New Roman" w:hAnsi="Times New Roman" w:cs="Times New Roman"/>
        </w:rPr>
        <w:t>S</w:t>
      </w:r>
      <w:r w:rsidR="005F3746">
        <w:rPr>
          <w:rFonts w:ascii="Times New Roman" w:hAnsi="Times New Roman" w:cs="Times New Roman"/>
        </w:rPr>
        <w:t xml:space="preserve">ome of the bilateral trade agreements that the US has with other countries detail with specificity obligations with respect to technological protection </w:t>
      </w:r>
      <w:r w:rsidR="006B20E6">
        <w:rPr>
          <w:rFonts w:ascii="Times New Roman" w:hAnsi="Times New Roman" w:cs="Times New Roman"/>
        </w:rPr>
        <w:t xml:space="preserve">in a way that tracks the U.S. statute.  </w:t>
      </w:r>
      <w:proofErr w:type="gramStart"/>
      <w:r w:rsidR="006B20E6">
        <w:rPr>
          <w:rFonts w:ascii="Times New Roman" w:hAnsi="Times New Roman" w:cs="Times New Roman"/>
        </w:rPr>
        <w:t>See, e.g., the U.S.-Col</w:t>
      </w:r>
      <w:r w:rsidR="00C41BD0">
        <w:rPr>
          <w:rFonts w:ascii="Times New Roman" w:hAnsi="Times New Roman" w:cs="Times New Roman"/>
        </w:rPr>
        <w:t>o</w:t>
      </w:r>
      <w:r w:rsidR="006B20E6">
        <w:rPr>
          <w:rFonts w:ascii="Times New Roman" w:hAnsi="Times New Roman" w:cs="Times New Roman"/>
        </w:rPr>
        <w:t>mbia Agreement</w:t>
      </w:r>
      <w:r w:rsidR="00694E87">
        <w:rPr>
          <w:rFonts w:ascii="Times New Roman" w:hAnsi="Times New Roman" w:cs="Times New Roman"/>
        </w:rPr>
        <w:t>,</w:t>
      </w:r>
      <w:r w:rsidR="006B20E6">
        <w:rPr>
          <w:rFonts w:ascii="Times New Roman" w:hAnsi="Times New Roman" w:cs="Times New Roman"/>
        </w:rPr>
        <w:t xml:space="preserve"> </w:t>
      </w:r>
      <w:r w:rsidR="00694E87">
        <w:rPr>
          <w:rFonts w:ascii="Times New Roman" w:hAnsi="Times New Roman" w:cs="Times New Roman"/>
        </w:rPr>
        <w:t>a</w:t>
      </w:r>
      <w:r w:rsidR="006B20E6">
        <w:rPr>
          <w:rFonts w:ascii="Times New Roman" w:hAnsi="Times New Roman" w:cs="Times New Roman"/>
        </w:rPr>
        <w:t>rt.</w:t>
      </w:r>
      <w:proofErr w:type="gramEnd"/>
      <w:r w:rsidR="006B20E6">
        <w:rPr>
          <w:rFonts w:ascii="Times New Roman" w:hAnsi="Times New Roman" w:cs="Times New Roman"/>
        </w:rPr>
        <w:t xml:space="preserve"> 16.7 (4)</w:t>
      </w:r>
      <w:r w:rsidR="00C41BD0">
        <w:rPr>
          <w:rFonts w:ascii="Times New Roman" w:hAnsi="Times New Roman" w:cs="Times New Roman"/>
        </w:rPr>
        <w:t xml:space="preserve"> (2006)</w:t>
      </w:r>
      <w:r w:rsidR="00EC2EBF">
        <w:rPr>
          <w:rFonts w:ascii="Times New Roman" w:hAnsi="Times New Roman" w:cs="Times New Roman"/>
        </w:rPr>
        <w:t>,</w:t>
      </w:r>
      <w:r w:rsidR="00C41BD0">
        <w:rPr>
          <w:rFonts w:ascii="Times New Roman" w:hAnsi="Times New Roman" w:cs="Times New Roman"/>
        </w:rPr>
        <w:t xml:space="preserve"> available at </w:t>
      </w:r>
      <w:hyperlink r:id="rId8" w:history="1">
        <w:r w:rsidR="00C41BD0" w:rsidRPr="00E0192C">
          <w:rPr>
            <w:rStyle w:val="Hyperlink"/>
            <w:rFonts w:ascii="Times New Roman" w:hAnsi="Times New Roman" w:cs="Times New Roman"/>
          </w:rPr>
          <w:t>https://ustr.gov/trade-agreements/free-trade-agreements/colombia-fta/final-text</w:t>
        </w:r>
      </w:hyperlink>
      <w:r w:rsidR="00C41BD0">
        <w:rPr>
          <w:rFonts w:ascii="Times New Roman" w:hAnsi="Times New Roman" w:cs="Times New Roman"/>
        </w:rPr>
        <w:t xml:space="preserve">, </w:t>
      </w:r>
      <w:r w:rsidR="00EC2EBF">
        <w:rPr>
          <w:rFonts w:ascii="Times New Roman" w:hAnsi="Times New Roman" w:cs="Times New Roman"/>
        </w:rPr>
        <w:t>which largely tracks the obligations and limitations and exceptions of section 1201.  For example, subsection (f) of that provision allows the parties to provide additional exceptions and limitations for:</w:t>
      </w:r>
    </w:p>
    <w:p w14:paraId="0E97079D" w14:textId="77777777" w:rsidR="006B20E6" w:rsidRDefault="006B20E6" w:rsidP="006B20E6">
      <w:pPr>
        <w:ind w:left="720" w:right="720"/>
        <w:rPr>
          <w:rFonts w:ascii="Times New Roman" w:eastAsia="Times New Roman" w:hAnsi="Times New Roman" w:cs="Times New Roman"/>
        </w:rPr>
      </w:pPr>
      <w:proofErr w:type="spellStart"/>
      <w:r w:rsidRPr="006B20E6">
        <w:rPr>
          <w:rFonts w:ascii="Times New Roman" w:eastAsia="Times New Roman" w:hAnsi="Times New Roman" w:cs="Times New Roman"/>
        </w:rPr>
        <w:t>Noninfringing</w:t>
      </w:r>
      <w:proofErr w:type="spellEnd"/>
      <w:r w:rsidRPr="006B20E6">
        <w:rPr>
          <w:rFonts w:ascii="Times New Roman" w:eastAsia="Times New Roman" w:hAnsi="Times New Roman" w:cs="Times New Roman"/>
        </w:rPr>
        <w:t xml:space="preserve"> uses of a work, performance, or phonogram, in a particular class of works, performances, or phonograms, provided that any exception or limitation </w:t>
      </w:r>
      <w:r w:rsidRPr="006B20E6">
        <w:rPr>
          <w:rFonts w:ascii="Times New Roman" w:eastAsia="Times New Roman" w:hAnsi="Times New Roman" w:cs="Times New Roman"/>
        </w:rPr>
        <w:lastRenderedPageBreak/>
        <w:t xml:space="preserve">adopted in reliance on this subparagraph shall be based on the existence of substantial evidence, as found in a legislative or administrative proceeding, of an actual or likely adverse impact on those </w:t>
      </w:r>
      <w:proofErr w:type="spellStart"/>
      <w:r w:rsidRPr="006B20E6">
        <w:rPr>
          <w:rFonts w:ascii="Times New Roman" w:eastAsia="Times New Roman" w:hAnsi="Times New Roman" w:cs="Times New Roman"/>
        </w:rPr>
        <w:t>noninfringing</w:t>
      </w:r>
      <w:proofErr w:type="spellEnd"/>
      <w:r w:rsidRPr="006B20E6">
        <w:rPr>
          <w:rFonts w:ascii="Times New Roman" w:eastAsia="Times New Roman" w:hAnsi="Times New Roman" w:cs="Times New Roman"/>
        </w:rPr>
        <w:t xml:space="preserve"> uses; and provided further that a review of such finding, conducted in an administrative or legislative proceeding, shall be completed at intervals of not more than four years to determine whether there still exists substantial evidence of an actual or likely adverse impact on those </w:t>
      </w:r>
      <w:proofErr w:type="spellStart"/>
      <w:r w:rsidRPr="006B20E6">
        <w:rPr>
          <w:rFonts w:ascii="Times New Roman" w:eastAsia="Times New Roman" w:hAnsi="Times New Roman" w:cs="Times New Roman"/>
        </w:rPr>
        <w:t>noninfringing</w:t>
      </w:r>
      <w:proofErr w:type="spellEnd"/>
      <w:r w:rsidRPr="006B20E6">
        <w:rPr>
          <w:rFonts w:ascii="Times New Roman" w:eastAsia="Times New Roman" w:hAnsi="Times New Roman" w:cs="Times New Roman"/>
        </w:rPr>
        <w:t xml:space="preserve"> uses</w:t>
      </w:r>
      <w:r w:rsidR="00EC2EBF">
        <w:rPr>
          <w:rFonts w:ascii="Times New Roman" w:eastAsia="Times New Roman" w:hAnsi="Times New Roman" w:cs="Times New Roman"/>
        </w:rPr>
        <w:t>.</w:t>
      </w:r>
    </w:p>
    <w:p w14:paraId="530BC489" w14:textId="77777777" w:rsidR="00EC2EBF" w:rsidRDefault="00EC2EBF" w:rsidP="006B20E6">
      <w:pPr>
        <w:ind w:left="720" w:right="720"/>
        <w:rPr>
          <w:rFonts w:ascii="Times New Roman" w:eastAsia="Times New Roman" w:hAnsi="Times New Roman" w:cs="Times New Roman"/>
        </w:rPr>
      </w:pPr>
    </w:p>
    <w:p w14:paraId="057FA5F2" w14:textId="77777777" w:rsidR="00EC2EBF" w:rsidRPr="006B20E6" w:rsidRDefault="009D4689" w:rsidP="00EC2EBF">
      <w:pPr>
        <w:spacing w:line="360" w:lineRule="auto"/>
        <w:rPr>
          <w:rFonts w:ascii="Times New Roman" w:eastAsia="Times New Roman" w:hAnsi="Times New Roman" w:cs="Times New Roman"/>
        </w:rPr>
      </w:pPr>
      <w:r>
        <w:rPr>
          <w:rFonts w:ascii="Times New Roman" w:eastAsia="Times New Roman" w:hAnsi="Times New Roman" w:cs="Times New Roman"/>
        </w:rPr>
        <w:t>The agreement also largely tracks the permanent ex</w:t>
      </w:r>
      <w:r w:rsidR="00DA0871">
        <w:rPr>
          <w:rFonts w:ascii="Times New Roman" w:eastAsia="Times New Roman" w:hAnsi="Times New Roman" w:cs="Times New Roman"/>
        </w:rPr>
        <w:t>emptions</w:t>
      </w:r>
      <w:r>
        <w:rPr>
          <w:rFonts w:ascii="Times New Roman" w:eastAsia="Times New Roman" w:hAnsi="Times New Roman" w:cs="Times New Roman"/>
        </w:rPr>
        <w:t xml:space="preserve"> in section 1201.  </w:t>
      </w:r>
      <w:r w:rsidR="00EC2EBF">
        <w:rPr>
          <w:rFonts w:ascii="Times New Roman" w:eastAsia="Times New Roman" w:hAnsi="Times New Roman" w:cs="Times New Roman"/>
        </w:rPr>
        <w:t>Any substantial change in the ex</w:t>
      </w:r>
      <w:r w:rsidR="00DA0871">
        <w:rPr>
          <w:rFonts w:ascii="Times New Roman" w:eastAsia="Times New Roman" w:hAnsi="Times New Roman" w:cs="Times New Roman"/>
        </w:rPr>
        <w:t>em</w:t>
      </w:r>
      <w:r w:rsidR="00EC2EBF">
        <w:rPr>
          <w:rFonts w:ascii="Times New Roman" w:eastAsia="Times New Roman" w:hAnsi="Times New Roman" w:cs="Times New Roman"/>
        </w:rPr>
        <w:t xml:space="preserve">ptions provided in section 1201, or to the rulemaking proceeding, could theoretically impact US obligations under this and similar agreements. </w:t>
      </w:r>
      <w:r w:rsidR="007F2C13">
        <w:rPr>
          <w:rFonts w:ascii="Times New Roman" w:eastAsia="Times New Roman" w:hAnsi="Times New Roman" w:cs="Times New Roman"/>
        </w:rPr>
        <w:t xml:space="preserve">See </w:t>
      </w:r>
      <w:r w:rsidR="00C41BD0">
        <w:rPr>
          <w:rFonts w:ascii="Times New Roman" w:eastAsia="Times New Roman" w:hAnsi="Times New Roman" w:cs="Times New Roman"/>
        </w:rPr>
        <w:t xml:space="preserve">also </w:t>
      </w:r>
      <w:r w:rsidR="007F2C13">
        <w:rPr>
          <w:rFonts w:ascii="Times New Roman" w:eastAsia="Times New Roman" w:hAnsi="Times New Roman" w:cs="Times New Roman"/>
        </w:rPr>
        <w:t>U.S. Chile Free Trade Agreement 17 (5)</w:t>
      </w:r>
      <w:r w:rsidR="00C41BD0">
        <w:rPr>
          <w:rFonts w:ascii="Times New Roman" w:eastAsia="Times New Roman" w:hAnsi="Times New Roman" w:cs="Times New Roman"/>
        </w:rPr>
        <w:t xml:space="preserve"> (2004), available at </w:t>
      </w:r>
      <w:hyperlink r:id="rId9" w:history="1">
        <w:r w:rsidR="00C41BD0" w:rsidRPr="00E0192C">
          <w:rPr>
            <w:rStyle w:val="Hyperlink"/>
            <w:rFonts w:ascii="Times New Roman" w:eastAsia="Times New Roman" w:hAnsi="Times New Roman" w:cs="Times New Roman"/>
          </w:rPr>
          <w:t>https://ustr.gov/trade-agreements/free-trade-agreements/chile-fta/final-text</w:t>
        </w:r>
      </w:hyperlink>
      <w:r w:rsidR="00C41BD0">
        <w:rPr>
          <w:rFonts w:ascii="Times New Roman" w:eastAsia="Times New Roman" w:hAnsi="Times New Roman" w:cs="Times New Roman"/>
        </w:rPr>
        <w:t xml:space="preserve">. </w:t>
      </w:r>
      <w:r w:rsidR="00EC2EBF">
        <w:rPr>
          <w:rFonts w:ascii="Times New Roman" w:eastAsia="Times New Roman" w:hAnsi="Times New Roman" w:cs="Times New Roman"/>
        </w:rPr>
        <w:t xml:space="preserve"> Not all such </w:t>
      </w:r>
      <w:r w:rsidR="00DA0871">
        <w:rPr>
          <w:rFonts w:ascii="Times New Roman" w:eastAsia="Times New Roman" w:hAnsi="Times New Roman" w:cs="Times New Roman"/>
        </w:rPr>
        <w:t>changes would necessarily do so, but any proposed exemption would have to be considered in light of the terms of these agreements.</w:t>
      </w:r>
      <w:r w:rsidR="00EC2EBF">
        <w:rPr>
          <w:rFonts w:ascii="Times New Roman" w:eastAsia="Times New Roman" w:hAnsi="Times New Roman" w:cs="Times New Roman"/>
        </w:rPr>
        <w:t xml:space="preserve"> </w:t>
      </w:r>
    </w:p>
    <w:p w14:paraId="0D0DF727" w14:textId="77777777" w:rsidR="00A71140" w:rsidRDefault="00A71140" w:rsidP="00C67042">
      <w:pPr>
        <w:spacing w:after="240"/>
        <w:rPr>
          <w:rFonts w:ascii="Times New Roman" w:hAnsi="Times New Roman" w:cs="Times New Roman"/>
          <w:i/>
        </w:rPr>
      </w:pPr>
    </w:p>
    <w:p w14:paraId="6BCF5C85" w14:textId="77777777" w:rsidR="00C67042" w:rsidRPr="00172580" w:rsidRDefault="00C67042" w:rsidP="00C67042">
      <w:pPr>
        <w:spacing w:after="240"/>
        <w:rPr>
          <w:rFonts w:ascii="Times New Roman" w:hAnsi="Times New Roman" w:cs="Times New Roman"/>
          <w:i/>
        </w:rPr>
      </w:pPr>
      <w:r w:rsidRPr="00172580">
        <w:rPr>
          <w:rFonts w:ascii="Times New Roman" w:hAnsi="Times New Roman" w:cs="Times New Roman"/>
          <w:i/>
        </w:rPr>
        <w:t>11. Please identify any pertinent issues not referenced above</w:t>
      </w:r>
      <w:r w:rsidR="005453E3" w:rsidRPr="00172580">
        <w:rPr>
          <w:rFonts w:ascii="Times New Roman" w:hAnsi="Times New Roman" w:cs="Times New Roman"/>
          <w:i/>
        </w:rPr>
        <w:t xml:space="preserve"> that the Copyright Office should consider in conducting the study.</w:t>
      </w:r>
    </w:p>
    <w:p w14:paraId="0D1D53DB" w14:textId="366D576D" w:rsidR="007327A2" w:rsidRDefault="003A40F5" w:rsidP="0063631D">
      <w:pPr>
        <w:spacing w:line="360" w:lineRule="auto"/>
        <w:ind w:firstLine="720"/>
        <w:rPr>
          <w:rFonts w:ascii="Times New Roman" w:hAnsi="Times New Roman" w:cs="Times New Roman"/>
        </w:rPr>
      </w:pPr>
      <w:r>
        <w:rPr>
          <w:rFonts w:ascii="Times New Roman" w:hAnsi="Times New Roman" w:cs="Times New Roman"/>
        </w:rPr>
        <w:t xml:space="preserve">Congress </w:t>
      </w:r>
      <w:r w:rsidR="007327A2">
        <w:rPr>
          <w:rFonts w:ascii="Times New Roman" w:hAnsi="Times New Roman" w:cs="Times New Roman"/>
        </w:rPr>
        <w:t>recognized</w:t>
      </w:r>
      <w:r>
        <w:rPr>
          <w:rFonts w:ascii="Times New Roman" w:hAnsi="Times New Roman" w:cs="Times New Roman"/>
        </w:rPr>
        <w:t xml:space="preserve"> </w:t>
      </w:r>
      <w:r w:rsidR="009D4689">
        <w:rPr>
          <w:rFonts w:ascii="Times New Roman" w:hAnsi="Times New Roman" w:cs="Times New Roman"/>
        </w:rPr>
        <w:t xml:space="preserve">that there were tradeoffs when it </w:t>
      </w:r>
      <w:r>
        <w:rPr>
          <w:rFonts w:ascii="Times New Roman" w:hAnsi="Times New Roman" w:cs="Times New Roman"/>
        </w:rPr>
        <w:t xml:space="preserve">enacted </w:t>
      </w:r>
      <w:r w:rsidR="00A83F00">
        <w:rPr>
          <w:rFonts w:ascii="Times New Roman" w:hAnsi="Times New Roman" w:cs="Times New Roman"/>
        </w:rPr>
        <w:t xml:space="preserve">section </w:t>
      </w:r>
      <w:r>
        <w:rPr>
          <w:rFonts w:ascii="Times New Roman" w:hAnsi="Times New Roman" w:cs="Times New Roman"/>
        </w:rPr>
        <w:t>1201</w:t>
      </w:r>
      <w:r w:rsidR="00602AEA">
        <w:rPr>
          <w:rFonts w:ascii="Times New Roman" w:hAnsi="Times New Roman" w:cs="Times New Roman"/>
        </w:rPr>
        <w:t>.  I</w:t>
      </w:r>
      <w:r w:rsidR="009D4689">
        <w:rPr>
          <w:rFonts w:ascii="Times New Roman" w:hAnsi="Times New Roman" w:cs="Times New Roman"/>
        </w:rPr>
        <w:t>t was well aware that it</w:t>
      </w:r>
      <w:r w:rsidR="00A83F00">
        <w:rPr>
          <w:rFonts w:ascii="Times New Roman" w:hAnsi="Times New Roman" w:cs="Times New Roman"/>
        </w:rPr>
        <w:t xml:space="preserve"> </w:t>
      </w:r>
      <w:r w:rsidR="007327A2">
        <w:rPr>
          <w:rFonts w:ascii="Times New Roman" w:hAnsi="Times New Roman" w:cs="Times New Roman"/>
        </w:rPr>
        <w:t>might</w:t>
      </w:r>
      <w:r w:rsidR="00A83F00">
        <w:rPr>
          <w:rFonts w:ascii="Times New Roman" w:hAnsi="Times New Roman" w:cs="Times New Roman"/>
        </w:rPr>
        <w:t xml:space="preserve"> foster innovation in the means of content delivery at the cost of making certain </w:t>
      </w:r>
      <w:proofErr w:type="spellStart"/>
      <w:r w:rsidR="007327A2">
        <w:rPr>
          <w:rFonts w:ascii="Times New Roman" w:hAnsi="Times New Roman" w:cs="Times New Roman"/>
        </w:rPr>
        <w:t>noninfringing</w:t>
      </w:r>
      <w:proofErr w:type="spellEnd"/>
      <w:r w:rsidR="007327A2">
        <w:rPr>
          <w:rFonts w:ascii="Times New Roman" w:hAnsi="Times New Roman" w:cs="Times New Roman"/>
        </w:rPr>
        <w:t xml:space="preserve"> </w:t>
      </w:r>
      <w:r w:rsidR="00A83F00">
        <w:rPr>
          <w:rFonts w:ascii="Times New Roman" w:hAnsi="Times New Roman" w:cs="Times New Roman"/>
        </w:rPr>
        <w:t xml:space="preserve">uses of copyrighted works less convenient.  </w:t>
      </w:r>
      <w:r w:rsidR="009D4689">
        <w:rPr>
          <w:rFonts w:ascii="Times New Roman" w:hAnsi="Times New Roman" w:cs="Times New Roman"/>
        </w:rPr>
        <w:t xml:space="preserve">The benefits of that decision are obvious, but often taken for granted when </w:t>
      </w:r>
      <w:r w:rsidR="00602AEA">
        <w:rPr>
          <w:rFonts w:ascii="Times New Roman" w:hAnsi="Times New Roman" w:cs="Times New Roman"/>
        </w:rPr>
        <w:t xml:space="preserve">permission for </w:t>
      </w:r>
      <w:r w:rsidR="009D4689">
        <w:rPr>
          <w:rFonts w:ascii="Times New Roman" w:hAnsi="Times New Roman" w:cs="Times New Roman"/>
        </w:rPr>
        <w:t xml:space="preserve">circumvention for particular uses </w:t>
      </w:r>
      <w:r w:rsidR="00602AEA">
        <w:rPr>
          <w:rFonts w:ascii="Times New Roman" w:hAnsi="Times New Roman" w:cs="Times New Roman"/>
        </w:rPr>
        <w:t>is</w:t>
      </w:r>
      <w:r w:rsidR="009D4689">
        <w:rPr>
          <w:rFonts w:ascii="Times New Roman" w:hAnsi="Times New Roman" w:cs="Times New Roman"/>
        </w:rPr>
        <w:t xml:space="preserve"> sought.  </w:t>
      </w:r>
      <w:r w:rsidR="00DE09B8">
        <w:rPr>
          <w:rFonts w:ascii="Times New Roman" w:hAnsi="Times New Roman" w:cs="Times New Roman"/>
        </w:rPr>
        <w:t xml:space="preserve">Section 1201, including its exceptions and limitations, represents a balancing of </w:t>
      </w:r>
      <w:proofErr w:type="gramStart"/>
      <w:r w:rsidR="00DE09B8">
        <w:rPr>
          <w:rFonts w:ascii="Times New Roman" w:hAnsi="Times New Roman" w:cs="Times New Roman"/>
        </w:rPr>
        <w:t xml:space="preserve">interests </w:t>
      </w:r>
      <w:r w:rsidR="009D4689">
        <w:rPr>
          <w:rFonts w:ascii="Times New Roman" w:hAnsi="Times New Roman" w:cs="Times New Roman"/>
        </w:rPr>
        <w:t xml:space="preserve"> </w:t>
      </w:r>
      <w:r w:rsidR="00DE09B8">
        <w:rPr>
          <w:rFonts w:ascii="Times New Roman" w:hAnsi="Times New Roman" w:cs="Times New Roman"/>
        </w:rPr>
        <w:t>among</w:t>
      </w:r>
      <w:proofErr w:type="gramEnd"/>
      <w:r w:rsidR="00602AEA">
        <w:rPr>
          <w:rFonts w:ascii="Times New Roman" w:hAnsi="Times New Roman" w:cs="Times New Roman"/>
        </w:rPr>
        <w:t xml:space="preserve"> the various stakeholders</w:t>
      </w:r>
      <w:r w:rsidR="00DE09B8">
        <w:rPr>
          <w:rFonts w:ascii="Times New Roman" w:hAnsi="Times New Roman" w:cs="Times New Roman"/>
        </w:rPr>
        <w:t xml:space="preserve">, and </w:t>
      </w:r>
      <w:r w:rsidR="00602AEA">
        <w:rPr>
          <w:rFonts w:ascii="Times New Roman" w:hAnsi="Times New Roman" w:cs="Times New Roman"/>
        </w:rPr>
        <w:t>the rulemaking</w:t>
      </w:r>
      <w:r w:rsidR="00DE09B8">
        <w:rPr>
          <w:rFonts w:ascii="Times New Roman" w:hAnsi="Times New Roman" w:cs="Times New Roman"/>
        </w:rPr>
        <w:t xml:space="preserve"> is an important tool</w:t>
      </w:r>
      <w:r w:rsidR="00602AEA">
        <w:rPr>
          <w:rFonts w:ascii="Times New Roman" w:hAnsi="Times New Roman" w:cs="Times New Roman"/>
        </w:rPr>
        <w:t xml:space="preserve"> in refining that balance</w:t>
      </w:r>
      <w:r w:rsidR="00DE09B8">
        <w:rPr>
          <w:rFonts w:ascii="Times New Roman" w:hAnsi="Times New Roman" w:cs="Times New Roman"/>
        </w:rPr>
        <w:t>.</w:t>
      </w:r>
      <w:r w:rsidR="00602AEA">
        <w:rPr>
          <w:rFonts w:ascii="Times New Roman" w:hAnsi="Times New Roman" w:cs="Times New Roman"/>
        </w:rPr>
        <w:t xml:space="preserve"> </w:t>
      </w:r>
      <w:r w:rsidR="00DE09B8">
        <w:rPr>
          <w:rFonts w:ascii="Times New Roman" w:hAnsi="Times New Roman" w:cs="Times New Roman"/>
        </w:rPr>
        <w:t>W</w:t>
      </w:r>
      <w:r w:rsidR="00602AEA">
        <w:rPr>
          <w:rFonts w:ascii="Times New Roman" w:hAnsi="Times New Roman" w:cs="Times New Roman"/>
        </w:rPr>
        <w:t xml:space="preserve">e urge that changes to </w:t>
      </w:r>
      <w:r w:rsidR="00DE09B8">
        <w:rPr>
          <w:rFonts w:ascii="Times New Roman" w:hAnsi="Times New Roman" w:cs="Times New Roman"/>
        </w:rPr>
        <w:t>section 1201</w:t>
      </w:r>
      <w:r w:rsidR="00602AEA">
        <w:rPr>
          <w:rFonts w:ascii="Times New Roman" w:hAnsi="Times New Roman" w:cs="Times New Roman"/>
        </w:rPr>
        <w:t xml:space="preserve"> </w:t>
      </w:r>
      <w:r w:rsidR="00DE09B8">
        <w:rPr>
          <w:rFonts w:ascii="Times New Roman" w:hAnsi="Times New Roman" w:cs="Times New Roman"/>
        </w:rPr>
        <w:t>designed to make it easier for users to legally circumvent technological access controls, or to obtain circumvention devices and services, be carefully considered in light of the fundamental goals of the statute.</w:t>
      </w:r>
    </w:p>
    <w:p w14:paraId="39269DA6" w14:textId="77777777" w:rsidR="00311885" w:rsidRPr="003A40F5" w:rsidRDefault="00311885" w:rsidP="007327A2">
      <w:pPr>
        <w:spacing w:after="240" w:line="276" w:lineRule="auto"/>
        <w:rPr>
          <w:rFonts w:ascii="Times New Roman" w:hAnsi="Times New Roman" w:cs="Times New Roman"/>
        </w:rPr>
      </w:pPr>
    </w:p>
    <w:p w14:paraId="197ABFC6" w14:textId="77777777" w:rsidR="005453E3" w:rsidRPr="00172580" w:rsidRDefault="005453E3" w:rsidP="00C67042">
      <w:pPr>
        <w:spacing w:after="240"/>
        <w:rPr>
          <w:rFonts w:ascii="Times New Roman" w:hAnsi="Times New Roman" w:cs="Times New Roman"/>
        </w:rPr>
      </w:pPr>
      <w:r w:rsidRPr="00172580">
        <w:rPr>
          <w:rFonts w:ascii="Times New Roman" w:hAnsi="Times New Roman" w:cs="Times New Roman"/>
        </w:rPr>
        <w:t>Respectfully submitted,</w:t>
      </w:r>
    </w:p>
    <w:p w14:paraId="5F6FF7E0" w14:textId="77777777" w:rsidR="00E10CDB" w:rsidRDefault="005453E3" w:rsidP="007A7225">
      <w:pPr>
        <w:spacing w:after="240"/>
        <w:rPr>
          <w:rFonts w:ascii="Times New Roman" w:hAnsi="Times New Roman" w:cs="Times New Roman"/>
        </w:rPr>
      </w:pPr>
      <w:r w:rsidRPr="00172580">
        <w:rPr>
          <w:rFonts w:ascii="Times New Roman" w:hAnsi="Times New Roman" w:cs="Times New Roman"/>
        </w:rPr>
        <w:t xml:space="preserve">June </w:t>
      </w:r>
      <w:r w:rsidR="00E10CDB">
        <w:rPr>
          <w:rFonts w:ascii="Times New Roman" w:hAnsi="Times New Roman" w:cs="Times New Roman"/>
        </w:rPr>
        <w:t xml:space="preserve">M. </w:t>
      </w:r>
      <w:proofErr w:type="spellStart"/>
      <w:r w:rsidRPr="00172580">
        <w:rPr>
          <w:rFonts w:ascii="Times New Roman" w:hAnsi="Times New Roman" w:cs="Times New Roman"/>
        </w:rPr>
        <w:t>Besek</w:t>
      </w:r>
      <w:proofErr w:type="spellEnd"/>
      <w:r w:rsidRPr="00172580">
        <w:rPr>
          <w:rFonts w:ascii="Times New Roman" w:hAnsi="Times New Roman" w:cs="Times New Roman"/>
        </w:rPr>
        <w:tab/>
      </w:r>
    </w:p>
    <w:p w14:paraId="7BD04865" w14:textId="77777777" w:rsidR="00E10CDB" w:rsidRDefault="00E10CDB" w:rsidP="007A7225">
      <w:pPr>
        <w:rPr>
          <w:rFonts w:ascii="Times New Roman" w:hAnsi="Times New Roman" w:cs="Times New Roman"/>
        </w:rPr>
      </w:pPr>
      <w:r>
        <w:rPr>
          <w:rFonts w:ascii="Times New Roman" w:hAnsi="Times New Roman" w:cs="Times New Roman"/>
        </w:rPr>
        <w:t>Executive Director,</w:t>
      </w:r>
    </w:p>
    <w:p w14:paraId="53F352A5" w14:textId="77777777" w:rsidR="00E10CDB" w:rsidRDefault="00E10CDB" w:rsidP="007A7225">
      <w:pPr>
        <w:rPr>
          <w:rFonts w:ascii="Times New Roman" w:hAnsi="Times New Roman" w:cs="Times New Roman"/>
        </w:rPr>
      </w:pPr>
      <w:proofErr w:type="spellStart"/>
      <w:r>
        <w:rPr>
          <w:rFonts w:ascii="Times New Roman" w:hAnsi="Times New Roman" w:cs="Times New Roman"/>
        </w:rPr>
        <w:t>Kernochan</w:t>
      </w:r>
      <w:proofErr w:type="spellEnd"/>
      <w:r>
        <w:rPr>
          <w:rFonts w:ascii="Times New Roman" w:hAnsi="Times New Roman" w:cs="Times New Roman"/>
        </w:rPr>
        <w:t xml:space="preserve"> Center for Law, Media and the Arts</w:t>
      </w:r>
    </w:p>
    <w:p w14:paraId="3D1CDA33" w14:textId="71E2B4BB" w:rsidR="00A83F00" w:rsidRPr="00172580" w:rsidRDefault="00E10CDB" w:rsidP="007A7225">
      <w:pPr>
        <w:rPr>
          <w:rFonts w:ascii="Times New Roman" w:hAnsi="Times New Roman" w:cs="Times New Roman"/>
        </w:rPr>
      </w:pPr>
      <w:r>
        <w:rPr>
          <w:rFonts w:ascii="Times New Roman" w:hAnsi="Times New Roman" w:cs="Times New Roman"/>
        </w:rPr>
        <w:t>Columbia Law School</w:t>
      </w:r>
      <w:r w:rsidR="005453E3" w:rsidRPr="00172580">
        <w:rPr>
          <w:rFonts w:ascii="Times New Roman" w:hAnsi="Times New Roman" w:cs="Times New Roman"/>
        </w:rPr>
        <w:t xml:space="preserve">  </w:t>
      </w:r>
      <w:r w:rsidR="00A83F00">
        <w:rPr>
          <w:rFonts w:ascii="Times New Roman" w:hAnsi="Times New Roman" w:cs="Times New Roman"/>
        </w:rPr>
        <w:tab/>
      </w:r>
    </w:p>
    <w:p w14:paraId="07A8D9E5" w14:textId="0A5AB29F" w:rsidR="00E10CDB" w:rsidRDefault="00E10CDB" w:rsidP="007A7225">
      <w:pPr>
        <w:widowControl w:val="0"/>
        <w:autoSpaceDE w:val="0"/>
        <w:autoSpaceDN w:val="0"/>
        <w:adjustRightInd w:val="0"/>
        <w:rPr>
          <w:rFonts w:ascii="Times New Roman" w:hAnsi="Times New Roman" w:cs="Times New Roman"/>
        </w:rPr>
      </w:pPr>
      <w:r>
        <w:rPr>
          <w:rFonts w:ascii="Times New Roman" w:hAnsi="Times New Roman" w:cs="Times New Roman"/>
        </w:rPr>
        <w:t>435 West 116</w:t>
      </w:r>
      <w:r w:rsidRPr="007A7225">
        <w:rPr>
          <w:rFonts w:ascii="Times New Roman" w:hAnsi="Times New Roman" w:cs="Times New Roman"/>
        </w:rPr>
        <w:t>th</w:t>
      </w:r>
      <w:r>
        <w:rPr>
          <w:rFonts w:ascii="Times New Roman" w:hAnsi="Times New Roman" w:cs="Times New Roman"/>
        </w:rPr>
        <w:t xml:space="preserve"> Street</w:t>
      </w:r>
    </w:p>
    <w:p w14:paraId="54833A3A" w14:textId="495DB350" w:rsidR="00E10CDB" w:rsidRPr="00172580" w:rsidRDefault="00E10CDB" w:rsidP="007A7225">
      <w:pPr>
        <w:widowControl w:val="0"/>
        <w:autoSpaceDE w:val="0"/>
        <w:autoSpaceDN w:val="0"/>
        <w:adjustRightInd w:val="0"/>
        <w:spacing w:after="240"/>
        <w:rPr>
          <w:rFonts w:ascii="Times New Roman" w:hAnsi="Times New Roman" w:cs="Times New Roman"/>
        </w:rPr>
      </w:pPr>
      <w:r>
        <w:rPr>
          <w:rFonts w:ascii="Times New Roman" w:hAnsi="Times New Roman" w:cs="Times New Roman"/>
        </w:rPr>
        <w:t>New York, NY 10027</w:t>
      </w:r>
    </w:p>
    <w:sectPr w:rsidR="00E10CDB" w:rsidRPr="0017258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D96201" w14:textId="77777777" w:rsidR="00AB5766" w:rsidRDefault="00AB5766" w:rsidP="00C67042">
      <w:r>
        <w:separator/>
      </w:r>
    </w:p>
  </w:endnote>
  <w:endnote w:type="continuationSeparator" w:id="0">
    <w:p w14:paraId="5E42C9A6" w14:textId="77777777" w:rsidR="00AB5766" w:rsidRDefault="00AB5766" w:rsidP="00C67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5682232"/>
      <w:docPartObj>
        <w:docPartGallery w:val="Page Numbers (Bottom of Page)"/>
        <w:docPartUnique/>
      </w:docPartObj>
    </w:sdtPr>
    <w:sdtEndPr>
      <w:rPr>
        <w:noProof/>
      </w:rPr>
    </w:sdtEndPr>
    <w:sdtContent>
      <w:p w14:paraId="58ADC652" w14:textId="77777777" w:rsidR="00AB5766" w:rsidRDefault="00AB5766">
        <w:pPr>
          <w:pStyle w:val="Footer"/>
          <w:jc w:val="center"/>
        </w:pPr>
        <w:r>
          <w:fldChar w:fldCharType="begin"/>
        </w:r>
        <w:r>
          <w:instrText xml:space="preserve"> PAGE   \* MERGEFORMAT </w:instrText>
        </w:r>
        <w:r>
          <w:fldChar w:fldCharType="separate"/>
        </w:r>
        <w:r w:rsidR="00701C94">
          <w:rPr>
            <w:noProof/>
          </w:rPr>
          <w:t>1</w:t>
        </w:r>
        <w:r>
          <w:rPr>
            <w:noProof/>
          </w:rPr>
          <w:fldChar w:fldCharType="end"/>
        </w:r>
      </w:p>
    </w:sdtContent>
  </w:sdt>
  <w:p w14:paraId="1D9E172D" w14:textId="77777777" w:rsidR="00AB5766" w:rsidRDefault="00AB57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6F51CB" w14:textId="77777777" w:rsidR="00AB5766" w:rsidRDefault="00AB5766" w:rsidP="00C67042">
      <w:r>
        <w:separator/>
      </w:r>
    </w:p>
  </w:footnote>
  <w:footnote w:type="continuationSeparator" w:id="0">
    <w:p w14:paraId="442ACEBC" w14:textId="77777777" w:rsidR="00AB5766" w:rsidRDefault="00AB5766" w:rsidP="00C67042">
      <w:r>
        <w:continuationSeparator/>
      </w:r>
    </w:p>
  </w:footnote>
  <w:footnote w:id="1">
    <w:p w14:paraId="6FCB8ABF" w14:textId="77777777" w:rsidR="00AB5766" w:rsidRPr="00A5799E" w:rsidRDefault="00AB5766" w:rsidP="00A5799E">
      <w:pPr>
        <w:pStyle w:val="FootnoteText"/>
        <w:rPr>
          <w:rFonts w:ascii="Times New Roman" w:hAnsi="Times New Roman" w:cs="Times New Roman"/>
          <w:sz w:val="22"/>
          <w:szCs w:val="22"/>
        </w:rPr>
      </w:pPr>
      <w:r w:rsidRPr="00A5799E">
        <w:rPr>
          <w:rStyle w:val="FootnoteReference"/>
          <w:rFonts w:ascii="Times New Roman" w:hAnsi="Times New Roman" w:cs="Times New Roman"/>
          <w:sz w:val="22"/>
          <w:szCs w:val="22"/>
        </w:rPr>
        <w:footnoteRef/>
      </w:r>
      <w:r w:rsidRPr="00A5799E">
        <w:rPr>
          <w:rFonts w:ascii="Times New Roman" w:hAnsi="Times New Roman" w:cs="Times New Roman"/>
          <w:sz w:val="22"/>
          <w:szCs w:val="22"/>
        </w:rPr>
        <w:t xml:space="preserve"> Research assistance from Neal Burstyn, Columbia Law School (’16), is gratefully acknowledged.</w:t>
      </w:r>
    </w:p>
  </w:footnote>
  <w:footnote w:id="2">
    <w:p w14:paraId="6E96BB98" w14:textId="213C6CD6" w:rsidR="00AB5766" w:rsidRPr="0063631D" w:rsidRDefault="00AB5766">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Chapter 12 of Title 17: Hearing Before the </w:t>
      </w:r>
      <w:proofErr w:type="spellStart"/>
      <w:r w:rsidRPr="0063631D">
        <w:rPr>
          <w:rFonts w:ascii="Times New Roman" w:hAnsi="Times New Roman" w:cs="Times New Roman"/>
          <w:sz w:val="22"/>
          <w:szCs w:val="22"/>
        </w:rPr>
        <w:t>Subcomm</w:t>
      </w:r>
      <w:proofErr w:type="spellEnd"/>
      <w:r w:rsidRPr="0063631D">
        <w:rPr>
          <w:rFonts w:ascii="Times New Roman" w:hAnsi="Times New Roman" w:cs="Times New Roman"/>
          <w:sz w:val="22"/>
          <w:szCs w:val="22"/>
        </w:rPr>
        <w:t xml:space="preserve">. </w:t>
      </w:r>
      <w:proofErr w:type="gramStart"/>
      <w:r w:rsidR="003E6D23">
        <w:rPr>
          <w:rFonts w:ascii="Times New Roman" w:hAnsi="Times New Roman" w:cs="Times New Roman"/>
          <w:sz w:val="22"/>
          <w:szCs w:val="22"/>
        </w:rPr>
        <w:t>on</w:t>
      </w:r>
      <w:proofErr w:type="gramEnd"/>
      <w:r w:rsidR="003E6D23">
        <w:rPr>
          <w:rFonts w:ascii="Times New Roman" w:hAnsi="Times New Roman" w:cs="Times New Roman"/>
          <w:sz w:val="22"/>
          <w:szCs w:val="22"/>
        </w:rPr>
        <w:t xml:space="preserve"> Courts, Intellectual Property, and the Internet </w:t>
      </w:r>
      <w:r w:rsidRPr="0063631D">
        <w:rPr>
          <w:rFonts w:ascii="Times New Roman" w:hAnsi="Times New Roman" w:cs="Times New Roman"/>
          <w:sz w:val="22"/>
          <w:szCs w:val="22"/>
        </w:rPr>
        <w:t>of the H. Comm. on the Judiciary, 113</w:t>
      </w:r>
      <w:r w:rsidR="003E6D23">
        <w:rPr>
          <w:rFonts w:ascii="Times New Roman" w:hAnsi="Times New Roman" w:cs="Times New Roman"/>
          <w:sz w:val="22"/>
          <w:szCs w:val="22"/>
        </w:rPr>
        <w:t>th</w:t>
      </w:r>
      <w:r w:rsidRPr="0063631D">
        <w:rPr>
          <w:rFonts w:ascii="Times New Roman" w:hAnsi="Times New Roman" w:cs="Times New Roman"/>
          <w:sz w:val="22"/>
          <w:szCs w:val="22"/>
        </w:rPr>
        <w:t xml:space="preserve"> Cong. 21 (2014) (testimony of Jonathan </w:t>
      </w:r>
      <w:proofErr w:type="spellStart"/>
      <w:r w:rsidRPr="0063631D">
        <w:rPr>
          <w:rFonts w:ascii="Times New Roman" w:hAnsi="Times New Roman" w:cs="Times New Roman"/>
          <w:sz w:val="22"/>
          <w:szCs w:val="22"/>
        </w:rPr>
        <w:t>Zuck</w:t>
      </w:r>
      <w:proofErr w:type="spellEnd"/>
      <w:r w:rsidRPr="0063631D">
        <w:rPr>
          <w:rFonts w:ascii="Times New Roman" w:hAnsi="Times New Roman" w:cs="Times New Roman"/>
          <w:sz w:val="22"/>
          <w:szCs w:val="22"/>
        </w:rPr>
        <w:t>).</w:t>
      </w:r>
    </w:p>
  </w:footnote>
  <w:footnote w:id="3">
    <w:p w14:paraId="27A799F3" w14:textId="77777777" w:rsidR="00AB5766" w:rsidRPr="0063631D" w:rsidRDefault="00AB5766">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w:t>
      </w:r>
      <w:proofErr w:type="gramStart"/>
      <w:r w:rsidRPr="00D74EF2">
        <w:rPr>
          <w:rFonts w:ascii="Times New Roman" w:hAnsi="Times New Roman" w:cs="Times New Roman"/>
          <w:i/>
          <w:sz w:val="22"/>
          <w:szCs w:val="22"/>
        </w:rPr>
        <w:t>Id</w:t>
      </w:r>
      <w:r w:rsidRPr="0063631D">
        <w:rPr>
          <w:rFonts w:ascii="Times New Roman" w:hAnsi="Times New Roman" w:cs="Times New Roman"/>
          <w:sz w:val="22"/>
          <w:szCs w:val="22"/>
        </w:rPr>
        <w:t xml:space="preserve">. at 28 (testimony of Christian </w:t>
      </w:r>
      <w:proofErr w:type="spellStart"/>
      <w:r w:rsidRPr="0063631D">
        <w:rPr>
          <w:rFonts w:ascii="Times New Roman" w:hAnsi="Times New Roman" w:cs="Times New Roman"/>
          <w:sz w:val="22"/>
          <w:szCs w:val="22"/>
        </w:rPr>
        <w:t>Genetski</w:t>
      </w:r>
      <w:proofErr w:type="spellEnd"/>
      <w:r w:rsidRPr="0063631D">
        <w:rPr>
          <w:rFonts w:ascii="Times New Roman" w:hAnsi="Times New Roman" w:cs="Times New Roman"/>
          <w:sz w:val="22"/>
          <w:szCs w:val="22"/>
        </w:rPr>
        <w:t>).</w:t>
      </w:r>
      <w:proofErr w:type="gramEnd"/>
    </w:p>
  </w:footnote>
  <w:footnote w:id="4">
    <w:p w14:paraId="63C9D020" w14:textId="77777777" w:rsidR="00AB5766" w:rsidRPr="0063631D" w:rsidRDefault="00AB5766">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The exemption reads:</w:t>
      </w:r>
    </w:p>
    <w:p w14:paraId="50423517" w14:textId="77777777" w:rsidR="00AB5766" w:rsidRPr="0063631D" w:rsidRDefault="00AB5766" w:rsidP="002C13D9">
      <w:pPr>
        <w:pStyle w:val="FootnoteText"/>
        <w:ind w:left="288" w:right="288"/>
        <w:rPr>
          <w:rFonts w:ascii="Times New Roman" w:hAnsi="Times New Roman" w:cs="Times New Roman"/>
          <w:sz w:val="22"/>
          <w:szCs w:val="22"/>
        </w:rPr>
      </w:pPr>
      <w:r w:rsidRPr="0063631D">
        <w:rPr>
          <w:rFonts w:ascii="Times New Roman" w:hAnsi="Times New Roman" w:cs="Times New Roman"/>
          <w:sz w:val="22"/>
          <w:szCs w:val="22"/>
        </w:rPr>
        <w:tab/>
        <w:t xml:space="preserve">Computer programs that operate 3D printers that employ microchip-reliant technological measures to limit the use of feedstock, when circumvention is accomplished solely for the purpose of using alternative feedstock and not for the purpose of accessing design software, design files or proprietary data; provided, however, that the exemption shall not extend to any computer program on a 3D printer that produces goods or materials for use in commerce the physical production of which is subject to legal or regulatory oversight or a related certification process, or where the circumvention is otherwise unlawful.  </w:t>
      </w:r>
      <w:proofErr w:type="gramStart"/>
      <w:r w:rsidRPr="0063631D">
        <w:rPr>
          <w:rFonts w:ascii="Times New Roman" w:hAnsi="Times New Roman" w:cs="Times New Roman"/>
          <w:sz w:val="22"/>
          <w:szCs w:val="22"/>
        </w:rPr>
        <w:t>37 CFR §201.40(b) (9).</w:t>
      </w:r>
      <w:proofErr w:type="gramEnd"/>
    </w:p>
  </w:footnote>
  <w:footnote w:id="5">
    <w:p w14:paraId="16FB888D" w14:textId="77777777" w:rsidR="00AB5766" w:rsidRPr="0063631D" w:rsidRDefault="00AB5766" w:rsidP="00F3215A">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The exemption reads:</w:t>
      </w:r>
    </w:p>
    <w:p w14:paraId="4AB250DB" w14:textId="77777777" w:rsidR="00AB5766" w:rsidRPr="0063631D" w:rsidRDefault="00AB5766" w:rsidP="002C13D9">
      <w:pPr>
        <w:pStyle w:val="FootnoteText"/>
        <w:ind w:left="288" w:right="288"/>
        <w:rPr>
          <w:rFonts w:ascii="Times New Roman" w:hAnsi="Times New Roman" w:cs="Times New Roman"/>
          <w:sz w:val="22"/>
          <w:szCs w:val="22"/>
        </w:rPr>
      </w:pPr>
      <w:r w:rsidRPr="0063631D">
        <w:rPr>
          <w:rFonts w:ascii="Times New Roman" w:hAnsi="Times New Roman" w:cs="Times New Roman"/>
          <w:sz w:val="22"/>
          <w:szCs w:val="22"/>
        </w:rPr>
        <w:tab/>
        <w:t xml:space="preserve">Computer programs that are contained in and control the functioning of a motorized land vehicle such as a personal automobile, commercial motor vehicle or mechanized agricultural vehicle, except for computer programs primarily designed for the control of telematics or entertainment systems for such vehicle, when circumvention is a necessary step undertaken by the authorized owner of the vehicle to allow the diagnosis, repair or lawful modification of a vehicle function; and where such circumvention does not constitute a violation of applicable law, including without limitation regulations promulgated by the Department of Transportation or the Environmental Protection Agency; and provided, however, that such circumvention is initiated no earlier than 12 months after the effective date of this regulation. </w:t>
      </w:r>
      <w:proofErr w:type="gramStart"/>
      <w:r w:rsidRPr="0063631D">
        <w:rPr>
          <w:rFonts w:ascii="Times New Roman" w:hAnsi="Times New Roman" w:cs="Times New Roman"/>
          <w:i/>
          <w:sz w:val="22"/>
          <w:szCs w:val="22"/>
        </w:rPr>
        <w:t>Id</w:t>
      </w:r>
      <w:r w:rsidRPr="0063631D">
        <w:rPr>
          <w:rFonts w:ascii="Times New Roman" w:hAnsi="Times New Roman" w:cs="Times New Roman"/>
          <w:sz w:val="22"/>
          <w:szCs w:val="22"/>
        </w:rPr>
        <w:t>. §201.40(b) (6).</w:t>
      </w:r>
      <w:proofErr w:type="gramEnd"/>
    </w:p>
  </w:footnote>
  <w:footnote w:id="6">
    <w:p w14:paraId="0167EF70" w14:textId="6B6F9142" w:rsidR="00861EFC" w:rsidRPr="00861EFC" w:rsidRDefault="00861EFC">
      <w:pPr>
        <w:pStyle w:val="FootnoteText"/>
        <w:rPr>
          <w:rFonts w:ascii="Times New Roman" w:hAnsi="Times New Roman" w:cs="Times New Roman"/>
          <w:sz w:val="22"/>
          <w:szCs w:val="22"/>
        </w:rPr>
      </w:pPr>
      <w:r w:rsidRPr="00861EFC">
        <w:rPr>
          <w:rStyle w:val="FootnoteReference"/>
          <w:rFonts w:ascii="Times New Roman" w:hAnsi="Times New Roman" w:cs="Times New Roman"/>
          <w:sz w:val="22"/>
          <w:szCs w:val="22"/>
        </w:rPr>
        <w:footnoteRef/>
      </w:r>
      <w:r w:rsidRPr="00861EFC">
        <w:rPr>
          <w:rFonts w:ascii="Times New Roman" w:hAnsi="Times New Roman" w:cs="Times New Roman"/>
          <w:sz w:val="22"/>
          <w:szCs w:val="22"/>
        </w:rPr>
        <w:t xml:space="preserve"> Requiring a proponent of the exemption (who need not be the original proponent) to come forward with a simple filing requesting the exemption and indicating that it is relying on the earlier record</w:t>
      </w:r>
      <w:r w:rsidR="00B46B0D">
        <w:rPr>
          <w:rFonts w:ascii="Times New Roman" w:hAnsi="Times New Roman" w:cs="Times New Roman"/>
          <w:sz w:val="22"/>
          <w:szCs w:val="22"/>
        </w:rPr>
        <w:t>:</w:t>
      </w:r>
      <w:r w:rsidRPr="00861EFC">
        <w:rPr>
          <w:rFonts w:ascii="Times New Roman" w:hAnsi="Times New Roman" w:cs="Times New Roman"/>
          <w:sz w:val="22"/>
          <w:szCs w:val="22"/>
        </w:rPr>
        <w:t xml:space="preserve"> </w:t>
      </w:r>
      <w:r w:rsidR="00910FA3">
        <w:rPr>
          <w:rFonts w:ascii="Times New Roman" w:hAnsi="Times New Roman" w:cs="Times New Roman"/>
          <w:sz w:val="22"/>
          <w:szCs w:val="22"/>
        </w:rPr>
        <w:t xml:space="preserve">(1) seems to better comport with the Administrative Procedure Act (see our response to Question 4), and (2) </w:t>
      </w:r>
      <w:r w:rsidRPr="00861EFC">
        <w:rPr>
          <w:rFonts w:ascii="Times New Roman" w:hAnsi="Times New Roman" w:cs="Times New Roman"/>
          <w:sz w:val="22"/>
          <w:szCs w:val="22"/>
        </w:rPr>
        <w:t xml:space="preserve">eliminates the possibility of leaving on the books numerous exemptions that have become completely irrelevant </w:t>
      </w:r>
      <w:proofErr w:type="gramStart"/>
      <w:r w:rsidRPr="00861EFC">
        <w:rPr>
          <w:rFonts w:ascii="Times New Roman" w:hAnsi="Times New Roman" w:cs="Times New Roman"/>
          <w:sz w:val="22"/>
          <w:szCs w:val="22"/>
        </w:rPr>
        <w:t>to  the</w:t>
      </w:r>
      <w:proofErr w:type="gramEnd"/>
      <w:r w:rsidRPr="00861EFC">
        <w:rPr>
          <w:rFonts w:ascii="Times New Roman" w:hAnsi="Times New Roman" w:cs="Times New Roman"/>
          <w:sz w:val="22"/>
          <w:szCs w:val="22"/>
        </w:rPr>
        <w:t xml:space="preserve"> stakeholders.  </w:t>
      </w:r>
      <w:r w:rsidR="00910FA3">
        <w:rPr>
          <w:rFonts w:ascii="Times New Roman" w:hAnsi="Times New Roman" w:cs="Times New Roman"/>
          <w:sz w:val="22"/>
          <w:szCs w:val="22"/>
        </w:rPr>
        <w:t xml:space="preserve"> It is possible that these </w:t>
      </w:r>
      <w:r w:rsidRPr="00861EFC">
        <w:rPr>
          <w:rFonts w:ascii="Times New Roman" w:hAnsi="Times New Roman" w:cs="Times New Roman"/>
          <w:sz w:val="22"/>
          <w:szCs w:val="22"/>
        </w:rPr>
        <w:t>concern</w:t>
      </w:r>
      <w:r w:rsidR="00910FA3">
        <w:rPr>
          <w:rFonts w:ascii="Times New Roman" w:hAnsi="Times New Roman" w:cs="Times New Roman"/>
          <w:sz w:val="22"/>
          <w:szCs w:val="22"/>
        </w:rPr>
        <w:t>s</w:t>
      </w:r>
      <w:r w:rsidRPr="00861EFC">
        <w:rPr>
          <w:rFonts w:ascii="Times New Roman" w:hAnsi="Times New Roman" w:cs="Times New Roman"/>
          <w:sz w:val="22"/>
          <w:szCs w:val="22"/>
        </w:rPr>
        <w:t xml:space="preserve"> might be satisfied in other ways.</w:t>
      </w:r>
    </w:p>
  </w:footnote>
  <w:footnote w:id="7">
    <w:p w14:paraId="35D4ADE9" w14:textId="77777777" w:rsidR="00AB5766" w:rsidRPr="0063631D" w:rsidRDefault="00AB5766">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5 U.S.C. § 556 (d) provides: “Except as otherwise provided by statute, the proponent of a rule or order has the burden of proof.”</w:t>
      </w:r>
    </w:p>
  </w:footnote>
  <w:footnote w:id="8">
    <w:p w14:paraId="3B20A101" w14:textId="26280DCF" w:rsidR="00AB5766" w:rsidRPr="0063631D" w:rsidRDefault="00AB5766">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w:t>
      </w:r>
      <w:r w:rsidRPr="00D74EF2">
        <w:rPr>
          <w:rFonts w:ascii="Times New Roman" w:hAnsi="Times New Roman" w:cs="Times New Roman"/>
          <w:i/>
          <w:sz w:val="22"/>
          <w:szCs w:val="22"/>
        </w:rPr>
        <w:t>See</w:t>
      </w:r>
      <w:r w:rsidRPr="0063631D">
        <w:rPr>
          <w:rFonts w:ascii="Times New Roman" w:hAnsi="Times New Roman" w:cs="Times New Roman"/>
          <w:sz w:val="22"/>
          <w:szCs w:val="22"/>
        </w:rPr>
        <w:t xml:space="preserve"> </w:t>
      </w:r>
      <w:r w:rsidRPr="00D74EF2">
        <w:rPr>
          <w:rFonts w:ascii="Times New Roman" w:hAnsi="Times New Roman" w:cs="Times New Roman"/>
          <w:i/>
          <w:sz w:val="22"/>
          <w:szCs w:val="22"/>
        </w:rPr>
        <w:t>id</w:t>
      </w:r>
      <w:r w:rsidRPr="0063631D">
        <w:rPr>
          <w:rFonts w:ascii="Times New Roman" w:hAnsi="Times New Roman" w:cs="Times New Roman"/>
          <w:sz w:val="22"/>
          <w:szCs w:val="22"/>
        </w:rPr>
        <w:t>.</w:t>
      </w:r>
    </w:p>
  </w:footnote>
  <w:footnote w:id="9">
    <w:p w14:paraId="6DCD89A3" w14:textId="77777777" w:rsidR="00AB5766" w:rsidRPr="00DA0871" w:rsidRDefault="00AB5766">
      <w:pPr>
        <w:pStyle w:val="FootnoteText"/>
        <w:rPr>
          <w:rFonts w:ascii="Times New Roman" w:hAnsi="Times New Roman" w:cs="Times New Roman"/>
          <w:sz w:val="22"/>
          <w:szCs w:val="22"/>
        </w:rPr>
      </w:pPr>
      <w:r w:rsidRPr="00DA0871">
        <w:rPr>
          <w:rStyle w:val="FootnoteReference"/>
          <w:rFonts w:ascii="Times New Roman" w:hAnsi="Times New Roman" w:cs="Times New Roman"/>
          <w:sz w:val="22"/>
          <w:szCs w:val="22"/>
        </w:rPr>
        <w:footnoteRef/>
      </w:r>
      <w:r w:rsidRPr="00DA0871">
        <w:rPr>
          <w:rFonts w:ascii="Times New Roman" w:hAnsi="Times New Roman" w:cs="Times New Roman"/>
          <w:sz w:val="22"/>
          <w:szCs w:val="22"/>
        </w:rPr>
        <w:t xml:space="preserve"> </w:t>
      </w:r>
      <w:r w:rsidRPr="007A7225">
        <w:rPr>
          <w:rFonts w:ascii="Times New Roman" w:hAnsi="Times New Roman" w:cs="Times New Roman"/>
          <w:i/>
          <w:sz w:val="22"/>
          <w:szCs w:val="22"/>
        </w:rPr>
        <w:t>See</w:t>
      </w:r>
      <w:r>
        <w:rPr>
          <w:rFonts w:ascii="Times New Roman" w:hAnsi="Times New Roman" w:cs="Times New Roman"/>
          <w:sz w:val="22"/>
          <w:szCs w:val="22"/>
        </w:rPr>
        <w:t xml:space="preserve"> H.R. 1883, 114</w:t>
      </w:r>
      <w:r w:rsidRPr="00D74EF2">
        <w:rPr>
          <w:rFonts w:ascii="Times New Roman" w:hAnsi="Times New Roman" w:cs="Times New Roman"/>
          <w:sz w:val="22"/>
          <w:szCs w:val="22"/>
        </w:rPr>
        <w:t>th</w:t>
      </w:r>
      <w:r>
        <w:rPr>
          <w:rFonts w:ascii="Times New Roman" w:hAnsi="Times New Roman" w:cs="Times New Roman"/>
          <w:sz w:val="22"/>
          <w:szCs w:val="22"/>
        </w:rPr>
        <w:t xml:space="preserve"> Cong. (2015); S. 990, 114</w:t>
      </w:r>
      <w:r w:rsidRPr="00D74EF2">
        <w:rPr>
          <w:rFonts w:ascii="Times New Roman" w:hAnsi="Times New Roman" w:cs="Times New Roman"/>
          <w:sz w:val="22"/>
          <w:szCs w:val="22"/>
        </w:rPr>
        <w:t>th</w:t>
      </w:r>
      <w:r>
        <w:rPr>
          <w:rFonts w:ascii="Times New Roman" w:hAnsi="Times New Roman" w:cs="Times New Roman"/>
          <w:sz w:val="22"/>
          <w:szCs w:val="22"/>
        </w:rPr>
        <w:t xml:space="preserve"> Cong. (2015).</w:t>
      </w:r>
    </w:p>
  </w:footnote>
  <w:footnote w:id="10">
    <w:p w14:paraId="01263019" w14:textId="77777777" w:rsidR="00AB5766" w:rsidRPr="0063631D" w:rsidRDefault="00AB5766">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w:t>
      </w:r>
      <w:r w:rsidRPr="007A7225">
        <w:rPr>
          <w:rFonts w:ascii="Times New Roman" w:hAnsi="Times New Roman" w:cs="Times New Roman"/>
          <w:i/>
          <w:sz w:val="22"/>
          <w:szCs w:val="22"/>
        </w:rPr>
        <w:t>See</w:t>
      </w:r>
      <w:r w:rsidRPr="0063631D">
        <w:rPr>
          <w:rFonts w:ascii="Times New Roman" w:hAnsi="Times New Roman" w:cs="Times New Roman"/>
          <w:sz w:val="22"/>
          <w:szCs w:val="22"/>
        </w:rPr>
        <w:t xml:space="preserve"> June M. </w:t>
      </w:r>
      <w:proofErr w:type="spellStart"/>
      <w:r w:rsidRPr="0063631D">
        <w:rPr>
          <w:rFonts w:ascii="Times New Roman" w:hAnsi="Times New Roman" w:cs="Times New Roman"/>
          <w:sz w:val="22"/>
          <w:szCs w:val="22"/>
        </w:rPr>
        <w:t>Besek</w:t>
      </w:r>
      <w:proofErr w:type="spellEnd"/>
      <w:r w:rsidRPr="0063631D">
        <w:rPr>
          <w:rFonts w:ascii="Times New Roman" w:hAnsi="Times New Roman" w:cs="Times New Roman"/>
          <w:sz w:val="22"/>
          <w:szCs w:val="22"/>
        </w:rPr>
        <w:t xml:space="preserve">, </w:t>
      </w:r>
      <w:r w:rsidRPr="007A7225">
        <w:rPr>
          <w:rFonts w:ascii="Times New Roman" w:hAnsi="Times New Roman" w:cs="Times New Roman"/>
          <w:i/>
          <w:sz w:val="22"/>
          <w:szCs w:val="22"/>
        </w:rPr>
        <w:t xml:space="preserve">Anti-Circumvention Laws and Copyright:  A Report from the </w:t>
      </w:r>
      <w:proofErr w:type="spellStart"/>
      <w:r w:rsidRPr="007A7225">
        <w:rPr>
          <w:rFonts w:ascii="Times New Roman" w:hAnsi="Times New Roman" w:cs="Times New Roman"/>
          <w:i/>
          <w:sz w:val="22"/>
          <w:szCs w:val="22"/>
        </w:rPr>
        <w:t>Kernochan</w:t>
      </w:r>
      <w:proofErr w:type="spellEnd"/>
      <w:r w:rsidRPr="007A7225">
        <w:rPr>
          <w:rFonts w:ascii="Times New Roman" w:hAnsi="Times New Roman" w:cs="Times New Roman"/>
          <w:i/>
          <w:sz w:val="22"/>
          <w:szCs w:val="22"/>
        </w:rPr>
        <w:t xml:space="preserve"> Center for Law, Media and the Arts</w:t>
      </w:r>
      <w:r w:rsidRPr="0063631D">
        <w:rPr>
          <w:rFonts w:ascii="Times New Roman" w:hAnsi="Times New Roman" w:cs="Times New Roman"/>
          <w:sz w:val="22"/>
          <w:szCs w:val="22"/>
        </w:rPr>
        <w:t xml:space="preserve">, 27 </w:t>
      </w:r>
      <w:r w:rsidRPr="0063631D">
        <w:rPr>
          <w:rFonts w:ascii="Times New Roman" w:hAnsi="Times New Roman" w:cs="Times New Roman"/>
          <w:smallCaps/>
          <w:sz w:val="22"/>
          <w:szCs w:val="22"/>
        </w:rPr>
        <w:t>Colum. J. L. &amp; Arts</w:t>
      </w:r>
      <w:r w:rsidRPr="0063631D">
        <w:rPr>
          <w:rFonts w:ascii="Times New Roman" w:hAnsi="Times New Roman" w:cs="Times New Roman"/>
          <w:sz w:val="22"/>
          <w:szCs w:val="22"/>
        </w:rPr>
        <w:t xml:space="preserve"> 385, 491-96 (2004).</w:t>
      </w:r>
    </w:p>
  </w:footnote>
  <w:footnote w:id="11">
    <w:p w14:paraId="310FE88E" w14:textId="77777777" w:rsidR="00AB5766" w:rsidRPr="0063631D" w:rsidRDefault="00AB5766" w:rsidP="0053102B">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Pan C. Lee et al., Samuelson Law, Technology &amp; Public Policy Clinic, University of California, Berkeley School of Law, on behalf of Public Knowledge, </w:t>
      </w:r>
      <w:r w:rsidRPr="007A7225">
        <w:rPr>
          <w:rFonts w:ascii="Times New Roman" w:hAnsi="Times New Roman" w:cs="Times New Roman"/>
          <w:i/>
          <w:sz w:val="22"/>
          <w:szCs w:val="22"/>
        </w:rPr>
        <w:t>Updating 17 U.S.C. 1201 for Innovators, Creators, and Consumers in the Digital Age</w:t>
      </w:r>
      <w:r w:rsidRPr="0063631D">
        <w:rPr>
          <w:rFonts w:ascii="Times New Roman" w:hAnsi="Times New Roman" w:cs="Times New Roman"/>
          <w:sz w:val="22"/>
          <w:szCs w:val="22"/>
        </w:rPr>
        <w:t xml:space="preserve"> 52 (2010), https://www.publicknowledge.org/assets/uploads//2_Circumvention.pdf.</w:t>
      </w:r>
    </w:p>
  </w:footnote>
  <w:footnote w:id="12">
    <w:p w14:paraId="64E08A01" w14:textId="17705CE7" w:rsidR="003C5E3E" w:rsidRPr="00FB636D" w:rsidRDefault="003C5E3E">
      <w:pPr>
        <w:pStyle w:val="FootnoteText"/>
        <w:rPr>
          <w:rFonts w:ascii="Times New Roman" w:hAnsi="Times New Roman" w:cs="Times New Roman"/>
          <w:sz w:val="22"/>
          <w:szCs w:val="22"/>
        </w:rPr>
      </w:pPr>
      <w:r w:rsidRPr="00FB636D">
        <w:rPr>
          <w:rStyle w:val="FootnoteReference"/>
          <w:rFonts w:ascii="Times New Roman" w:hAnsi="Times New Roman" w:cs="Times New Roman"/>
          <w:sz w:val="22"/>
          <w:szCs w:val="22"/>
        </w:rPr>
        <w:footnoteRef/>
      </w:r>
      <w:r w:rsidRPr="00FB636D">
        <w:rPr>
          <w:rFonts w:ascii="Times New Roman" w:hAnsi="Times New Roman" w:cs="Times New Roman"/>
          <w:sz w:val="22"/>
          <w:szCs w:val="22"/>
        </w:rPr>
        <w:t xml:space="preserve"> For the purpose of this response we focus primarily on nonprofit libraries and archives.</w:t>
      </w:r>
      <w:r w:rsidR="00FB636D" w:rsidRPr="00FB636D">
        <w:rPr>
          <w:rFonts w:ascii="Times New Roman" w:hAnsi="Times New Roman" w:cs="Times New Roman"/>
          <w:sz w:val="22"/>
          <w:szCs w:val="22"/>
        </w:rPr>
        <w:t xml:space="preserve">  Educational institutions have been regular participants in the rulemaking proceedings and have been successful in obtaining a number of exemptions.  Those exemptions, which have been very fact-based, do not easily lend themselves to permanent exemptions, and </w:t>
      </w:r>
      <w:r w:rsidR="00FE78CF">
        <w:rPr>
          <w:rFonts w:ascii="Times New Roman" w:hAnsi="Times New Roman" w:cs="Times New Roman"/>
          <w:sz w:val="22"/>
          <w:szCs w:val="22"/>
        </w:rPr>
        <w:t xml:space="preserve">currently </w:t>
      </w:r>
      <w:r w:rsidR="00FB636D" w:rsidRPr="00FB636D">
        <w:rPr>
          <w:rFonts w:ascii="Times New Roman" w:hAnsi="Times New Roman" w:cs="Times New Roman"/>
          <w:sz w:val="22"/>
          <w:szCs w:val="22"/>
        </w:rPr>
        <w:t>the rulemaking proceeding (modified as discussed above) seems like a more appropriate means of seeking and granting educational exemptions.</w:t>
      </w:r>
    </w:p>
  </w:footnote>
  <w:footnote w:id="13">
    <w:p w14:paraId="57BCA14E" w14:textId="2C50ECD3" w:rsidR="00AB5766" w:rsidRDefault="00AB5766">
      <w:pPr>
        <w:pStyle w:val="FootnoteText"/>
      </w:pPr>
      <w:r w:rsidRPr="007A7225">
        <w:rPr>
          <w:rStyle w:val="FootnoteReference"/>
          <w:rFonts w:ascii="Times New Roman" w:hAnsi="Times New Roman" w:cs="Times New Roman"/>
          <w:sz w:val="22"/>
        </w:rPr>
        <w:footnoteRef/>
      </w:r>
      <w:r>
        <w:t xml:space="preserve"> </w:t>
      </w:r>
      <w:r w:rsidRPr="007A7225">
        <w:rPr>
          <w:rFonts w:ascii="Times New Roman" w:hAnsi="Times New Roman" w:cs="Times New Roman"/>
          <w:sz w:val="22"/>
        </w:rPr>
        <w:t xml:space="preserve">U.S. Copyright Office, Section 1201 Rulemaking: Sixth Triennial Proceeding to Determine Exemptions to the Prohibition on Circumvention, Recommendation of the Register of Copyrights </w:t>
      </w:r>
      <w:r>
        <w:rPr>
          <w:rFonts w:ascii="Times New Roman" w:hAnsi="Times New Roman" w:cs="Times New Roman"/>
          <w:sz w:val="22"/>
        </w:rPr>
        <w:t>103-06</w:t>
      </w:r>
      <w:r w:rsidRPr="007A7225">
        <w:rPr>
          <w:rFonts w:ascii="Times New Roman" w:hAnsi="Times New Roman" w:cs="Times New Roman"/>
          <w:sz w:val="22"/>
        </w:rPr>
        <w:t xml:space="preserve"> (2015), http:// copyright.gov/1201/2015/registersrecommendation.pdf.</w:t>
      </w:r>
    </w:p>
  </w:footnote>
  <w:footnote w:id="14">
    <w:p w14:paraId="4A594F47" w14:textId="20761E22" w:rsidR="00AB5766" w:rsidRPr="0063631D" w:rsidRDefault="00AB5766" w:rsidP="0053102B">
      <w:pPr>
        <w:pStyle w:val="FootnoteText"/>
        <w:rPr>
          <w:rFonts w:ascii="Times New Roman" w:hAnsi="Times New Roman" w:cs="Times New Roman"/>
          <w:sz w:val="22"/>
          <w:szCs w:val="22"/>
        </w:rPr>
      </w:pPr>
      <w:r w:rsidRPr="0063631D">
        <w:rPr>
          <w:rStyle w:val="FootnoteReference"/>
          <w:rFonts w:ascii="Times New Roman" w:hAnsi="Times New Roman" w:cs="Times New Roman"/>
          <w:sz w:val="22"/>
          <w:szCs w:val="22"/>
        </w:rPr>
        <w:footnoteRef/>
      </w:r>
      <w:r w:rsidRPr="0063631D">
        <w:rPr>
          <w:rFonts w:ascii="Times New Roman" w:hAnsi="Times New Roman" w:cs="Times New Roman"/>
          <w:sz w:val="22"/>
          <w:szCs w:val="22"/>
        </w:rPr>
        <w:t xml:space="preserve"> </w:t>
      </w:r>
      <w:proofErr w:type="gramStart"/>
      <w:r w:rsidRPr="007A7225">
        <w:rPr>
          <w:rFonts w:ascii="Times New Roman" w:hAnsi="Times New Roman" w:cs="Times New Roman"/>
          <w:i/>
          <w:sz w:val="22"/>
          <w:szCs w:val="22"/>
        </w:rPr>
        <w:t>Id.</w:t>
      </w:r>
      <w:r w:rsidRPr="007A7225">
        <w:rPr>
          <w:rFonts w:ascii="Times New Roman" w:hAnsi="Times New Roman" w:cs="Times New Roman"/>
          <w:sz w:val="22"/>
          <w:szCs w:val="22"/>
        </w:rPr>
        <w:t xml:space="preserve"> at 126.</w:t>
      </w:r>
      <w:proofErr w:type="gramEnd"/>
    </w:p>
  </w:footnote>
  <w:footnote w:id="15">
    <w:p w14:paraId="5F4324E7" w14:textId="5FA996AD" w:rsidR="00AB5766" w:rsidRDefault="00AB5766" w:rsidP="00A5799E">
      <w:r w:rsidRPr="007A7225">
        <w:rPr>
          <w:rStyle w:val="FootnoteReference"/>
          <w:rFonts w:ascii="Times New Roman" w:hAnsi="Times New Roman" w:cs="Times New Roman"/>
          <w:sz w:val="22"/>
        </w:rPr>
        <w:footnoteRef/>
      </w:r>
      <w:r>
        <w:t xml:space="preserve"> </w:t>
      </w:r>
      <w:r w:rsidRPr="007A7225">
        <w:rPr>
          <w:rFonts w:ascii="Times New Roman" w:hAnsi="Times New Roman" w:cs="Times New Roman"/>
          <w:sz w:val="22"/>
        </w:rPr>
        <w:t xml:space="preserve">WIPO Copyright Treaty, art. </w:t>
      </w:r>
      <w:proofErr w:type="gramStart"/>
      <w:r w:rsidRPr="007A7225">
        <w:rPr>
          <w:rFonts w:ascii="Times New Roman" w:hAnsi="Times New Roman" w:cs="Times New Roman"/>
          <w:sz w:val="22"/>
        </w:rPr>
        <w:t xml:space="preserve">11, Dec. 20, 1996, 36 I.L.M. 65 (1997), </w:t>
      </w:r>
      <w:r w:rsidRPr="007A7225">
        <w:rPr>
          <w:rFonts w:ascii="Times New Roman" w:hAnsi="Times New Roman" w:cs="Times New Roman"/>
          <w:i/>
          <w:sz w:val="22"/>
        </w:rPr>
        <w:t>available at</w:t>
      </w:r>
      <w:r w:rsidRPr="007A7225">
        <w:rPr>
          <w:rFonts w:ascii="Times New Roman" w:hAnsi="Times New Roman" w:cs="Times New Roman"/>
          <w:sz w:val="22"/>
        </w:rPr>
        <w:t xml:space="preserve"> </w:t>
      </w:r>
      <w:hyperlink r:id="rId1" w:anchor="P87_12240" w:history="1">
        <w:r w:rsidRPr="007A7225">
          <w:rPr>
            <w:rStyle w:val="Hyperlink"/>
            <w:rFonts w:ascii="Times New Roman" w:hAnsi="Times New Roman" w:cs="Times New Roman"/>
            <w:sz w:val="22"/>
          </w:rPr>
          <w:t>http://www.wipo.int/treaties/en/text.jsp?file_id=295166#P87_12240</w:t>
        </w:r>
      </w:hyperlink>
      <w:r w:rsidRPr="007A7225">
        <w:rPr>
          <w:rFonts w:ascii="Times New Roman" w:hAnsi="Times New Roman" w:cs="Times New Roman"/>
          <w:sz w:val="22"/>
        </w:rPr>
        <w:t>.</w:t>
      </w:r>
      <w:proofErr w:type="gramEnd"/>
      <w:r w:rsidRPr="007A7225">
        <w:rPr>
          <w:rFonts w:ascii="Times New Roman" w:hAnsi="Times New Roman" w:cs="Times New Roman"/>
          <w:sz w:val="22"/>
        </w:rPr>
        <w:t xml:space="preserve"> The WIPO Performances and Phonograms Treaty </w:t>
      </w:r>
      <w:proofErr w:type="gramStart"/>
      <w:r w:rsidRPr="007A7225">
        <w:rPr>
          <w:rFonts w:ascii="Times New Roman" w:hAnsi="Times New Roman" w:cs="Times New Roman"/>
          <w:sz w:val="22"/>
        </w:rPr>
        <w:t>has</w:t>
      </w:r>
      <w:proofErr w:type="gramEnd"/>
      <w:r w:rsidRPr="007A7225">
        <w:rPr>
          <w:rFonts w:ascii="Times New Roman" w:hAnsi="Times New Roman" w:cs="Times New Roman"/>
          <w:sz w:val="22"/>
        </w:rPr>
        <w:t xml:space="preserve"> a similar provision.  </w:t>
      </w:r>
      <w:proofErr w:type="gramStart"/>
      <w:r w:rsidRPr="007A7225">
        <w:rPr>
          <w:rFonts w:ascii="Times New Roman" w:hAnsi="Times New Roman" w:cs="Times New Roman"/>
          <w:sz w:val="22"/>
        </w:rPr>
        <w:t xml:space="preserve">WIPO Performances and Phonograms Treaty, </w:t>
      </w:r>
      <w:r>
        <w:rPr>
          <w:rFonts w:ascii="Times New Roman" w:hAnsi="Times New Roman" w:cs="Times New Roman"/>
          <w:sz w:val="22"/>
        </w:rPr>
        <w:t>art.</w:t>
      </w:r>
      <w:proofErr w:type="gramEnd"/>
      <w:r w:rsidRPr="007A7225">
        <w:rPr>
          <w:rFonts w:ascii="Times New Roman" w:hAnsi="Times New Roman" w:cs="Times New Roman"/>
          <w:sz w:val="22"/>
        </w:rPr>
        <w:t xml:space="preserve"> </w:t>
      </w:r>
      <w:proofErr w:type="gramStart"/>
      <w:r w:rsidRPr="007A7225">
        <w:rPr>
          <w:rFonts w:ascii="Times New Roman" w:hAnsi="Times New Roman" w:cs="Times New Roman"/>
          <w:sz w:val="22"/>
        </w:rPr>
        <w:t xml:space="preserve">18, </w:t>
      </w:r>
      <w:r>
        <w:rPr>
          <w:rFonts w:ascii="Times New Roman" w:hAnsi="Times New Roman" w:cs="Times New Roman"/>
          <w:sz w:val="22"/>
        </w:rPr>
        <w:t xml:space="preserve">Dec. 20, 1996, 36 I.L.M. 76 (1997), </w:t>
      </w:r>
      <w:r w:rsidRPr="007A7225">
        <w:rPr>
          <w:rFonts w:ascii="Times New Roman" w:hAnsi="Times New Roman" w:cs="Times New Roman"/>
          <w:i/>
          <w:sz w:val="22"/>
        </w:rPr>
        <w:t>available at</w:t>
      </w:r>
      <w:r w:rsidRPr="007A7225">
        <w:rPr>
          <w:rFonts w:ascii="Times New Roman" w:hAnsi="Times New Roman" w:cs="Times New Roman"/>
          <w:sz w:val="22"/>
        </w:rPr>
        <w:t xml:space="preserve"> </w:t>
      </w:r>
      <w:hyperlink r:id="rId2" w:history="1">
        <w:r w:rsidRPr="007A7225">
          <w:rPr>
            <w:rStyle w:val="Hyperlink"/>
            <w:rFonts w:ascii="Times New Roman" w:hAnsi="Times New Roman" w:cs="Times New Roman"/>
            <w:sz w:val="22"/>
          </w:rPr>
          <w:t>http://www.wipo.int/treaties/en/text.jsp?file_id=29557</w:t>
        </w:r>
      </w:hyperlink>
      <w:r w:rsidR="00EF7B61">
        <w:rPr>
          <w:rStyle w:val="Hyperlink"/>
          <w:rFonts w:ascii="Times New Roman" w:hAnsi="Times New Roman" w:cs="Times New Roman"/>
          <w:sz w:val="22"/>
        </w:rPr>
        <w:t>7</w:t>
      </w:r>
      <w:r w:rsidRPr="007A7225">
        <w:rPr>
          <w:rFonts w:ascii="Times New Roman" w:hAnsi="Times New Roman" w:cs="Times New Roman"/>
          <w:sz w:val="22"/>
        </w:rPr>
        <w:t>.</w:t>
      </w:r>
      <w:proofErr w:type="gramEnd"/>
      <w:r w:rsidRPr="007A7225">
        <w:rPr>
          <w:rFonts w:ascii="Times New Roman" w:hAnsi="Times New Roman" w:cs="Times New Roman"/>
          <w:sz w:val="22"/>
        </w:rPr>
        <w:t xml:space="preserve"> </w:t>
      </w:r>
    </w:p>
  </w:footnote>
  <w:footnote w:id="16">
    <w:p w14:paraId="2DEBACCD" w14:textId="77777777" w:rsidR="00AB5766" w:rsidRPr="00723424" w:rsidRDefault="00AB5766">
      <w:pPr>
        <w:pStyle w:val="FootnoteText"/>
        <w:rPr>
          <w:rFonts w:ascii="Times New Roman" w:hAnsi="Times New Roman" w:cs="Times New Roman"/>
          <w:sz w:val="22"/>
          <w:szCs w:val="22"/>
        </w:rPr>
      </w:pPr>
      <w:r w:rsidRPr="00723424">
        <w:rPr>
          <w:rStyle w:val="FootnoteReference"/>
          <w:rFonts w:ascii="Times New Roman" w:hAnsi="Times New Roman" w:cs="Times New Roman"/>
          <w:sz w:val="22"/>
          <w:szCs w:val="22"/>
        </w:rPr>
        <w:footnoteRef/>
      </w:r>
      <w:r w:rsidRPr="00723424">
        <w:rPr>
          <w:rFonts w:ascii="Times New Roman" w:hAnsi="Times New Roman" w:cs="Times New Roman"/>
          <w:sz w:val="22"/>
          <w:szCs w:val="22"/>
        </w:rPr>
        <w:t xml:space="preserve"> II Sam </w:t>
      </w:r>
      <w:proofErr w:type="spellStart"/>
      <w:r w:rsidRPr="00723424">
        <w:rPr>
          <w:rFonts w:ascii="Times New Roman" w:hAnsi="Times New Roman" w:cs="Times New Roman"/>
          <w:sz w:val="22"/>
          <w:szCs w:val="22"/>
        </w:rPr>
        <w:t>Ricketson</w:t>
      </w:r>
      <w:proofErr w:type="spellEnd"/>
      <w:r w:rsidRPr="00723424">
        <w:rPr>
          <w:rFonts w:ascii="Times New Roman" w:hAnsi="Times New Roman" w:cs="Times New Roman"/>
          <w:sz w:val="22"/>
          <w:szCs w:val="22"/>
        </w:rPr>
        <w:t xml:space="preserve"> and Jane C. Ginsburg, International Copyright and </w:t>
      </w:r>
      <w:proofErr w:type="spellStart"/>
      <w:r w:rsidRPr="00723424">
        <w:rPr>
          <w:rFonts w:ascii="Times New Roman" w:hAnsi="Times New Roman" w:cs="Times New Roman"/>
          <w:sz w:val="22"/>
          <w:szCs w:val="22"/>
        </w:rPr>
        <w:t>Neighbouring</w:t>
      </w:r>
      <w:proofErr w:type="spellEnd"/>
      <w:r w:rsidRPr="00723424">
        <w:rPr>
          <w:rFonts w:ascii="Times New Roman" w:hAnsi="Times New Roman" w:cs="Times New Roman"/>
          <w:sz w:val="22"/>
          <w:szCs w:val="22"/>
        </w:rPr>
        <w:t xml:space="preserve"> Rights 15.10-15.21 (2d ed. Oxford Univ. Press 2006).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042"/>
    <w:rsid w:val="000026BD"/>
    <w:rsid w:val="00073CD1"/>
    <w:rsid w:val="00074478"/>
    <w:rsid w:val="000861AD"/>
    <w:rsid w:val="000B7457"/>
    <w:rsid w:val="0012016D"/>
    <w:rsid w:val="00142C98"/>
    <w:rsid w:val="00172580"/>
    <w:rsid w:val="001A0DE5"/>
    <w:rsid w:val="001B606D"/>
    <w:rsid w:val="001C2865"/>
    <w:rsid w:val="001E6F8A"/>
    <w:rsid w:val="001F19B0"/>
    <w:rsid w:val="001F6897"/>
    <w:rsid w:val="002319E5"/>
    <w:rsid w:val="00293075"/>
    <w:rsid w:val="002B3C00"/>
    <w:rsid w:val="002C13D9"/>
    <w:rsid w:val="002F2AAE"/>
    <w:rsid w:val="00311885"/>
    <w:rsid w:val="00337E75"/>
    <w:rsid w:val="003A40F5"/>
    <w:rsid w:val="003C5E3E"/>
    <w:rsid w:val="003E6D23"/>
    <w:rsid w:val="00410E2A"/>
    <w:rsid w:val="004C355E"/>
    <w:rsid w:val="004D6D64"/>
    <w:rsid w:val="005049BA"/>
    <w:rsid w:val="0053102B"/>
    <w:rsid w:val="005453E3"/>
    <w:rsid w:val="00593244"/>
    <w:rsid w:val="005B25BF"/>
    <w:rsid w:val="005B6990"/>
    <w:rsid w:val="005C1F7C"/>
    <w:rsid w:val="005F3746"/>
    <w:rsid w:val="00602AEA"/>
    <w:rsid w:val="0063631D"/>
    <w:rsid w:val="006701B1"/>
    <w:rsid w:val="00692E10"/>
    <w:rsid w:val="00694E87"/>
    <w:rsid w:val="006B20E6"/>
    <w:rsid w:val="006E7A92"/>
    <w:rsid w:val="006F3CC5"/>
    <w:rsid w:val="00701C94"/>
    <w:rsid w:val="0070211F"/>
    <w:rsid w:val="00710443"/>
    <w:rsid w:val="00722826"/>
    <w:rsid w:val="00723424"/>
    <w:rsid w:val="007327A2"/>
    <w:rsid w:val="00794B2C"/>
    <w:rsid w:val="007A60D3"/>
    <w:rsid w:val="007A7225"/>
    <w:rsid w:val="007B657D"/>
    <w:rsid w:val="007E287C"/>
    <w:rsid w:val="007F2C13"/>
    <w:rsid w:val="00830A83"/>
    <w:rsid w:val="00846F6E"/>
    <w:rsid w:val="00861EFC"/>
    <w:rsid w:val="00876C60"/>
    <w:rsid w:val="008D6C4F"/>
    <w:rsid w:val="008F1268"/>
    <w:rsid w:val="00910FA3"/>
    <w:rsid w:val="00964EB5"/>
    <w:rsid w:val="0097319D"/>
    <w:rsid w:val="009A3BE1"/>
    <w:rsid w:val="009D4689"/>
    <w:rsid w:val="009D6A4E"/>
    <w:rsid w:val="009F64E5"/>
    <w:rsid w:val="00A222C4"/>
    <w:rsid w:val="00A554CB"/>
    <w:rsid w:val="00A5799E"/>
    <w:rsid w:val="00A71140"/>
    <w:rsid w:val="00A83F00"/>
    <w:rsid w:val="00A90C6F"/>
    <w:rsid w:val="00A96045"/>
    <w:rsid w:val="00AB5766"/>
    <w:rsid w:val="00B03234"/>
    <w:rsid w:val="00B06DE9"/>
    <w:rsid w:val="00B45053"/>
    <w:rsid w:val="00B46B0D"/>
    <w:rsid w:val="00BA579D"/>
    <w:rsid w:val="00C336D2"/>
    <w:rsid w:val="00C41BD0"/>
    <w:rsid w:val="00C67042"/>
    <w:rsid w:val="00CA6980"/>
    <w:rsid w:val="00D22C80"/>
    <w:rsid w:val="00D41AB4"/>
    <w:rsid w:val="00D44C0E"/>
    <w:rsid w:val="00D74EF2"/>
    <w:rsid w:val="00DA0871"/>
    <w:rsid w:val="00DC4549"/>
    <w:rsid w:val="00DD0A2D"/>
    <w:rsid w:val="00DE09B8"/>
    <w:rsid w:val="00DF0706"/>
    <w:rsid w:val="00E011B1"/>
    <w:rsid w:val="00E10CDB"/>
    <w:rsid w:val="00E35EC8"/>
    <w:rsid w:val="00E4281C"/>
    <w:rsid w:val="00E90F64"/>
    <w:rsid w:val="00EC2EBF"/>
    <w:rsid w:val="00EC5259"/>
    <w:rsid w:val="00EF39D1"/>
    <w:rsid w:val="00EF7B61"/>
    <w:rsid w:val="00F0045B"/>
    <w:rsid w:val="00F3215A"/>
    <w:rsid w:val="00F32CEA"/>
    <w:rsid w:val="00F60B6D"/>
    <w:rsid w:val="00FB636D"/>
    <w:rsid w:val="00FD7E2A"/>
    <w:rsid w:val="00FE78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2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042"/>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67042"/>
    <w:pPr>
      <w:spacing w:after="240" w:line="360" w:lineRule="auto"/>
      <w:ind w:firstLine="720"/>
    </w:pPr>
    <w:rPr>
      <w:rFonts w:ascii="Times New Roman" w:eastAsia="Arial" w:hAnsi="Times New Roman" w:cs="Arial"/>
      <w:color w:val="000000"/>
      <w:sz w:val="24"/>
      <w:szCs w:val="24"/>
      <w:lang w:eastAsia="ja-JP"/>
    </w:rPr>
  </w:style>
  <w:style w:type="table" w:styleId="TableGrid">
    <w:name w:val="Table Grid"/>
    <w:basedOn w:val="TableNormal"/>
    <w:uiPriority w:val="59"/>
    <w:rsid w:val="00C67042"/>
    <w:pPr>
      <w:spacing w:after="0" w:line="240" w:lineRule="auto"/>
    </w:pPr>
    <w:rPr>
      <w:rFonts w:eastAsiaTheme="minorEastAs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C67042"/>
  </w:style>
  <w:style w:type="character" w:customStyle="1" w:styleId="FootnoteTextChar">
    <w:name w:val="Footnote Text Char"/>
    <w:basedOn w:val="DefaultParagraphFont"/>
    <w:link w:val="FootnoteText"/>
    <w:uiPriority w:val="99"/>
    <w:rsid w:val="00C67042"/>
    <w:rPr>
      <w:rFonts w:eastAsiaTheme="minorEastAsia"/>
      <w:sz w:val="24"/>
      <w:szCs w:val="24"/>
    </w:rPr>
  </w:style>
  <w:style w:type="character" w:styleId="FootnoteReference">
    <w:name w:val="footnote reference"/>
    <w:basedOn w:val="DefaultParagraphFont"/>
    <w:uiPriority w:val="99"/>
    <w:unhideWhenUsed/>
    <w:rsid w:val="00C67042"/>
    <w:rPr>
      <w:vertAlign w:val="superscript"/>
    </w:rPr>
  </w:style>
  <w:style w:type="paragraph" w:styleId="ListParagraph">
    <w:name w:val="List Paragraph"/>
    <w:basedOn w:val="Normal"/>
    <w:uiPriority w:val="34"/>
    <w:qFormat/>
    <w:rsid w:val="00A71140"/>
    <w:pPr>
      <w:ind w:left="720"/>
      <w:contextualSpacing/>
    </w:pPr>
  </w:style>
  <w:style w:type="paragraph" w:styleId="Header">
    <w:name w:val="header"/>
    <w:basedOn w:val="Normal"/>
    <w:link w:val="HeaderChar"/>
    <w:uiPriority w:val="99"/>
    <w:unhideWhenUsed/>
    <w:rsid w:val="0012016D"/>
    <w:pPr>
      <w:tabs>
        <w:tab w:val="center" w:pos="4680"/>
        <w:tab w:val="right" w:pos="9360"/>
      </w:tabs>
    </w:pPr>
  </w:style>
  <w:style w:type="character" w:customStyle="1" w:styleId="HeaderChar">
    <w:name w:val="Header Char"/>
    <w:basedOn w:val="DefaultParagraphFont"/>
    <w:link w:val="Header"/>
    <w:uiPriority w:val="99"/>
    <w:rsid w:val="0012016D"/>
    <w:rPr>
      <w:rFonts w:eastAsiaTheme="minorEastAsia"/>
      <w:sz w:val="24"/>
      <w:szCs w:val="24"/>
    </w:rPr>
  </w:style>
  <w:style w:type="paragraph" w:styleId="Footer">
    <w:name w:val="footer"/>
    <w:basedOn w:val="Normal"/>
    <w:link w:val="FooterChar"/>
    <w:uiPriority w:val="99"/>
    <w:unhideWhenUsed/>
    <w:rsid w:val="0012016D"/>
    <w:pPr>
      <w:tabs>
        <w:tab w:val="center" w:pos="4680"/>
        <w:tab w:val="right" w:pos="9360"/>
      </w:tabs>
    </w:pPr>
  </w:style>
  <w:style w:type="character" w:customStyle="1" w:styleId="FooterChar">
    <w:name w:val="Footer Char"/>
    <w:basedOn w:val="DefaultParagraphFont"/>
    <w:link w:val="Footer"/>
    <w:uiPriority w:val="99"/>
    <w:rsid w:val="0012016D"/>
    <w:rPr>
      <w:rFonts w:eastAsiaTheme="minorEastAsia"/>
      <w:sz w:val="24"/>
      <w:szCs w:val="24"/>
    </w:rPr>
  </w:style>
  <w:style w:type="paragraph" w:customStyle="1" w:styleId="Normal0">
    <w:name w:val="Normal_0"/>
    <w:qFormat/>
    <w:rsid w:val="00FD7E2A"/>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3746"/>
    <w:rPr>
      <w:rFonts w:ascii="Tahoma" w:hAnsi="Tahoma" w:cs="Tahoma"/>
      <w:sz w:val="16"/>
      <w:szCs w:val="16"/>
    </w:rPr>
  </w:style>
  <w:style w:type="character" w:customStyle="1" w:styleId="BalloonTextChar">
    <w:name w:val="Balloon Text Char"/>
    <w:basedOn w:val="DefaultParagraphFont"/>
    <w:link w:val="BalloonText"/>
    <w:uiPriority w:val="99"/>
    <w:semiHidden/>
    <w:rsid w:val="005F3746"/>
    <w:rPr>
      <w:rFonts w:ascii="Tahoma" w:eastAsiaTheme="minorEastAsia" w:hAnsi="Tahoma" w:cs="Tahoma"/>
      <w:sz w:val="16"/>
      <w:szCs w:val="16"/>
    </w:rPr>
  </w:style>
  <w:style w:type="character" w:styleId="Hyperlink">
    <w:name w:val="Hyperlink"/>
    <w:basedOn w:val="DefaultParagraphFont"/>
    <w:uiPriority w:val="99"/>
    <w:unhideWhenUsed/>
    <w:rsid w:val="00C41BD0"/>
    <w:rPr>
      <w:color w:val="0000FF" w:themeColor="hyperlink"/>
      <w:u w:val="single"/>
    </w:rPr>
  </w:style>
  <w:style w:type="paragraph" w:styleId="NormalWeb">
    <w:name w:val="Normal (Web)"/>
    <w:basedOn w:val="Normal"/>
    <w:uiPriority w:val="99"/>
    <w:semiHidden/>
    <w:unhideWhenUsed/>
    <w:rsid w:val="007E287C"/>
    <w:pPr>
      <w:spacing w:before="100" w:beforeAutospacing="1" w:after="100" w:afterAutospacing="1"/>
    </w:pPr>
    <w:rPr>
      <w:rFonts w:ascii="Times New Roman" w:eastAsia="Times New Roman" w:hAnsi="Times New Roman" w:cs="Times New Roman"/>
    </w:rPr>
  </w:style>
  <w:style w:type="paragraph" w:customStyle="1" w:styleId="thirdlevel">
    <w:name w:val="thirdlevel"/>
    <w:basedOn w:val="Normal"/>
    <w:rsid w:val="00CA6980"/>
    <w:pPr>
      <w:spacing w:before="100" w:beforeAutospacing="1" w:after="100" w:afterAutospacing="1"/>
    </w:pPr>
    <w:rPr>
      <w:rFonts w:ascii="Times New Roman" w:eastAsia="Times New Roman" w:hAnsi="Times New Roman" w:cs="Times New Roman"/>
    </w:rPr>
  </w:style>
  <w:style w:type="paragraph" w:customStyle="1" w:styleId="fourthlevel">
    <w:name w:val="fourthlevel"/>
    <w:basedOn w:val="Normal"/>
    <w:rsid w:val="00CA6980"/>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B6990"/>
    <w:rPr>
      <w:sz w:val="16"/>
      <w:szCs w:val="16"/>
    </w:rPr>
  </w:style>
  <w:style w:type="paragraph" w:styleId="CommentText">
    <w:name w:val="annotation text"/>
    <w:basedOn w:val="Normal"/>
    <w:link w:val="CommentTextChar"/>
    <w:uiPriority w:val="99"/>
    <w:semiHidden/>
    <w:unhideWhenUsed/>
    <w:rsid w:val="005B6990"/>
    <w:rPr>
      <w:sz w:val="20"/>
      <w:szCs w:val="20"/>
    </w:rPr>
  </w:style>
  <w:style w:type="character" w:customStyle="1" w:styleId="CommentTextChar">
    <w:name w:val="Comment Text Char"/>
    <w:basedOn w:val="DefaultParagraphFont"/>
    <w:link w:val="CommentText"/>
    <w:uiPriority w:val="99"/>
    <w:semiHidden/>
    <w:rsid w:val="005B6990"/>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B6990"/>
    <w:rPr>
      <w:b/>
      <w:bCs/>
    </w:rPr>
  </w:style>
  <w:style w:type="character" w:customStyle="1" w:styleId="CommentSubjectChar">
    <w:name w:val="Comment Subject Char"/>
    <w:basedOn w:val="CommentTextChar"/>
    <w:link w:val="CommentSubject"/>
    <w:uiPriority w:val="99"/>
    <w:semiHidden/>
    <w:rsid w:val="005B6990"/>
    <w:rPr>
      <w:rFonts w:eastAsiaTheme="minorEastAsia"/>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042"/>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67042"/>
    <w:pPr>
      <w:spacing w:after="240" w:line="360" w:lineRule="auto"/>
      <w:ind w:firstLine="720"/>
    </w:pPr>
    <w:rPr>
      <w:rFonts w:ascii="Times New Roman" w:eastAsia="Arial" w:hAnsi="Times New Roman" w:cs="Arial"/>
      <w:color w:val="000000"/>
      <w:sz w:val="24"/>
      <w:szCs w:val="24"/>
      <w:lang w:eastAsia="ja-JP"/>
    </w:rPr>
  </w:style>
  <w:style w:type="table" w:styleId="TableGrid">
    <w:name w:val="Table Grid"/>
    <w:basedOn w:val="TableNormal"/>
    <w:uiPriority w:val="59"/>
    <w:rsid w:val="00C67042"/>
    <w:pPr>
      <w:spacing w:after="0" w:line="240" w:lineRule="auto"/>
    </w:pPr>
    <w:rPr>
      <w:rFonts w:eastAsiaTheme="minorEastAs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C67042"/>
  </w:style>
  <w:style w:type="character" w:customStyle="1" w:styleId="FootnoteTextChar">
    <w:name w:val="Footnote Text Char"/>
    <w:basedOn w:val="DefaultParagraphFont"/>
    <w:link w:val="FootnoteText"/>
    <w:uiPriority w:val="99"/>
    <w:rsid w:val="00C67042"/>
    <w:rPr>
      <w:rFonts w:eastAsiaTheme="minorEastAsia"/>
      <w:sz w:val="24"/>
      <w:szCs w:val="24"/>
    </w:rPr>
  </w:style>
  <w:style w:type="character" w:styleId="FootnoteReference">
    <w:name w:val="footnote reference"/>
    <w:basedOn w:val="DefaultParagraphFont"/>
    <w:uiPriority w:val="99"/>
    <w:unhideWhenUsed/>
    <w:rsid w:val="00C67042"/>
    <w:rPr>
      <w:vertAlign w:val="superscript"/>
    </w:rPr>
  </w:style>
  <w:style w:type="paragraph" w:styleId="ListParagraph">
    <w:name w:val="List Paragraph"/>
    <w:basedOn w:val="Normal"/>
    <w:uiPriority w:val="34"/>
    <w:qFormat/>
    <w:rsid w:val="00A71140"/>
    <w:pPr>
      <w:ind w:left="720"/>
      <w:contextualSpacing/>
    </w:pPr>
  </w:style>
  <w:style w:type="paragraph" w:styleId="Header">
    <w:name w:val="header"/>
    <w:basedOn w:val="Normal"/>
    <w:link w:val="HeaderChar"/>
    <w:uiPriority w:val="99"/>
    <w:unhideWhenUsed/>
    <w:rsid w:val="0012016D"/>
    <w:pPr>
      <w:tabs>
        <w:tab w:val="center" w:pos="4680"/>
        <w:tab w:val="right" w:pos="9360"/>
      </w:tabs>
    </w:pPr>
  </w:style>
  <w:style w:type="character" w:customStyle="1" w:styleId="HeaderChar">
    <w:name w:val="Header Char"/>
    <w:basedOn w:val="DefaultParagraphFont"/>
    <w:link w:val="Header"/>
    <w:uiPriority w:val="99"/>
    <w:rsid w:val="0012016D"/>
    <w:rPr>
      <w:rFonts w:eastAsiaTheme="minorEastAsia"/>
      <w:sz w:val="24"/>
      <w:szCs w:val="24"/>
    </w:rPr>
  </w:style>
  <w:style w:type="paragraph" w:styleId="Footer">
    <w:name w:val="footer"/>
    <w:basedOn w:val="Normal"/>
    <w:link w:val="FooterChar"/>
    <w:uiPriority w:val="99"/>
    <w:unhideWhenUsed/>
    <w:rsid w:val="0012016D"/>
    <w:pPr>
      <w:tabs>
        <w:tab w:val="center" w:pos="4680"/>
        <w:tab w:val="right" w:pos="9360"/>
      </w:tabs>
    </w:pPr>
  </w:style>
  <w:style w:type="character" w:customStyle="1" w:styleId="FooterChar">
    <w:name w:val="Footer Char"/>
    <w:basedOn w:val="DefaultParagraphFont"/>
    <w:link w:val="Footer"/>
    <w:uiPriority w:val="99"/>
    <w:rsid w:val="0012016D"/>
    <w:rPr>
      <w:rFonts w:eastAsiaTheme="minorEastAsia"/>
      <w:sz w:val="24"/>
      <w:szCs w:val="24"/>
    </w:rPr>
  </w:style>
  <w:style w:type="paragraph" w:customStyle="1" w:styleId="Normal0">
    <w:name w:val="Normal_0"/>
    <w:qFormat/>
    <w:rsid w:val="00FD7E2A"/>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3746"/>
    <w:rPr>
      <w:rFonts w:ascii="Tahoma" w:hAnsi="Tahoma" w:cs="Tahoma"/>
      <w:sz w:val="16"/>
      <w:szCs w:val="16"/>
    </w:rPr>
  </w:style>
  <w:style w:type="character" w:customStyle="1" w:styleId="BalloonTextChar">
    <w:name w:val="Balloon Text Char"/>
    <w:basedOn w:val="DefaultParagraphFont"/>
    <w:link w:val="BalloonText"/>
    <w:uiPriority w:val="99"/>
    <w:semiHidden/>
    <w:rsid w:val="005F3746"/>
    <w:rPr>
      <w:rFonts w:ascii="Tahoma" w:eastAsiaTheme="minorEastAsia" w:hAnsi="Tahoma" w:cs="Tahoma"/>
      <w:sz w:val="16"/>
      <w:szCs w:val="16"/>
    </w:rPr>
  </w:style>
  <w:style w:type="character" w:styleId="Hyperlink">
    <w:name w:val="Hyperlink"/>
    <w:basedOn w:val="DefaultParagraphFont"/>
    <w:uiPriority w:val="99"/>
    <w:unhideWhenUsed/>
    <w:rsid w:val="00C41BD0"/>
    <w:rPr>
      <w:color w:val="0000FF" w:themeColor="hyperlink"/>
      <w:u w:val="single"/>
    </w:rPr>
  </w:style>
  <w:style w:type="paragraph" w:styleId="NormalWeb">
    <w:name w:val="Normal (Web)"/>
    <w:basedOn w:val="Normal"/>
    <w:uiPriority w:val="99"/>
    <w:semiHidden/>
    <w:unhideWhenUsed/>
    <w:rsid w:val="007E287C"/>
    <w:pPr>
      <w:spacing w:before="100" w:beforeAutospacing="1" w:after="100" w:afterAutospacing="1"/>
    </w:pPr>
    <w:rPr>
      <w:rFonts w:ascii="Times New Roman" w:eastAsia="Times New Roman" w:hAnsi="Times New Roman" w:cs="Times New Roman"/>
    </w:rPr>
  </w:style>
  <w:style w:type="paragraph" w:customStyle="1" w:styleId="thirdlevel">
    <w:name w:val="thirdlevel"/>
    <w:basedOn w:val="Normal"/>
    <w:rsid w:val="00CA6980"/>
    <w:pPr>
      <w:spacing w:before="100" w:beforeAutospacing="1" w:after="100" w:afterAutospacing="1"/>
    </w:pPr>
    <w:rPr>
      <w:rFonts w:ascii="Times New Roman" w:eastAsia="Times New Roman" w:hAnsi="Times New Roman" w:cs="Times New Roman"/>
    </w:rPr>
  </w:style>
  <w:style w:type="paragraph" w:customStyle="1" w:styleId="fourthlevel">
    <w:name w:val="fourthlevel"/>
    <w:basedOn w:val="Normal"/>
    <w:rsid w:val="00CA6980"/>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B6990"/>
    <w:rPr>
      <w:sz w:val="16"/>
      <w:szCs w:val="16"/>
    </w:rPr>
  </w:style>
  <w:style w:type="paragraph" w:styleId="CommentText">
    <w:name w:val="annotation text"/>
    <w:basedOn w:val="Normal"/>
    <w:link w:val="CommentTextChar"/>
    <w:uiPriority w:val="99"/>
    <w:semiHidden/>
    <w:unhideWhenUsed/>
    <w:rsid w:val="005B6990"/>
    <w:rPr>
      <w:sz w:val="20"/>
      <w:szCs w:val="20"/>
    </w:rPr>
  </w:style>
  <w:style w:type="character" w:customStyle="1" w:styleId="CommentTextChar">
    <w:name w:val="Comment Text Char"/>
    <w:basedOn w:val="DefaultParagraphFont"/>
    <w:link w:val="CommentText"/>
    <w:uiPriority w:val="99"/>
    <w:semiHidden/>
    <w:rsid w:val="005B6990"/>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B6990"/>
    <w:rPr>
      <w:b/>
      <w:bCs/>
    </w:rPr>
  </w:style>
  <w:style w:type="character" w:customStyle="1" w:styleId="CommentSubjectChar">
    <w:name w:val="Comment Subject Char"/>
    <w:basedOn w:val="CommentTextChar"/>
    <w:link w:val="CommentSubject"/>
    <w:uiPriority w:val="99"/>
    <w:semiHidden/>
    <w:rsid w:val="005B6990"/>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21655">
      <w:bodyDiv w:val="1"/>
      <w:marLeft w:val="0"/>
      <w:marRight w:val="0"/>
      <w:marTop w:val="0"/>
      <w:marBottom w:val="0"/>
      <w:divBdr>
        <w:top w:val="none" w:sz="0" w:space="0" w:color="auto"/>
        <w:left w:val="none" w:sz="0" w:space="0" w:color="auto"/>
        <w:bottom w:val="none" w:sz="0" w:space="0" w:color="auto"/>
        <w:right w:val="none" w:sz="0" w:space="0" w:color="auto"/>
      </w:divBdr>
    </w:div>
    <w:div w:id="192115452">
      <w:bodyDiv w:val="1"/>
      <w:marLeft w:val="0"/>
      <w:marRight w:val="0"/>
      <w:marTop w:val="0"/>
      <w:marBottom w:val="0"/>
      <w:divBdr>
        <w:top w:val="none" w:sz="0" w:space="0" w:color="auto"/>
        <w:left w:val="none" w:sz="0" w:space="0" w:color="auto"/>
        <w:bottom w:val="none" w:sz="0" w:space="0" w:color="auto"/>
        <w:right w:val="none" w:sz="0" w:space="0" w:color="auto"/>
      </w:divBdr>
    </w:div>
    <w:div w:id="343945474">
      <w:bodyDiv w:val="1"/>
      <w:marLeft w:val="0"/>
      <w:marRight w:val="0"/>
      <w:marTop w:val="0"/>
      <w:marBottom w:val="0"/>
      <w:divBdr>
        <w:top w:val="none" w:sz="0" w:space="0" w:color="auto"/>
        <w:left w:val="none" w:sz="0" w:space="0" w:color="auto"/>
        <w:bottom w:val="none" w:sz="0" w:space="0" w:color="auto"/>
        <w:right w:val="none" w:sz="0" w:space="0" w:color="auto"/>
      </w:divBdr>
    </w:div>
    <w:div w:id="822503310">
      <w:bodyDiv w:val="1"/>
      <w:marLeft w:val="0"/>
      <w:marRight w:val="0"/>
      <w:marTop w:val="0"/>
      <w:marBottom w:val="0"/>
      <w:divBdr>
        <w:top w:val="none" w:sz="0" w:space="0" w:color="auto"/>
        <w:left w:val="none" w:sz="0" w:space="0" w:color="auto"/>
        <w:bottom w:val="none" w:sz="0" w:space="0" w:color="auto"/>
        <w:right w:val="none" w:sz="0" w:space="0" w:color="auto"/>
      </w:divBdr>
    </w:div>
    <w:div w:id="1565943247">
      <w:bodyDiv w:val="1"/>
      <w:marLeft w:val="0"/>
      <w:marRight w:val="0"/>
      <w:marTop w:val="0"/>
      <w:marBottom w:val="0"/>
      <w:divBdr>
        <w:top w:val="none" w:sz="0" w:space="0" w:color="auto"/>
        <w:left w:val="none" w:sz="0" w:space="0" w:color="auto"/>
        <w:bottom w:val="none" w:sz="0" w:space="0" w:color="auto"/>
        <w:right w:val="none" w:sz="0" w:space="0" w:color="auto"/>
      </w:divBdr>
    </w:div>
    <w:div w:id="1632592605">
      <w:bodyDiv w:val="1"/>
      <w:marLeft w:val="0"/>
      <w:marRight w:val="0"/>
      <w:marTop w:val="0"/>
      <w:marBottom w:val="0"/>
      <w:divBdr>
        <w:top w:val="none" w:sz="0" w:space="0" w:color="auto"/>
        <w:left w:val="none" w:sz="0" w:space="0" w:color="auto"/>
        <w:bottom w:val="none" w:sz="0" w:space="0" w:color="auto"/>
        <w:right w:val="none" w:sz="0" w:space="0" w:color="auto"/>
      </w:divBdr>
    </w:div>
    <w:div w:id="1766883164">
      <w:bodyDiv w:val="1"/>
      <w:marLeft w:val="0"/>
      <w:marRight w:val="0"/>
      <w:marTop w:val="0"/>
      <w:marBottom w:val="0"/>
      <w:divBdr>
        <w:top w:val="none" w:sz="0" w:space="0" w:color="auto"/>
        <w:left w:val="none" w:sz="0" w:space="0" w:color="auto"/>
        <w:bottom w:val="none" w:sz="0" w:space="0" w:color="auto"/>
        <w:right w:val="none" w:sz="0" w:space="0" w:color="auto"/>
      </w:divBdr>
      <w:divsChild>
        <w:div w:id="1217161337">
          <w:marLeft w:val="0"/>
          <w:marRight w:val="0"/>
          <w:marTop w:val="0"/>
          <w:marBottom w:val="0"/>
          <w:divBdr>
            <w:top w:val="none" w:sz="0" w:space="0" w:color="auto"/>
            <w:left w:val="none" w:sz="0" w:space="0" w:color="auto"/>
            <w:bottom w:val="none" w:sz="0" w:space="0" w:color="auto"/>
            <w:right w:val="none" w:sz="0" w:space="0" w:color="auto"/>
          </w:divBdr>
        </w:div>
        <w:div w:id="55209755">
          <w:marLeft w:val="0"/>
          <w:marRight w:val="0"/>
          <w:marTop w:val="0"/>
          <w:marBottom w:val="0"/>
          <w:divBdr>
            <w:top w:val="none" w:sz="0" w:space="0" w:color="auto"/>
            <w:left w:val="none" w:sz="0" w:space="0" w:color="auto"/>
            <w:bottom w:val="none" w:sz="0" w:space="0" w:color="auto"/>
            <w:right w:val="none" w:sz="0" w:space="0" w:color="auto"/>
          </w:divBdr>
        </w:div>
        <w:div w:id="352846019">
          <w:marLeft w:val="0"/>
          <w:marRight w:val="0"/>
          <w:marTop w:val="0"/>
          <w:marBottom w:val="0"/>
          <w:divBdr>
            <w:top w:val="none" w:sz="0" w:space="0" w:color="auto"/>
            <w:left w:val="none" w:sz="0" w:space="0" w:color="auto"/>
            <w:bottom w:val="none" w:sz="0" w:space="0" w:color="auto"/>
            <w:right w:val="none" w:sz="0" w:space="0" w:color="auto"/>
          </w:divBdr>
        </w:div>
        <w:div w:id="1409693172">
          <w:marLeft w:val="0"/>
          <w:marRight w:val="0"/>
          <w:marTop w:val="0"/>
          <w:marBottom w:val="0"/>
          <w:divBdr>
            <w:top w:val="none" w:sz="0" w:space="0" w:color="auto"/>
            <w:left w:val="none" w:sz="0" w:space="0" w:color="auto"/>
            <w:bottom w:val="none" w:sz="0" w:space="0" w:color="auto"/>
            <w:right w:val="none" w:sz="0" w:space="0" w:color="auto"/>
          </w:divBdr>
        </w:div>
        <w:div w:id="1895507602">
          <w:marLeft w:val="0"/>
          <w:marRight w:val="0"/>
          <w:marTop w:val="0"/>
          <w:marBottom w:val="0"/>
          <w:divBdr>
            <w:top w:val="none" w:sz="0" w:space="0" w:color="auto"/>
            <w:left w:val="none" w:sz="0" w:space="0" w:color="auto"/>
            <w:bottom w:val="none" w:sz="0" w:space="0" w:color="auto"/>
            <w:right w:val="none" w:sz="0" w:space="0" w:color="auto"/>
          </w:divBdr>
        </w:div>
        <w:div w:id="1027684019">
          <w:marLeft w:val="0"/>
          <w:marRight w:val="0"/>
          <w:marTop w:val="0"/>
          <w:marBottom w:val="0"/>
          <w:divBdr>
            <w:top w:val="none" w:sz="0" w:space="0" w:color="auto"/>
            <w:left w:val="none" w:sz="0" w:space="0" w:color="auto"/>
            <w:bottom w:val="none" w:sz="0" w:space="0" w:color="auto"/>
            <w:right w:val="none" w:sz="0" w:space="0" w:color="auto"/>
          </w:divBdr>
        </w:div>
        <w:div w:id="426191610">
          <w:marLeft w:val="0"/>
          <w:marRight w:val="0"/>
          <w:marTop w:val="0"/>
          <w:marBottom w:val="0"/>
          <w:divBdr>
            <w:top w:val="none" w:sz="0" w:space="0" w:color="auto"/>
            <w:left w:val="none" w:sz="0" w:space="0" w:color="auto"/>
            <w:bottom w:val="none" w:sz="0" w:space="0" w:color="auto"/>
            <w:right w:val="none" w:sz="0" w:space="0" w:color="auto"/>
          </w:divBdr>
        </w:div>
        <w:div w:id="1391071944">
          <w:marLeft w:val="0"/>
          <w:marRight w:val="0"/>
          <w:marTop w:val="0"/>
          <w:marBottom w:val="0"/>
          <w:divBdr>
            <w:top w:val="none" w:sz="0" w:space="0" w:color="auto"/>
            <w:left w:val="none" w:sz="0" w:space="0" w:color="auto"/>
            <w:bottom w:val="none" w:sz="0" w:space="0" w:color="auto"/>
            <w:right w:val="none" w:sz="0" w:space="0" w:color="auto"/>
          </w:divBdr>
        </w:div>
        <w:div w:id="2124225927">
          <w:marLeft w:val="0"/>
          <w:marRight w:val="0"/>
          <w:marTop w:val="0"/>
          <w:marBottom w:val="0"/>
          <w:divBdr>
            <w:top w:val="none" w:sz="0" w:space="0" w:color="auto"/>
            <w:left w:val="none" w:sz="0" w:space="0" w:color="auto"/>
            <w:bottom w:val="none" w:sz="0" w:space="0" w:color="auto"/>
            <w:right w:val="none" w:sz="0" w:space="0" w:color="auto"/>
          </w:divBdr>
        </w:div>
        <w:div w:id="1518957942">
          <w:marLeft w:val="0"/>
          <w:marRight w:val="0"/>
          <w:marTop w:val="0"/>
          <w:marBottom w:val="0"/>
          <w:divBdr>
            <w:top w:val="none" w:sz="0" w:space="0" w:color="auto"/>
            <w:left w:val="none" w:sz="0" w:space="0" w:color="auto"/>
            <w:bottom w:val="none" w:sz="0" w:space="0" w:color="auto"/>
            <w:right w:val="none" w:sz="0" w:space="0" w:color="auto"/>
          </w:divBdr>
        </w:div>
        <w:div w:id="1823698730">
          <w:marLeft w:val="0"/>
          <w:marRight w:val="0"/>
          <w:marTop w:val="0"/>
          <w:marBottom w:val="0"/>
          <w:divBdr>
            <w:top w:val="none" w:sz="0" w:space="0" w:color="auto"/>
            <w:left w:val="none" w:sz="0" w:space="0" w:color="auto"/>
            <w:bottom w:val="none" w:sz="0" w:space="0" w:color="auto"/>
            <w:right w:val="none" w:sz="0" w:space="0" w:color="auto"/>
          </w:divBdr>
        </w:div>
        <w:div w:id="1185050366">
          <w:marLeft w:val="0"/>
          <w:marRight w:val="0"/>
          <w:marTop w:val="0"/>
          <w:marBottom w:val="0"/>
          <w:divBdr>
            <w:top w:val="none" w:sz="0" w:space="0" w:color="auto"/>
            <w:left w:val="none" w:sz="0" w:space="0" w:color="auto"/>
            <w:bottom w:val="none" w:sz="0" w:space="0" w:color="auto"/>
            <w:right w:val="none" w:sz="0" w:space="0" w:color="auto"/>
          </w:divBdr>
        </w:div>
        <w:div w:id="619803415">
          <w:marLeft w:val="0"/>
          <w:marRight w:val="0"/>
          <w:marTop w:val="0"/>
          <w:marBottom w:val="0"/>
          <w:divBdr>
            <w:top w:val="none" w:sz="0" w:space="0" w:color="auto"/>
            <w:left w:val="none" w:sz="0" w:space="0" w:color="auto"/>
            <w:bottom w:val="none" w:sz="0" w:space="0" w:color="auto"/>
            <w:right w:val="none" w:sz="0" w:space="0" w:color="auto"/>
          </w:divBdr>
        </w:div>
        <w:div w:id="1406144623">
          <w:marLeft w:val="0"/>
          <w:marRight w:val="0"/>
          <w:marTop w:val="0"/>
          <w:marBottom w:val="0"/>
          <w:divBdr>
            <w:top w:val="none" w:sz="0" w:space="0" w:color="auto"/>
            <w:left w:val="none" w:sz="0" w:space="0" w:color="auto"/>
            <w:bottom w:val="none" w:sz="0" w:space="0" w:color="auto"/>
            <w:right w:val="none" w:sz="0" w:space="0" w:color="auto"/>
          </w:divBdr>
        </w:div>
        <w:div w:id="2064913082">
          <w:marLeft w:val="0"/>
          <w:marRight w:val="0"/>
          <w:marTop w:val="0"/>
          <w:marBottom w:val="0"/>
          <w:divBdr>
            <w:top w:val="none" w:sz="0" w:space="0" w:color="auto"/>
            <w:left w:val="none" w:sz="0" w:space="0" w:color="auto"/>
            <w:bottom w:val="none" w:sz="0" w:space="0" w:color="auto"/>
            <w:right w:val="none" w:sz="0" w:space="0" w:color="auto"/>
          </w:divBdr>
        </w:div>
        <w:div w:id="1901362171">
          <w:marLeft w:val="0"/>
          <w:marRight w:val="0"/>
          <w:marTop w:val="0"/>
          <w:marBottom w:val="0"/>
          <w:divBdr>
            <w:top w:val="none" w:sz="0" w:space="0" w:color="auto"/>
            <w:left w:val="none" w:sz="0" w:space="0" w:color="auto"/>
            <w:bottom w:val="none" w:sz="0" w:space="0" w:color="auto"/>
            <w:right w:val="none" w:sz="0" w:space="0" w:color="auto"/>
          </w:divBdr>
        </w:div>
        <w:div w:id="93258067">
          <w:marLeft w:val="0"/>
          <w:marRight w:val="0"/>
          <w:marTop w:val="0"/>
          <w:marBottom w:val="0"/>
          <w:divBdr>
            <w:top w:val="none" w:sz="0" w:space="0" w:color="auto"/>
            <w:left w:val="none" w:sz="0" w:space="0" w:color="auto"/>
            <w:bottom w:val="none" w:sz="0" w:space="0" w:color="auto"/>
            <w:right w:val="none" w:sz="0" w:space="0" w:color="auto"/>
          </w:divBdr>
        </w:div>
        <w:div w:id="1711033767">
          <w:marLeft w:val="0"/>
          <w:marRight w:val="0"/>
          <w:marTop w:val="0"/>
          <w:marBottom w:val="0"/>
          <w:divBdr>
            <w:top w:val="none" w:sz="0" w:space="0" w:color="auto"/>
            <w:left w:val="none" w:sz="0" w:space="0" w:color="auto"/>
            <w:bottom w:val="none" w:sz="0" w:space="0" w:color="auto"/>
            <w:right w:val="none" w:sz="0" w:space="0" w:color="auto"/>
          </w:divBdr>
        </w:div>
        <w:div w:id="648561781">
          <w:marLeft w:val="0"/>
          <w:marRight w:val="0"/>
          <w:marTop w:val="0"/>
          <w:marBottom w:val="0"/>
          <w:divBdr>
            <w:top w:val="none" w:sz="0" w:space="0" w:color="auto"/>
            <w:left w:val="none" w:sz="0" w:space="0" w:color="auto"/>
            <w:bottom w:val="none" w:sz="0" w:space="0" w:color="auto"/>
            <w:right w:val="none" w:sz="0" w:space="0" w:color="auto"/>
          </w:divBdr>
        </w:div>
        <w:div w:id="1233849251">
          <w:marLeft w:val="0"/>
          <w:marRight w:val="0"/>
          <w:marTop w:val="0"/>
          <w:marBottom w:val="0"/>
          <w:divBdr>
            <w:top w:val="none" w:sz="0" w:space="0" w:color="auto"/>
            <w:left w:val="none" w:sz="0" w:space="0" w:color="auto"/>
            <w:bottom w:val="none" w:sz="0" w:space="0" w:color="auto"/>
            <w:right w:val="none" w:sz="0" w:space="0" w:color="auto"/>
          </w:divBdr>
        </w:div>
      </w:divsChild>
    </w:div>
    <w:div w:id="1771508993">
      <w:bodyDiv w:val="1"/>
      <w:marLeft w:val="0"/>
      <w:marRight w:val="0"/>
      <w:marTop w:val="0"/>
      <w:marBottom w:val="0"/>
      <w:divBdr>
        <w:top w:val="none" w:sz="0" w:space="0" w:color="auto"/>
        <w:left w:val="none" w:sz="0" w:space="0" w:color="auto"/>
        <w:bottom w:val="none" w:sz="0" w:space="0" w:color="auto"/>
        <w:right w:val="none" w:sz="0" w:space="0" w:color="auto"/>
      </w:divBdr>
    </w:div>
    <w:div w:id="187106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tr.gov/trade-agreements/free-trade-agreements/colombia-fta/final-text"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str.gov/trade-agreements/free-trade-agreements/chile-fta/final-text"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ww.wipo.int/treaties/en/text.jsp?file_id=295578" TargetMode="External"/><Relationship Id="rId1" Type="http://schemas.openxmlformats.org/officeDocument/2006/relationships/hyperlink" Target="http://www.wipo.int/treaties/en/text.jsp?file_id=2951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49960B-3C49-42FD-A255-246998946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11</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24047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CLS Users</dc:creator>
  <cp:lastModifiedBy>CLS Users</cp:lastModifiedBy>
  <cp:revision>11</cp:revision>
  <cp:lastPrinted>2016-03-03T21:43:00Z</cp:lastPrinted>
  <dcterms:created xsi:type="dcterms:W3CDTF">2016-03-03T16:48:00Z</dcterms:created>
  <dcterms:modified xsi:type="dcterms:W3CDTF">2016-03-03T22:17:00Z</dcterms:modified>
</cp:coreProperties>
</file>