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751579F" w14:textId="4B376C3F" w:rsidR="00701C94" w:rsidRDefault="00701C94" w:rsidP="00C67042">
      <w:pPr>
        <w:pStyle w:val="Normal1"/>
        <w:spacing w:after="0" w:line="240" w:lineRule="auto"/>
        <w:ind w:firstLine="0"/>
        <w:jc w:val="center"/>
        <w:rPr>
          <w:rFonts w:cs="Times New Roman"/>
          <w:b/>
          <w:bCs/>
          <w:caps/>
        </w:rPr>
      </w:pPr>
      <w:r>
        <w:rPr>
          <w:rFonts w:cs="Times New Roman"/>
          <w:b/>
          <w:bCs/>
          <w:caps/>
        </w:rPr>
        <w:t>Kernochan Center for Law, Media and the Arts</w:t>
      </w:r>
    </w:p>
    <w:p w14:paraId="16DA2E85" w14:textId="2840951D" w:rsidR="00701C94" w:rsidRDefault="00701C94" w:rsidP="00C67042">
      <w:pPr>
        <w:pStyle w:val="Normal1"/>
        <w:spacing w:after="0" w:line="240" w:lineRule="auto"/>
        <w:ind w:firstLine="0"/>
        <w:jc w:val="center"/>
        <w:rPr>
          <w:rFonts w:cs="Times New Roman"/>
          <w:b/>
          <w:bCs/>
          <w:caps/>
        </w:rPr>
      </w:pPr>
      <w:r>
        <w:rPr>
          <w:rFonts w:cs="Times New Roman"/>
          <w:b/>
          <w:bCs/>
          <w:caps/>
        </w:rPr>
        <w:t>Columbia Law School</w:t>
      </w:r>
    </w:p>
    <w:p w14:paraId="769B2741" w14:textId="77777777" w:rsidR="00701C94" w:rsidRDefault="00701C94" w:rsidP="00C67042">
      <w:pPr>
        <w:pStyle w:val="Normal1"/>
        <w:spacing w:after="0" w:line="240" w:lineRule="auto"/>
        <w:ind w:firstLine="0"/>
        <w:jc w:val="center"/>
        <w:rPr>
          <w:rFonts w:cs="Times New Roman"/>
          <w:b/>
          <w:bCs/>
          <w:caps/>
        </w:rPr>
      </w:pPr>
    </w:p>
    <w:p w14:paraId="393DE72B" w14:textId="77777777" w:rsidR="00701C94" w:rsidRDefault="00701C94" w:rsidP="00C67042">
      <w:pPr>
        <w:pStyle w:val="Normal1"/>
        <w:spacing w:after="0" w:line="240" w:lineRule="auto"/>
        <w:ind w:firstLine="0"/>
        <w:jc w:val="center"/>
        <w:rPr>
          <w:rFonts w:cs="Times New Roman"/>
          <w:b/>
          <w:bCs/>
          <w:caps/>
        </w:rPr>
      </w:pPr>
    </w:p>
    <w:p w14:paraId="703B0A4B" w14:textId="77777777" w:rsidR="00C67042" w:rsidRPr="00172580" w:rsidRDefault="00C67042" w:rsidP="00C67042">
      <w:pPr>
        <w:pStyle w:val="Normal1"/>
        <w:spacing w:after="0" w:line="240" w:lineRule="auto"/>
        <w:ind w:firstLine="0"/>
        <w:jc w:val="center"/>
        <w:rPr>
          <w:rFonts w:cs="Times New Roman"/>
          <w:b/>
          <w:bCs/>
          <w:caps/>
        </w:rPr>
      </w:pPr>
      <w:r w:rsidRPr="00172580">
        <w:rPr>
          <w:rFonts w:cs="Times New Roman"/>
          <w:b/>
          <w:bCs/>
          <w:caps/>
        </w:rPr>
        <w:t>Before the</w:t>
      </w:r>
    </w:p>
    <w:p w14:paraId="2406DEC7" w14:textId="77777777" w:rsidR="00C67042" w:rsidRPr="00172580" w:rsidRDefault="00C67042" w:rsidP="00C67042">
      <w:pPr>
        <w:pStyle w:val="Normal1"/>
        <w:spacing w:after="0" w:line="240" w:lineRule="auto"/>
        <w:ind w:firstLine="0"/>
        <w:jc w:val="center"/>
        <w:rPr>
          <w:rFonts w:cs="Times New Roman"/>
          <w:b/>
          <w:bCs/>
          <w:caps/>
        </w:rPr>
      </w:pPr>
      <w:r w:rsidRPr="00172580">
        <w:rPr>
          <w:rFonts w:cs="Times New Roman"/>
          <w:b/>
          <w:bCs/>
          <w:caps/>
        </w:rPr>
        <w:t>U.S. COPYRIGHT OFFICE</w:t>
      </w:r>
    </w:p>
    <w:p w14:paraId="369D31C4" w14:textId="77777777" w:rsidR="00C67042" w:rsidRPr="00172580" w:rsidRDefault="00C67042" w:rsidP="00C67042">
      <w:pPr>
        <w:pStyle w:val="Normal1"/>
        <w:spacing w:line="240" w:lineRule="auto"/>
        <w:ind w:firstLine="0"/>
        <w:rPr>
          <w:rFonts w:cs="Times New Roman"/>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67042" w:rsidRPr="00172580" w14:paraId="13565326" w14:textId="77777777" w:rsidTr="00C67042">
        <w:tc>
          <w:tcPr>
            <w:tcW w:w="4788" w:type="dxa"/>
            <w:tcBorders>
              <w:top w:val="single" w:sz="4" w:space="0" w:color="auto"/>
              <w:left w:val="nil"/>
              <w:bottom w:val="single" w:sz="4" w:space="0" w:color="auto"/>
              <w:right w:val="single" w:sz="4" w:space="0" w:color="auto"/>
            </w:tcBorders>
            <w:vAlign w:val="center"/>
          </w:tcPr>
          <w:p w14:paraId="478AEBE4" w14:textId="77777777" w:rsidR="00C67042" w:rsidRPr="00172580" w:rsidRDefault="00C67042">
            <w:pPr>
              <w:pStyle w:val="Normal1"/>
              <w:spacing w:after="0" w:line="240" w:lineRule="auto"/>
              <w:ind w:firstLine="0"/>
              <w:jc w:val="center"/>
              <w:rPr>
                <w:rFonts w:cs="Times New Roman"/>
                <w:b/>
              </w:rPr>
            </w:pPr>
          </w:p>
          <w:p w14:paraId="378872CE" w14:textId="77777777" w:rsidR="00C67042" w:rsidRPr="00172580" w:rsidRDefault="00C67042">
            <w:pPr>
              <w:pStyle w:val="Normal1"/>
              <w:spacing w:after="0" w:line="240" w:lineRule="auto"/>
              <w:ind w:firstLine="0"/>
              <w:jc w:val="center"/>
              <w:rPr>
                <w:rFonts w:cs="Times New Roman"/>
                <w:b/>
              </w:rPr>
            </w:pPr>
          </w:p>
          <w:p w14:paraId="08A90EAC" w14:textId="77777777" w:rsidR="00C67042" w:rsidRPr="00172580" w:rsidRDefault="00C67042">
            <w:pPr>
              <w:pStyle w:val="Normal1"/>
              <w:spacing w:after="0" w:line="240" w:lineRule="auto"/>
              <w:ind w:firstLine="0"/>
              <w:rPr>
                <w:rFonts w:cs="Times New Roman"/>
                <w:b/>
              </w:rPr>
            </w:pPr>
            <w:r w:rsidRPr="00172580">
              <w:rPr>
                <w:rFonts w:cs="Times New Roman"/>
                <w:b/>
              </w:rPr>
              <w:t>Section 1201 Study</w:t>
            </w:r>
          </w:p>
          <w:p w14:paraId="58A49B0C" w14:textId="77777777" w:rsidR="00C67042" w:rsidRPr="00172580" w:rsidRDefault="00C67042">
            <w:pPr>
              <w:pStyle w:val="Normal1"/>
              <w:spacing w:after="0" w:line="240" w:lineRule="auto"/>
              <w:ind w:firstLine="0"/>
              <w:jc w:val="center"/>
              <w:rPr>
                <w:rFonts w:cs="Times New Roman"/>
                <w:b/>
              </w:rPr>
            </w:pPr>
          </w:p>
          <w:p w14:paraId="3DDD0EE6" w14:textId="77777777" w:rsidR="00C67042" w:rsidRPr="00172580" w:rsidRDefault="00C67042">
            <w:pPr>
              <w:pStyle w:val="Normal1"/>
              <w:spacing w:after="0" w:line="240" w:lineRule="auto"/>
              <w:ind w:firstLine="0"/>
              <w:jc w:val="center"/>
              <w:rPr>
                <w:rFonts w:cs="Times New Roman"/>
                <w:b/>
              </w:rPr>
            </w:pPr>
          </w:p>
        </w:tc>
        <w:tc>
          <w:tcPr>
            <w:tcW w:w="4788" w:type="dxa"/>
            <w:tcBorders>
              <w:top w:val="nil"/>
              <w:left w:val="single" w:sz="4" w:space="0" w:color="auto"/>
              <w:bottom w:val="nil"/>
              <w:right w:val="nil"/>
            </w:tcBorders>
            <w:vAlign w:val="center"/>
          </w:tcPr>
          <w:p w14:paraId="64916AD7" w14:textId="77777777" w:rsidR="00C67042" w:rsidRPr="00172580" w:rsidRDefault="00C67042">
            <w:pPr>
              <w:pStyle w:val="Normal1"/>
              <w:spacing w:after="0" w:line="240" w:lineRule="auto"/>
              <w:ind w:firstLine="0"/>
              <w:jc w:val="center"/>
              <w:rPr>
                <w:rFonts w:cs="Times New Roman"/>
                <w:b/>
              </w:rPr>
            </w:pPr>
            <w:r w:rsidRPr="00172580">
              <w:rPr>
                <w:rFonts w:cs="Times New Roman"/>
                <w:b/>
              </w:rPr>
              <w:t>Docket No. 2015-8</w:t>
            </w:r>
          </w:p>
          <w:p w14:paraId="39BC996A" w14:textId="77777777" w:rsidR="00C67042" w:rsidRPr="00172580" w:rsidRDefault="00C67042">
            <w:pPr>
              <w:pStyle w:val="Normal1"/>
              <w:spacing w:after="0" w:line="240" w:lineRule="auto"/>
              <w:ind w:firstLine="0"/>
              <w:jc w:val="center"/>
              <w:rPr>
                <w:rFonts w:cs="Times New Roman"/>
                <w:b/>
              </w:rPr>
            </w:pPr>
          </w:p>
        </w:tc>
      </w:tr>
    </w:tbl>
    <w:p w14:paraId="71C091E6" w14:textId="77777777" w:rsidR="00C67042" w:rsidRPr="00172580" w:rsidRDefault="00C67042" w:rsidP="00C67042">
      <w:pPr>
        <w:rPr>
          <w:rFonts w:ascii="Times New Roman" w:hAnsi="Times New Roman" w:cs="Times New Roman"/>
        </w:rPr>
      </w:pPr>
    </w:p>
    <w:p w14:paraId="03AA0E22" w14:textId="3C2A9F81" w:rsidR="00C67042" w:rsidRPr="00172580" w:rsidRDefault="008B0116" w:rsidP="00C67042">
      <w:pPr>
        <w:spacing w:after="120"/>
        <w:jc w:val="center"/>
        <w:outlineLvl w:val="0"/>
        <w:rPr>
          <w:rFonts w:ascii="Times New Roman" w:hAnsi="Times New Roman" w:cs="Times New Roman"/>
          <w:b/>
          <w:u w:val="single"/>
        </w:rPr>
      </w:pPr>
      <w:r>
        <w:rPr>
          <w:rFonts w:ascii="Times New Roman" w:hAnsi="Times New Roman" w:cs="Times New Roman"/>
          <w:b/>
          <w:u w:val="single"/>
        </w:rPr>
        <w:t xml:space="preserve">Reply </w:t>
      </w:r>
      <w:r w:rsidR="00C67042" w:rsidRPr="00172580">
        <w:rPr>
          <w:rFonts w:ascii="Times New Roman" w:hAnsi="Times New Roman" w:cs="Times New Roman"/>
          <w:b/>
          <w:u w:val="single"/>
        </w:rPr>
        <w:t>Comments of the Kernochan Center for Law, Media and the Arts</w:t>
      </w:r>
    </w:p>
    <w:p w14:paraId="2DECDF48" w14:textId="77777777" w:rsidR="00C67042" w:rsidRPr="00172580" w:rsidRDefault="00C67042" w:rsidP="00C67042">
      <w:pPr>
        <w:spacing w:after="120"/>
        <w:jc w:val="center"/>
        <w:outlineLvl w:val="0"/>
        <w:rPr>
          <w:rFonts w:ascii="Times New Roman" w:hAnsi="Times New Roman" w:cs="Times New Roman"/>
          <w:b/>
          <w:u w:val="single"/>
        </w:rPr>
      </w:pPr>
      <w:r w:rsidRPr="00172580">
        <w:rPr>
          <w:rFonts w:ascii="Times New Roman" w:hAnsi="Times New Roman" w:cs="Times New Roman"/>
          <w:b/>
          <w:u w:val="single"/>
        </w:rPr>
        <w:t>Columbia Law School</w:t>
      </w:r>
    </w:p>
    <w:p w14:paraId="733E9815" w14:textId="77777777" w:rsidR="00C67042" w:rsidRPr="005926EB" w:rsidRDefault="00C67042" w:rsidP="00A554CB">
      <w:pPr>
        <w:spacing w:after="240" w:line="276" w:lineRule="auto"/>
        <w:rPr>
          <w:rFonts w:ascii="Times New Roman" w:hAnsi="Times New Roman" w:cs="Times New Roman"/>
          <w:b/>
        </w:rPr>
      </w:pPr>
      <w:r w:rsidRPr="005926EB">
        <w:rPr>
          <w:rFonts w:ascii="Times New Roman" w:hAnsi="Times New Roman" w:cs="Times New Roman"/>
          <w:b/>
        </w:rPr>
        <w:t>Introduction</w:t>
      </w:r>
    </w:p>
    <w:p w14:paraId="435D500B" w14:textId="33FAD781" w:rsidR="00172580" w:rsidRPr="005926EB" w:rsidRDefault="00C67042" w:rsidP="00E011B1">
      <w:pPr>
        <w:widowControl w:val="0"/>
        <w:autoSpaceDE w:val="0"/>
        <w:autoSpaceDN w:val="0"/>
        <w:adjustRightInd w:val="0"/>
        <w:spacing w:line="360" w:lineRule="auto"/>
        <w:ind w:firstLine="720"/>
        <w:rPr>
          <w:rFonts w:ascii="Times New Roman" w:hAnsi="Times New Roman" w:cs="Times New Roman"/>
        </w:rPr>
      </w:pPr>
      <w:r w:rsidRPr="005926EB">
        <w:rPr>
          <w:rFonts w:ascii="Times New Roman" w:hAnsi="Times New Roman" w:cs="Times New Roman"/>
        </w:rPr>
        <w:t xml:space="preserve">The Kernochan Center for Law, Media and the Arts appreciates the opportunity to respond to the </w:t>
      </w:r>
      <w:r w:rsidR="008B0116">
        <w:rPr>
          <w:rFonts w:ascii="Times New Roman" w:hAnsi="Times New Roman" w:cs="Times New Roman"/>
        </w:rPr>
        <w:t>Request for Additional Comments by</w:t>
      </w:r>
      <w:r w:rsidRPr="005926EB">
        <w:rPr>
          <w:rFonts w:ascii="Times New Roman" w:hAnsi="Times New Roman" w:cs="Times New Roman"/>
        </w:rPr>
        <w:t xml:space="preserve"> </w:t>
      </w:r>
      <w:r w:rsidR="008B0116" w:rsidRPr="005926EB">
        <w:rPr>
          <w:rFonts w:ascii="Times New Roman" w:hAnsi="Times New Roman" w:cs="Times New Roman"/>
        </w:rPr>
        <w:t>the US Copyright Office</w:t>
      </w:r>
      <w:r w:rsidR="008B0116" w:rsidRPr="005926EB">
        <w:rPr>
          <w:rFonts w:ascii="Times New Roman" w:hAnsi="Times New Roman" w:cs="Times New Roman"/>
        </w:rPr>
        <w:t xml:space="preserve"> </w:t>
      </w:r>
      <w:r w:rsidRPr="005926EB">
        <w:rPr>
          <w:rFonts w:ascii="Times New Roman" w:hAnsi="Times New Roman" w:cs="Times New Roman"/>
        </w:rPr>
        <w:t xml:space="preserve">concerning </w:t>
      </w:r>
      <w:r w:rsidR="008B0116">
        <w:rPr>
          <w:rFonts w:ascii="Times New Roman" w:hAnsi="Times New Roman" w:cs="Times New Roman"/>
        </w:rPr>
        <w:t xml:space="preserve">its study of Section 1201, </w:t>
      </w:r>
      <w:r w:rsidRPr="005926EB">
        <w:rPr>
          <w:rFonts w:ascii="Times New Roman" w:hAnsi="Times New Roman" w:cs="Times New Roman"/>
        </w:rPr>
        <w:t>8</w:t>
      </w:r>
      <w:r w:rsidR="00F14372" w:rsidRPr="005926EB">
        <w:rPr>
          <w:rFonts w:ascii="Times New Roman" w:hAnsi="Times New Roman" w:cs="Times New Roman"/>
        </w:rPr>
        <w:t>1</w:t>
      </w:r>
      <w:r w:rsidRPr="005926EB">
        <w:rPr>
          <w:rFonts w:ascii="Times New Roman" w:hAnsi="Times New Roman" w:cs="Times New Roman"/>
        </w:rPr>
        <w:t xml:space="preserve"> Fed. Reg. </w:t>
      </w:r>
      <w:r w:rsidR="00F14372" w:rsidRPr="005926EB">
        <w:rPr>
          <w:rFonts w:ascii="Times New Roman" w:hAnsi="Times New Roman" w:cs="Times New Roman"/>
        </w:rPr>
        <w:t>66,296</w:t>
      </w:r>
      <w:r w:rsidRPr="005926EB">
        <w:rPr>
          <w:rFonts w:ascii="Times New Roman" w:hAnsi="Times New Roman" w:cs="Times New Roman"/>
        </w:rPr>
        <w:t xml:space="preserve"> (</w:t>
      </w:r>
      <w:r w:rsidR="00F14372" w:rsidRPr="005926EB">
        <w:rPr>
          <w:rFonts w:ascii="Times New Roman" w:hAnsi="Times New Roman" w:cs="Times New Roman"/>
        </w:rPr>
        <w:t>Sept. 27, 2016)</w:t>
      </w:r>
      <w:r w:rsidRPr="005926EB">
        <w:rPr>
          <w:rFonts w:ascii="Times New Roman" w:hAnsi="Times New Roman" w:cs="Times New Roman"/>
        </w:rPr>
        <w:t xml:space="preserve">.  </w:t>
      </w:r>
    </w:p>
    <w:p w14:paraId="6DD49DEB" w14:textId="77777777" w:rsidR="00172580" w:rsidRPr="00172580" w:rsidRDefault="00172580" w:rsidP="00E011B1">
      <w:pPr>
        <w:widowControl w:val="0"/>
        <w:autoSpaceDE w:val="0"/>
        <w:autoSpaceDN w:val="0"/>
        <w:adjustRightInd w:val="0"/>
        <w:spacing w:line="360" w:lineRule="auto"/>
        <w:ind w:firstLine="720"/>
        <w:rPr>
          <w:rFonts w:ascii="Times New Roman" w:hAnsi="Times New Roman" w:cs="Times New Roman"/>
        </w:rPr>
      </w:pPr>
      <w:r w:rsidRPr="005926EB">
        <w:rPr>
          <w:rFonts w:ascii="Times New Roman" w:hAnsi="Times New Roman" w:cs="Times New Roman"/>
        </w:rPr>
        <w:t>The Kernochan Center for Law, Media, and the Arts at Columbia Law School is one of the leading centers for intellectual property research in the United States.  Its faculty and staff dedicate their research and writing to copyright, trademarks, and related areas as they concern traditional and emerging media, entertainment and the arts.  The Center offers students an in-depth program of instruction, lectures, internships and externships while providing symposia, lectures, research studies and publications to the broader legal community.  Founded as the Center for Law and the Arts, it was renamed in 1999 to honor Professor John M. Kernochan, its founder and a pioneer in teaching copyright in American law schools.</w:t>
      </w:r>
      <w:r w:rsidRPr="00172580">
        <w:rPr>
          <w:rFonts w:ascii="Times New Roman" w:hAnsi="Times New Roman" w:cs="Times New Roman"/>
        </w:rPr>
        <w:t xml:space="preserve">  </w:t>
      </w:r>
    </w:p>
    <w:p w14:paraId="61EA314C" w14:textId="6EB74F65" w:rsidR="00C04CCA" w:rsidRDefault="00D44C0E" w:rsidP="00BB28B0">
      <w:pPr>
        <w:spacing w:line="360" w:lineRule="auto"/>
        <w:rPr>
          <w:rFonts w:ascii="Times New Roman" w:hAnsi="Times New Roman" w:cs="Times New Roman"/>
        </w:rPr>
      </w:pPr>
      <w:r>
        <w:rPr>
          <w:rFonts w:ascii="Times New Roman" w:hAnsi="Times New Roman" w:cs="Times New Roman"/>
          <w:i/>
        </w:rPr>
        <w:tab/>
      </w:r>
      <w:r>
        <w:rPr>
          <w:rFonts w:ascii="Times New Roman" w:hAnsi="Times New Roman" w:cs="Times New Roman"/>
        </w:rPr>
        <w:t xml:space="preserve">Section 1201 of Title 17 was </w:t>
      </w:r>
      <w:r w:rsidR="00A55C9A">
        <w:rPr>
          <w:rFonts w:ascii="Times New Roman" w:hAnsi="Times New Roman" w:cs="Times New Roman"/>
        </w:rPr>
        <w:t>designed to</w:t>
      </w:r>
      <w:r>
        <w:rPr>
          <w:rFonts w:ascii="Times New Roman" w:hAnsi="Times New Roman" w:cs="Times New Roman"/>
        </w:rPr>
        <w:t xml:space="preserve"> encourag</w:t>
      </w:r>
      <w:r w:rsidR="00A55C9A">
        <w:rPr>
          <w:rFonts w:ascii="Times New Roman" w:hAnsi="Times New Roman" w:cs="Times New Roman"/>
        </w:rPr>
        <w:t xml:space="preserve">e copyright owners to </w:t>
      </w:r>
      <w:r w:rsidR="00A55C9A">
        <w:rPr>
          <w:rFonts w:ascii="Times New Roman" w:hAnsi="Times New Roman" w:cs="Times New Roman"/>
        </w:rPr>
        <w:t xml:space="preserve">develop new distribution </w:t>
      </w:r>
      <w:r w:rsidR="00A55C9A">
        <w:rPr>
          <w:rFonts w:ascii="Times New Roman" w:hAnsi="Times New Roman" w:cs="Times New Roman"/>
        </w:rPr>
        <w:t>models for</w:t>
      </w:r>
      <w:r>
        <w:rPr>
          <w:rFonts w:ascii="Times New Roman" w:hAnsi="Times New Roman" w:cs="Times New Roman"/>
        </w:rPr>
        <w:t xml:space="preserve"> their content</w:t>
      </w:r>
      <w:r w:rsidR="00A55C9A">
        <w:rPr>
          <w:rFonts w:ascii="Times New Roman" w:hAnsi="Times New Roman" w:cs="Times New Roman"/>
        </w:rPr>
        <w:t xml:space="preserve">, and in particular, to encourage distribution of that content over the internet. </w:t>
      </w:r>
      <w:r>
        <w:rPr>
          <w:rFonts w:ascii="Times New Roman" w:hAnsi="Times New Roman" w:cs="Times New Roman"/>
        </w:rPr>
        <w:t xml:space="preserve"> </w:t>
      </w:r>
      <w:r w:rsidR="008B0116">
        <w:rPr>
          <w:rFonts w:ascii="Times New Roman" w:hAnsi="Times New Roman" w:cs="Times New Roman"/>
        </w:rPr>
        <w:t>S</w:t>
      </w:r>
      <w:r>
        <w:rPr>
          <w:rFonts w:ascii="Times New Roman" w:hAnsi="Times New Roman" w:cs="Times New Roman"/>
        </w:rPr>
        <w:t xml:space="preserve">ection 1201 has been </w:t>
      </w:r>
      <w:r w:rsidR="005926EB">
        <w:rPr>
          <w:rFonts w:ascii="Times New Roman" w:hAnsi="Times New Roman" w:cs="Times New Roman"/>
        </w:rPr>
        <w:t>a success</w:t>
      </w:r>
      <w:r w:rsidR="008B0116">
        <w:rPr>
          <w:rFonts w:ascii="Times New Roman" w:hAnsi="Times New Roman" w:cs="Times New Roman"/>
        </w:rPr>
        <w:t>, as many commenters have attested</w:t>
      </w:r>
      <w:r>
        <w:rPr>
          <w:rFonts w:ascii="Times New Roman" w:hAnsi="Times New Roman" w:cs="Times New Roman"/>
        </w:rPr>
        <w:t xml:space="preserve">.  </w:t>
      </w:r>
      <w:r w:rsidR="006C6F23">
        <w:rPr>
          <w:rFonts w:ascii="Times New Roman" w:hAnsi="Times New Roman" w:cs="Times New Roman"/>
        </w:rPr>
        <w:t xml:space="preserve">Section 1201’s success should not immunize it from amendment, but it does </w:t>
      </w:r>
      <w:r w:rsidR="006042A6">
        <w:rPr>
          <w:rFonts w:ascii="Times New Roman" w:hAnsi="Times New Roman" w:cs="Times New Roman"/>
        </w:rPr>
        <w:t xml:space="preserve">indicate </w:t>
      </w:r>
      <w:r w:rsidR="006C6F23">
        <w:rPr>
          <w:rFonts w:ascii="Times New Roman" w:hAnsi="Times New Roman" w:cs="Times New Roman"/>
        </w:rPr>
        <w:t xml:space="preserve">that the broad amendments offered by some commenters should be rejected, </w:t>
      </w:r>
      <w:r w:rsidR="0096202D">
        <w:rPr>
          <w:rFonts w:ascii="Times New Roman" w:hAnsi="Times New Roman" w:cs="Times New Roman"/>
        </w:rPr>
        <w:t xml:space="preserve">as they </w:t>
      </w:r>
      <w:r w:rsidR="006C6F23">
        <w:rPr>
          <w:rFonts w:ascii="Times New Roman" w:hAnsi="Times New Roman" w:cs="Times New Roman"/>
        </w:rPr>
        <w:t xml:space="preserve">would unquestionably undermine the goals and effect of the law.  (We refer, for example, to </w:t>
      </w:r>
      <w:r w:rsidR="00935721">
        <w:rPr>
          <w:rFonts w:ascii="Times New Roman" w:hAnsi="Times New Roman" w:cs="Times New Roman"/>
        </w:rPr>
        <w:t>suggestions that the anti-circumvention laws be repealed in their entirety, that circumvention for any non-infringing purpose be allowed, etc.</w:t>
      </w:r>
      <w:r w:rsidR="006C6F23">
        <w:rPr>
          <w:rFonts w:ascii="Times New Roman" w:hAnsi="Times New Roman" w:cs="Times New Roman"/>
        </w:rPr>
        <w:t xml:space="preserve">).  We believe </w:t>
      </w:r>
      <w:r w:rsidR="001C192E">
        <w:rPr>
          <w:rFonts w:ascii="Times New Roman" w:hAnsi="Times New Roman" w:cs="Times New Roman"/>
        </w:rPr>
        <w:t>all suggested</w:t>
      </w:r>
      <w:r w:rsidR="006C6F23">
        <w:rPr>
          <w:rFonts w:ascii="Times New Roman" w:hAnsi="Times New Roman" w:cs="Times New Roman"/>
        </w:rPr>
        <w:t xml:space="preserve"> amendments should be approach</w:t>
      </w:r>
      <w:r w:rsidR="0096202D">
        <w:rPr>
          <w:rFonts w:ascii="Times New Roman" w:hAnsi="Times New Roman" w:cs="Times New Roman"/>
        </w:rPr>
        <w:t>ed</w:t>
      </w:r>
      <w:r w:rsidR="001C192E">
        <w:rPr>
          <w:rFonts w:ascii="Times New Roman" w:hAnsi="Times New Roman" w:cs="Times New Roman"/>
        </w:rPr>
        <w:t xml:space="preserve"> with </w:t>
      </w:r>
      <w:r w:rsidR="006C6F23">
        <w:rPr>
          <w:rFonts w:ascii="Times New Roman" w:hAnsi="Times New Roman" w:cs="Times New Roman"/>
        </w:rPr>
        <w:lastRenderedPageBreak/>
        <w:t>cautio</w:t>
      </w:r>
      <w:r w:rsidR="001C192E">
        <w:rPr>
          <w:rFonts w:ascii="Times New Roman" w:hAnsi="Times New Roman" w:cs="Times New Roman"/>
        </w:rPr>
        <w:t xml:space="preserve">n, and that the Copyright Office should </w:t>
      </w:r>
      <w:r w:rsidR="006C6F23">
        <w:rPr>
          <w:rFonts w:ascii="Times New Roman" w:hAnsi="Times New Roman" w:cs="Times New Roman"/>
        </w:rPr>
        <w:t xml:space="preserve">recommend amendments only on the basis of a well-established record.  </w:t>
      </w:r>
      <w:r w:rsidR="008B0116">
        <w:rPr>
          <w:rFonts w:ascii="Times New Roman" w:hAnsi="Times New Roman" w:cs="Times New Roman"/>
        </w:rPr>
        <w:t>New or expanded</w:t>
      </w:r>
      <w:r w:rsidR="00383863">
        <w:rPr>
          <w:rFonts w:ascii="Times New Roman" w:hAnsi="Times New Roman" w:cs="Times New Roman"/>
        </w:rPr>
        <w:t xml:space="preserve"> permanent exemptions should be recommended where, and only to the extent that, parties have consistently sought and been granted exemptions </w:t>
      </w:r>
      <w:r w:rsidR="008B0116">
        <w:rPr>
          <w:rFonts w:ascii="Times New Roman" w:hAnsi="Times New Roman" w:cs="Times New Roman"/>
        </w:rPr>
        <w:t xml:space="preserve">in the past </w:t>
      </w:r>
      <w:r w:rsidR="00383863">
        <w:rPr>
          <w:rFonts w:ascii="Times New Roman" w:hAnsi="Times New Roman" w:cs="Times New Roman"/>
        </w:rPr>
        <w:t>through the rulemaking process</w:t>
      </w:r>
      <w:r w:rsidR="008B0116">
        <w:rPr>
          <w:rFonts w:ascii="Times New Roman" w:hAnsi="Times New Roman" w:cs="Times New Roman"/>
        </w:rPr>
        <w:t>.</w:t>
      </w:r>
    </w:p>
    <w:p w14:paraId="7072226C" w14:textId="51B6B1D8" w:rsidR="00C04CCA" w:rsidRPr="008B0116" w:rsidRDefault="00C04CCA" w:rsidP="00C04CCA">
      <w:pPr>
        <w:pStyle w:val="ListParagraph"/>
        <w:numPr>
          <w:ilvl w:val="0"/>
          <w:numId w:val="1"/>
        </w:numPr>
        <w:spacing w:line="360" w:lineRule="auto"/>
        <w:rPr>
          <w:rFonts w:ascii="Times New Roman" w:hAnsi="Times New Roman" w:cs="Times New Roman"/>
          <w:b/>
        </w:rPr>
      </w:pPr>
      <w:r w:rsidRPr="008B0116">
        <w:rPr>
          <w:rFonts w:ascii="Times New Roman" w:hAnsi="Times New Roman" w:cs="Times New Roman"/>
          <w:b/>
        </w:rPr>
        <w:t>Proposals for New Permanent Exemptions</w:t>
      </w:r>
    </w:p>
    <w:p w14:paraId="3B36D697" w14:textId="34D8B205" w:rsidR="0096202D" w:rsidRPr="0096202D" w:rsidRDefault="0096202D" w:rsidP="0004746E">
      <w:pPr>
        <w:spacing w:line="360" w:lineRule="auto"/>
        <w:ind w:firstLine="360"/>
        <w:rPr>
          <w:rFonts w:ascii="Times New Roman" w:hAnsi="Times New Roman" w:cs="Times New Roman"/>
        </w:rPr>
      </w:pPr>
      <w:r w:rsidRPr="0096202D">
        <w:rPr>
          <w:rFonts w:ascii="Times New Roman" w:hAnsi="Times New Roman" w:cs="Times New Roman"/>
        </w:rPr>
        <w:t>Judged against these criteria, there are only two suggested new permanent e</w:t>
      </w:r>
      <w:r>
        <w:rPr>
          <w:rFonts w:ascii="Times New Roman" w:hAnsi="Times New Roman" w:cs="Times New Roman"/>
        </w:rPr>
        <w:t>xemptions that we would support:</w:t>
      </w:r>
    </w:p>
    <w:p w14:paraId="61315A88" w14:textId="6EC6FD37" w:rsidR="00A91D15" w:rsidRDefault="00A91D15" w:rsidP="00A91D15">
      <w:pPr>
        <w:spacing w:line="360" w:lineRule="auto"/>
        <w:ind w:firstLine="720"/>
        <w:rPr>
          <w:rFonts w:ascii="Times New Roman" w:hAnsi="Times New Roman" w:cs="Times New Roman"/>
        </w:rPr>
      </w:pPr>
      <w:r>
        <w:rPr>
          <w:rFonts w:ascii="Times New Roman" w:hAnsi="Times New Roman" w:cs="Times New Roman"/>
          <w:i/>
        </w:rPr>
        <w:t xml:space="preserve">Assistive Technologies for Use by Persons Who are Blind, Visually Impaired, or Print Disabled. </w:t>
      </w:r>
      <w:r w:rsidR="000A4800">
        <w:rPr>
          <w:rFonts w:ascii="Times New Roman" w:hAnsi="Times New Roman" w:cs="Times New Roman"/>
          <w:i/>
        </w:rPr>
        <w:t xml:space="preserve"> </w:t>
      </w:r>
      <w:r w:rsidR="005926EB">
        <w:rPr>
          <w:rFonts w:ascii="Times New Roman" w:hAnsi="Times New Roman" w:cs="Times New Roman"/>
        </w:rPr>
        <w:t xml:space="preserve">In earlier comments, we stated that </w:t>
      </w:r>
      <w:r>
        <w:rPr>
          <w:rFonts w:ascii="Times New Roman" w:hAnsi="Times New Roman" w:cs="Times New Roman"/>
        </w:rPr>
        <w:t>Congress should consider an appropriately drafted permanent exemption to facilitate access to literary works by</w:t>
      </w:r>
      <w:r w:rsidR="008B0116">
        <w:rPr>
          <w:rFonts w:ascii="Times New Roman" w:hAnsi="Times New Roman" w:cs="Times New Roman"/>
        </w:rPr>
        <w:t xml:space="preserve"> blind, visually impaired or</w:t>
      </w:r>
      <w:r>
        <w:rPr>
          <w:rFonts w:ascii="Times New Roman" w:hAnsi="Times New Roman" w:cs="Times New Roman"/>
        </w:rPr>
        <w:t xml:space="preserve"> print-disabled persons.  The history of the triennial rulemaking indicates that this is an exemption that has been regularly sought and granted, and there are strong public policy reasons for raising it to the level of a permanent exemption.</w:t>
      </w:r>
      <w:r w:rsidR="00383863">
        <w:rPr>
          <w:rFonts w:ascii="Times New Roman" w:hAnsi="Times New Roman" w:cs="Times New Roman"/>
        </w:rPr>
        <w:t xml:space="preserve">  In our view, the exemption granted in the 2015 rulemaking is </w:t>
      </w:r>
      <w:r w:rsidR="008B0116">
        <w:rPr>
          <w:rFonts w:ascii="Times New Roman" w:hAnsi="Times New Roman" w:cs="Times New Roman"/>
        </w:rPr>
        <w:t xml:space="preserve">an </w:t>
      </w:r>
      <w:r w:rsidR="00383863">
        <w:rPr>
          <w:rFonts w:ascii="Times New Roman" w:hAnsi="Times New Roman" w:cs="Times New Roman"/>
        </w:rPr>
        <w:t xml:space="preserve">appropriate </w:t>
      </w:r>
      <w:r w:rsidR="008B0116">
        <w:rPr>
          <w:rFonts w:ascii="Times New Roman" w:hAnsi="Times New Roman" w:cs="Times New Roman"/>
        </w:rPr>
        <w:t xml:space="preserve">formulation </w:t>
      </w:r>
      <w:r w:rsidR="00383863">
        <w:rPr>
          <w:rFonts w:ascii="Times New Roman" w:hAnsi="Times New Roman" w:cs="Times New Roman"/>
        </w:rPr>
        <w:t>for a permanent exemption.  We recognize that some commenters would prefer a broader exemption, but they will still have the rulemaking process available to them</w:t>
      </w:r>
      <w:r w:rsidR="008B0116">
        <w:rPr>
          <w:rFonts w:ascii="Times New Roman" w:hAnsi="Times New Roman" w:cs="Times New Roman"/>
        </w:rPr>
        <w:t xml:space="preserve"> if their ability to make lawful uses in this regard is unreasonably constrained</w:t>
      </w:r>
      <w:r w:rsidR="00383863">
        <w:rPr>
          <w:rFonts w:ascii="Times New Roman" w:hAnsi="Times New Roman" w:cs="Times New Roman"/>
        </w:rPr>
        <w:t>.</w:t>
      </w:r>
    </w:p>
    <w:p w14:paraId="5889F687" w14:textId="3E920CFF" w:rsidR="00A91D15" w:rsidRPr="0096202D" w:rsidRDefault="00A91D15" w:rsidP="0096202D">
      <w:pPr>
        <w:pStyle w:val="ListParagraph"/>
        <w:spacing w:line="360" w:lineRule="auto"/>
        <w:ind w:left="0" w:firstLine="720"/>
        <w:rPr>
          <w:rFonts w:ascii="Times New Roman" w:hAnsi="Times New Roman" w:cs="Times New Roman"/>
        </w:rPr>
      </w:pPr>
      <w:r>
        <w:rPr>
          <w:rFonts w:ascii="Times New Roman" w:hAnsi="Times New Roman" w:cs="Times New Roman"/>
          <w:i/>
        </w:rPr>
        <w:t xml:space="preserve">Device Unlocking. </w:t>
      </w:r>
      <w:r w:rsidR="00B6553D">
        <w:rPr>
          <w:rFonts w:ascii="Times New Roman" w:hAnsi="Times New Roman" w:cs="Times New Roman"/>
        </w:rPr>
        <w:t>T</w:t>
      </w:r>
      <w:r w:rsidR="0096202D">
        <w:rPr>
          <w:rFonts w:ascii="Times New Roman" w:hAnsi="Times New Roman" w:cs="Times New Roman"/>
        </w:rPr>
        <w:t>he contours of the exemptions granted for this purpose in the rulemaking proceeding</w:t>
      </w:r>
      <w:r w:rsidR="00B6553D">
        <w:rPr>
          <w:rFonts w:ascii="Times New Roman" w:hAnsi="Times New Roman" w:cs="Times New Roman"/>
        </w:rPr>
        <w:t>s</w:t>
      </w:r>
      <w:r w:rsidR="0096202D">
        <w:rPr>
          <w:rFonts w:ascii="Times New Roman" w:hAnsi="Times New Roman" w:cs="Times New Roman"/>
        </w:rPr>
        <w:t xml:space="preserve"> have changed over time (and will likely continue to change)</w:t>
      </w:r>
      <w:r w:rsidR="00B6553D">
        <w:rPr>
          <w:rFonts w:ascii="Times New Roman" w:hAnsi="Times New Roman" w:cs="Times New Roman"/>
        </w:rPr>
        <w:t>.  W</w:t>
      </w:r>
      <w:r w:rsidR="0096202D">
        <w:rPr>
          <w:rFonts w:ascii="Times New Roman" w:hAnsi="Times New Roman" w:cs="Times New Roman"/>
        </w:rPr>
        <w:t xml:space="preserve">e nevertheless believe that a permanent exemption to allow circumvention </w:t>
      </w:r>
      <w:r w:rsidR="00B6553D">
        <w:rPr>
          <w:rFonts w:ascii="Times New Roman" w:hAnsi="Times New Roman" w:cs="Times New Roman"/>
        </w:rPr>
        <w:t xml:space="preserve">to unlock mobile devices </w:t>
      </w:r>
      <w:r w:rsidR="00B6553D" w:rsidRPr="00B6553D">
        <w:rPr>
          <w:rFonts w:ascii="Times New Roman" w:hAnsi="Times New Roman" w:cs="Times New Roman"/>
          <w:i/>
        </w:rPr>
        <w:t>solely for the purpose</w:t>
      </w:r>
      <w:r w:rsidR="00B6553D">
        <w:rPr>
          <w:rFonts w:ascii="Times New Roman" w:hAnsi="Times New Roman" w:cs="Times New Roman"/>
        </w:rPr>
        <w:t xml:space="preserve"> of “enabling them to connect to the network of a different mobile wireless carrier” is warranted, based on the records in the rulemakings to date, as well as on Congressional action on this issue.</w:t>
      </w:r>
      <w:r w:rsidR="00B6553D">
        <w:rPr>
          <w:rStyle w:val="FootnoteReference"/>
          <w:rFonts w:ascii="Times New Roman" w:hAnsi="Times New Roman" w:cs="Times New Roman"/>
        </w:rPr>
        <w:footnoteReference w:id="1"/>
      </w:r>
      <w:r w:rsidR="00B6553D">
        <w:rPr>
          <w:rFonts w:ascii="Times New Roman" w:hAnsi="Times New Roman" w:cs="Times New Roman"/>
        </w:rPr>
        <w:t xml:space="preserve">  Rather than creating a broad and open-ended description of the devices eligible for this exemption, it is preferable to use the exemption as formulated in the 2015 rulemaking proceeding, and add devices pursuant to the triennial proceeding, to the extent justified by the evidence presented.</w:t>
      </w:r>
    </w:p>
    <w:p w14:paraId="53D5617C" w14:textId="7582994C" w:rsidR="00377AE5" w:rsidRDefault="00377AE5" w:rsidP="00377AE5">
      <w:pPr>
        <w:spacing w:line="360" w:lineRule="auto"/>
        <w:ind w:firstLine="720"/>
        <w:rPr>
          <w:rFonts w:ascii="Times New Roman" w:hAnsi="Times New Roman" w:cs="Times New Roman"/>
        </w:rPr>
      </w:pPr>
      <w:r>
        <w:rPr>
          <w:rFonts w:ascii="Times New Roman" w:hAnsi="Times New Roman" w:cs="Times New Roman"/>
          <w:i/>
        </w:rPr>
        <w:t xml:space="preserve">International considerations. </w:t>
      </w:r>
      <w:bookmarkStart w:id="0" w:name="_GoBack"/>
      <w:bookmarkEnd w:id="0"/>
      <w:r w:rsidR="00DE11E2">
        <w:rPr>
          <w:rFonts w:ascii="Times New Roman" w:hAnsi="Times New Roman" w:cs="Times New Roman"/>
        </w:rPr>
        <w:t>As we observed in our earlier comments, t</w:t>
      </w:r>
      <w:r>
        <w:rPr>
          <w:rFonts w:ascii="Times New Roman" w:hAnsi="Times New Roman" w:cs="Times New Roman"/>
        </w:rPr>
        <w:t xml:space="preserve">he WIPO Copyright Treaty </w:t>
      </w:r>
      <w:r w:rsidR="00D1646E">
        <w:rPr>
          <w:rFonts w:ascii="Times New Roman" w:hAnsi="Times New Roman" w:cs="Times New Roman"/>
        </w:rPr>
        <w:t xml:space="preserve">and the WPPT give </w:t>
      </w:r>
      <w:r>
        <w:rPr>
          <w:rFonts w:ascii="Times New Roman" w:hAnsi="Times New Roman" w:cs="Times New Roman"/>
        </w:rPr>
        <w:t xml:space="preserve">contracting parties latitude with respect to the specific </w:t>
      </w:r>
      <w:r>
        <w:rPr>
          <w:rFonts w:ascii="Times New Roman" w:hAnsi="Times New Roman" w:cs="Times New Roman"/>
        </w:rPr>
        <w:lastRenderedPageBreak/>
        <w:t>terms of their legislation</w:t>
      </w:r>
      <w:r w:rsidR="00D1646E">
        <w:rPr>
          <w:rFonts w:ascii="Times New Roman" w:hAnsi="Times New Roman" w:cs="Times New Roman"/>
        </w:rPr>
        <w:t>.</w:t>
      </w:r>
      <w:r w:rsidR="00D1646E">
        <w:rPr>
          <w:rStyle w:val="FootnoteReference"/>
        </w:rPr>
        <w:footnoteReference w:id="2"/>
      </w:r>
      <w:r>
        <w:rPr>
          <w:rFonts w:ascii="Times New Roman" w:hAnsi="Times New Roman" w:cs="Times New Roman"/>
        </w:rPr>
        <w:t xml:space="preserve">  </w:t>
      </w:r>
      <w:r w:rsidR="00B85309">
        <w:rPr>
          <w:rFonts w:ascii="Times New Roman" w:hAnsi="Times New Roman" w:cs="Times New Roman"/>
        </w:rPr>
        <w:t>We believe that the two amendments we support here are</w:t>
      </w:r>
      <w:r>
        <w:rPr>
          <w:rFonts w:ascii="Times New Roman" w:hAnsi="Times New Roman" w:cs="Times New Roman"/>
        </w:rPr>
        <w:t xml:space="preserve"> consistent with </w:t>
      </w:r>
      <w:r w:rsidR="00B85309">
        <w:rPr>
          <w:rFonts w:ascii="Times New Roman" w:hAnsi="Times New Roman" w:cs="Times New Roman"/>
        </w:rPr>
        <w:t xml:space="preserve">US obligations under </w:t>
      </w:r>
      <w:r>
        <w:rPr>
          <w:rFonts w:ascii="Times New Roman" w:hAnsi="Times New Roman" w:cs="Times New Roman"/>
        </w:rPr>
        <w:t>the WIPO treaties</w:t>
      </w:r>
      <w:r w:rsidR="00B85309">
        <w:rPr>
          <w:rFonts w:ascii="Times New Roman" w:hAnsi="Times New Roman" w:cs="Times New Roman"/>
        </w:rPr>
        <w:t>.</w:t>
      </w:r>
      <w:r>
        <w:rPr>
          <w:rFonts w:ascii="Times New Roman" w:hAnsi="Times New Roman" w:cs="Times New Roman"/>
        </w:rPr>
        <w:t xml:space="preserve">  </w:t>
      </w:r>
    </w:p>
    <w:p w14:paraId="159DAA6C" w14:textId="72A7E1B7" w:rsidR="00A91D15" w:rsidRPr="00A91D15" w:rsidRDefault="00B85309" w:rsidP="0004746E">
      <w:pPr>
        <w:spacing w:after="240" w:line="360" w:lineRule="auto"/>
        <w:ind w:firstLine="720"/>
        <w:rPr>
          <w:rFonts w:ascii="Times New Roman" w:hAnsi="Times New Roman" w:cs="Times New Roman"/>
        </w:rPr>
      </w:pPr>
      <w:r>
        <w:rPr>
          <w:rFonts w:ascii="Times New Roman" w:hAnsi="Times New Roman" w:cs="Times New Roman"/>
        </w:rPr>
        <w:t>As we discussed in our earlier comments, s</w:t>
      </w:r>
      <w:r w:rsidR="00377AE5">
        <w:rPr>
          <w:rFonts w:ascii="Times New Roman" w:hAnsi="Times New Roman" w:cs="Times New Roman"/>
        </w:rPr>
        <w:t xml:space="preserve">ome of the bilateral trade agreements that the US has with other countries </w:t>
      </w:r>
      <w:r>
        <w:rPr>
          <w:rFonts w:ascii="Times New Roman" w:hAnsi="Times New Roman" w:cs="Times New Roman"/>
        </w:rPr>
        <w:t>contain more specific</w:t>
      </w:r>
      <w:r w:rsidR="00377AE5">
        <w:rPr>
          <w:rFonts w:ascii="Times New Roman" w:hAnsi="Times New Roman" w:cs="Times New Roman"/>
        </w:rPr>
        <w:t xml:space="preserve"> obligations with respect to technological protection</w:t>
      </w:r>
      <w:r>
        <w:rPr>
          <w:rFonts w:ascii="Times New Roman" w:hAnsi="Times New Roman" w:cs="Times New Roman"/>
        </w:rPr>
        <w:t>.</w:t>
      </w:r>
      <w:r>
        <w:rPr>
          <w:rStyle w:val="FootnoteReference"/>
          <w:rFonts w:ascii="Times New Roman" w:hAnsi="Times New Roman" w:cs="Times New Roman"/>
        </w:rPr>
        <w:footnoteReference w:id="3"/>
      </w:r>
      <w:r w:rsidR="00377AE5">
        <w:rPr>
          <w:rFonts w:ascii="Times New Roman" w:hAnsi="Times New Roman" w:cs="Times New Roman"/>
        </w:rPr>
        <w:t xml:space="preserve">  </w:t>
      </w:r>
      <w:r>
        <w:rPr>
          <w:rFonts w:ascii="Times New Roman" w:hAnsi="Times New Roman" w:cs="Times New Roman"/>
        </w:rPr>
        <w:t xml:space="preserve">The exemptions we support here, however, are based on an established track record </w:t>
      </w:r>
      <w:r w:rsidR="0096202D">
        <w:rPr>
          <w:rFonts w:ascii="Times New Roman" w:hAnsi="Times New Roman" w:cs="Times New Roman"/>
        </w:rPr>
        <w:t>in the triennial rulemaking proceeding, which should be an important consideration in evaluating implications for</w:t>
      </w:r>
      <w:r w:rsidR="00377AE5">
        <w:rPr>
          <w:rFonts w:ascii="Times New Roman" w:eastAsia="Times New Roman" w:hAnsi="Times New Roman" w:cs="Times New Roman"/>
        </w:rPr>
        <w:t xml:space="preserve"> US obligations under </w:t>
      </w:r>
      <w:r w:rsidR="0096202D">
        <w:rPr>
          <w:rFonts w:ascii="Times New Roman" w:eastAsia="Times New Roman" w:hAnsi="Times New Roman" w:cs="Times New Roman"/>
        </w:rPr>
        <w:t>such agreements, and the potential effect on other countries’ perceptions of their obligations under those agreements.</w:t>
      </w:r>
      <w:r w:rsidR="00377AE5">
        <w:rPr>
          <w:rFonts w:ascii="Times New Roman" w:eastAsia="Times New Roman" w:hAnsi="Times New Roman" w:cs="Times New Roman"/>
        </w:rPr>
        <w:t xml:space="preserve"> </w:t>
      </w:r>
    </w:p>
    <w:p w14:paraId="3486FC1C" w14:textId="515FC381" w:rsidR="00C04CCA" w:rsidRPr="008B0116" w:rsidRDefault="00C04CCA" w:rsidP="00C04CCA">
      <w:pPr>
        <w:pStyle w:val="ListParagraph"/>
        <w:numPr>
          <w:ilvl w:val="0"/>
          <w:numId w:val="1"/>
        </w:numPr>
        <w:spacing w:line="360" w:lineRule="auto"/>
        <w:rPr>
          <w:rFonts w:ascii="Times New Roman" w:hAnsi="Times New Roman" w:cs="Times New Roman"/>
          <w:b/>
        </w:rPr>
      </w:pPr>
      <w:r w:rsidRPr="008B0116">
        <w:rPr>
          <w:rFonts w:ascii="Times New Roman" w:hAnsi="Times New Roman" w:cs="Times New Roman"/>
          <w:b/>
        </w:rPr>
        <w:t>Proposed Amendments to Existing Exemptions</w:t>
      </w:r>
    </w:p>
    <w:p w14:paraId="508A8CDA" w14:textId="55CD62B3" w:rsidR="00A91D15" w:rsidRPr="00A91D15" w:rsidRDefault="00A91D15" w:rsidP="00D1646E">
      <w:pPr>
        <w:pStyle w:val="ListParagraph"/>
        <w:spacing w:line="360" w:lineRule="auto"/>
        <w:ind w:left="0" w:firstLine="720"/>
        <w:rPr>
          <w:rFonts w:ascii="Times New Roman" w:hAnsi="Times New Roman" w:cs="Times New Roman"/>
        </w:rPr>
      </w:pPr>
      <w:r w:rsidRPr="00A91D15">
        <w:rPr>
          <w:rFonts w:ascii="Times New Roman" w:hAnsi="Times New Roman" w:cs="Times New Roman"/>
        </w:rPr>
        <w:t xml:space="preserve">We are not in a position to judge the current state of </w:t>
      </w:r>
      <w:r w:rsidR="00A55C9A">
        <w:rPr>
          <w:rFonts w:ascii="Times New Roman" w:hAnsi="Times New Roman" w:cs="Times New Roman"/>
        </w:rPr>
        <w:t xml:space="preserve">reverse engineering, encryption </w:t>
      </w:r>
      <w:r w:rsidRPr="00A91D15">
        <w:rPr>
          <w:rFonts w:ascii="Times New Roman" w:hAnsi="Times New Roman" w:cs="Times New Roman"/>
        </w:rPr>
        <w:t>research or security testing</w:t>
      </w:r>
      <w:r w:rsidR="00D1646E">
        <w:rPr>
          <w:rFonts w:ascii="Times New Roman" w:hAnsi="Times New Roman" w:cs="Times New Roman"/>
        </w:rPr>
        <w:t>, or the extent to which such endeavors are seriously hampered by the proscriptions of chapter 12</w:t>
      </w:r>
      <w:r w:rsidRPr="00A91D15">
        <w:rPr>
          <w:rFonts w:ascii="Times New Roman" w:hAnsi="Times New Roman" w:cs="Times New Roman"/>
        </w:rPr>
        <w:t xml:space="preserve">.  </w:t>
      </w:r>
      <w:r w:rsidR="00D1646E">
        <w:rPr>
          <w:rFonts w:ascii="Times New Roman" w:hAnsi="Times New Roman" w:cs="Times New Roman"/>
        </w:rPr>
        <w:t xml:space="preserve">In general, however, we would not support an amendment to an existing exemption absent evidence that the beneficiaries have in triennial rulemaking proceedings consistently requested, and been granted, exemptions reasonably equivalent to the amendment they seek.  If the statutory structure is deficient, presumably the beneficiaries </w:t>
      </w:r>
      <w:r w:rsidR="006042A6">
        <w:rPr>
          <w:rFonts w:ascii="Times New Roman" w:hAnsi="Times New Roman" w:cs="Times New Roman"/>
        </w:rPr>
        <w:t xml:space="preserve">would </w:t>
      </w:r>
      <w:r w:rsidR="008B0116">
        <w:rPr>
          <w:rFonts w:ascii="Times New Roman" w:hAnsi="Times New Roman" w:cs="Times New Roman"/>
        </w:rPr>
        <w:t xml:space="preserve">have </w:t>
      </w:r>
      <w:r w:rsidR="00D1646E">
        <w:rPr>
          <w:rFonts w:ascii="Times New Roman" w:hAnsi="Times New Roman" w:cs="Times New Roman"/>
        </w:rPr>
        <w:t>come forward with evidence to justify additional or broader exemptions in the rulemaking</w:t>
      </w:r>
      <w:r w:rsidR="008B0116">
        <w:rPr>
          <w:rFonts w:ascii="Times New Roman" w:hAnsi="Times New Roman" w:cs="Times New Roman"/>
        </w:rPr>
        <w:t xml:space="preserve"> process</w:t>
      </w:r>
      <w:r w:rsidR="00D1646E">
        <w:rPr>
          <w:rFonts w:ascii="Times New Roman" w:hAnsi="Times New Roman" w:cs="Times New Roman"/>
        </w:rPr>
        <w:t xml:space="preserve">.  </w:t>
      </w:r>
    </w:p>
    <w:p w14:paraId="750B6EAB" w14:textId="77777777" w:rsidR="008B0116" w:rsidRDefault="00A55C9A" w:rsidP="00A55C9A">
      <w:pPr>
        <w:spacing w:line="360" w:lineRule="auto"/>
        <w:ind w:firstLine="720"/>
        <w:rPr>
          <w:rFonts w:ascii="Times New Roman" w:hAnsi="Times New Roman" w:cs="Times New Roman"/>
        </w:rPr>
      </w:pPr>
      <w:r>
        <w:rPr>
          <w:rFonts w:ascii="Times New Roman" w:hAnsi="Times New Roman" w:cs="Times New Roman"/>
        </w:rPr>
        <w:t xml:space="preserve"> Where the records of previous rulemaking proceedings indicate that the potential beneficiaries have not sought an exemption in past</w:t>
      </w:r>
      <w:r w:rsidR="00D1646E">
        <w:rPr>
          <w:rFonts w:ascii="Times New Roman" w:hAnsi="Times New Roman" w:cs="Times New Roman"/>
        </w:rPr>
        <w:t xml:space="preserve"> rulemaking proceedings</w:t>
      </w:r>
      <w:r>
        <w:rPr>
          <w:rFonts w:ascii="Times New Roman" w:hAnsi="Times New Roman" w:cs="Times New Roman"/>
        </w:rPr>
        <w:t xml:space="preserve">, or sought </w:t>
      </w:r>
      <w:r w:rsidR="00D1646E">
        <w:rPr>
          <w:rFonts w:ascii="Times New Roman" w:hAnsi="Times New Roman" w:cs="Times New Roman"/>
        </w:rPr>
        <w:t>an exemption</w:t>
      </w:r>
      <w:r>
        <w:rPr>
          <w:rFonts w:ascii="Times New Roman" w:hAnsi="Times New Roman" w:cs="Times New Roman"/>
        </w:rPr>
        <w:t xml:space="preserve"> but failed to provide </w:t>
      </w:r>
      <w:r w:rsidR="00D1646E">
        <w:rPr>
          <w:rFonts w:ascii="Times New Roman" w:hAnsi="Times New Roman" w:cs="Times New Roman"/>
        </w:rPr>
        <w:t>adequate supporting</w:t>
      </w:r>
      <w:r>
        <w:rPr>
          <w:rFonts w:ascii="Times New Roman" w:hAnsi="Times New Roman" w:cs="Times New Roman"/>
        </w:rPr>
        <w:t xml:space="preserve"> evidence</w:t>
      </w:r>
      <w:r w:rsidR="00D1646E">
        <w:rPr>
          <w:rFonts w:ascii="Times New Roman" w:hAnsi="Times New Roman" w:cs="Times New Roman"/>
        </w:rPr>
        <w:t>,</w:t>
      </w:r>
      <w:r>
        <w:rPr>
          <w:rFonts w:ascii="Times New Roman" w:hAnsi="Times New Roman" w:cs="Times New Roman"/>
        </w:rPr>
        <w:t xml:space="preserve"> there is </w:t>
      </w:r>
      <w:r w:rsidRPr="0053102B">
        <w:rPr>
          <w:rFonts w:ascii="Times New Roman" w:hAnsi="Times New Roman" w:cs="Times New Roman"/>
        </w:rPr>
        <w:t>insufficient</w:t>
      </w:r>
      <w:r>
        <w:rPr>
          <w:rFonts w:ascii="Times New Roman" w:hAnsi="Times New Roman" w:cs="Times New Roman"/>
        </w:rPr>
        <w:t xml:space="preserve"> basis</w:t>
      </w:r>
      <w:r w:rsidRPr="0053102B">
        <w:rPr>
          <w:rFonts w:ascii="Times New Roman" w:hAnsi="Times New Roman" w:cs="Times New Roman"/>
        </w:rPr>
        <w:t xml:space="preserve"> to </w:t>
      </w:r>
      <w:r>
        <w:rPr>
          <w:rFonts w:ascii="Times New Roman" w:hAnsi="Times New Roman" w:cs="Times New Roman"/>
        </w:rPr>
        <w:t xml:space="preserve">create </w:t>
      </w:r>
      <w:r w:rsidR="008B0116">
        <w:rPr>
          <w:rFonts w:ascii="Times New Roman" w:hAnsi="Times New Roman" w:cs="Times New Roman"/>
        </w:rPr>
        <w:t xml:space="preserve">or </w:t>
      </w:r>
      <w:r w:rsidR="00D1646E">
        <w:rPr>
          <w:rFonts w:ascii="Times New Roman" w:hAnsi="Times New Roman" w:cs="Times New Roman"/>
        </w:rPr>
        <w:t>broaden a</w:t>
      </w:r>
      <w:r w:rsidRPr="0053102B">
        <w:rPr>
          <w:rFonts w:ascii="Times New Roman" w:hAnsi="Times New Roman" w:cs="Times New Roman"/>
        </w:rPr>
        <w:t xml:space="preserve"> permanent exemption.</w:t>
      </w:r>
    </w:p>
    <w:p w14:paraId="17083D4D" w14:textId="52A17E0C" w:rsidR="00A55C9A" w:rsidRDefault="00A55C9A" w:rsidP="00A55C9A">
      <w:pPr>
        <w:spacing w:line="360" w:lineRule="auto"/>
        <w:ind w:firstLine="720"/>
        <w:rPr>
          <w:rFonts w:ascii="Times New Roman" w:hAnsi="Times New Roman" w:cs="Times New Roman"/>
        </w:rPr>
      </w:pPr>
      <w:r>
        <w:rPr>
          <w:rFonts w:ascii="Times New Roman" w:hAnsi="Times New Roman" w:cs="Times New Roman"/>
        </w:rPr>
        <w:t xml:space="preserve">  </w:t>
      </w:r>
    </w:p>
    <w:p w14:paraId="60485132" w14:textId="61DC0B9F" w:rsidR="00C04CCA" w:rsidRPr="008B0116" w:rsidRDefault="00C04CCA" w:rsidP="00C04CCA">
      <w:pPr>
        <w:pStyle w:val="ListParagraph"/>
        <w:numPr>
          <w:ilvl w:val="0"/>
          <w:numId w:val="1"/>
        </w:numPr>
        <w:spacing w:line="360" w:lineRule="auto"/>
        <w:rPr>
          <w:rFonts w:ascii="Times New Roman" w:hAnsi="Times New Roman" w:cs="Times New Roman"/>
          <w:b/>
        </w:rPr>
      </w:pPr>
      <w:r w:rsidRPr="008B0116">
        <w:rPr>
          <w:rFonts w:ascii="Times New Roman" w:hAnsi="Times New Roman" w:cs="Times New Roman"/>
          <w:b/>
        </w:rPr>
        <w:t>Anti-Trafficking Provisions</w:t>
      </w:r>
    </w:p>
    <w:p w14:paraId="6A74678E" w14:textId="0D9B261B" w:rsidR="00A71140" w:rsidRPr="0012016D" w:rsidRDefault="0012016D" w:rsidP="006F3CC5">
      <w:pPr>
        <w:spacing w:line="360" w:lineRule="auto"/>
        <w:ind w:firstLine="720"/>
        <w:rPr>
          <w:rFonts w:ascii="Times New Roman" w:hAnsi="Times New Roman" w:cs="Times New Roman"/>
        </w:rPr>
      </w:pPr>
      <w:r>
        <w:rPr>
          <w:rFonts w:ascii="Times New Roman" w:hAnsi="Times New Roman" w:cs="Times New Roman"/>
        </w:rPr>
        <w:lastRenderedPageBreak/>
        <w:t>The anti</w:t>
      </w:r>
      <w:r w:rsidR="00EF39D1">
        <w:rPr>
          <w:rFonts w:ascii="Times New Roman" w:hAnsi="Times New Roman" w:cs="Times New Roman"/>
        </w:rPr>
        <w:t>-</w:t>
      </w:r>
      <w:r>
        <w:rPr>
          <w:rFonts w:ascii="Times New Roman" w:hAnsi="Times New Roman" w:cs="Times New Roman"/>
        </w:rPr>
        <w:t xml:space="preserve">trafficking provisions in section 1201 are </w:t>
      </w:r>
      <w:r w:rsidR="001C192E">
        <w:rPr>
          <w:rFonts w:ascii="Times New Roman" w:hAnsi="Times New Roman" w:cs="Times New Roman"/>
        </w:rPr>
        <w:t xml:space="preserve">an essential part of the </w:t>
      </w:r>
      <w:r w:rsidR="00A0663F">
        <w:rPr>
          <w:rFonts w:ascii="Times New Roman" w:hAnsi="Times New Roman" w:cs="Times New Roman"/>
        </w:rPr>
        <w:t>statutory scheme.</w:t>
      </w:r>
      <w:r w:rsidR="001C192E">
        <w:rPr>
          <w:rFonts w:ascii="Times New Roman" w:hAnsi="Times New Roman" w:cs="Times New Roman"/>
        </w:rPr>
        <w:t xml:space="preserve">  There will almost always be </w:t>
      </w:r>
      <w:r w:rsidR="00A0663F">
        <w:rPr>
          <w:rFonts w:ascii="Times New Roman" w:hAnsi="Times New Roman" w:cs="Times New Roman"/>
        </w:rPr>
        <w:t xml:space="preserve">technically-savvy individuals </w:t>
      </w:r>
      <w:r w:rsidR="001C192E">
        <w:rPr>
          <w:rFonts w:ascii="Times New Roman" w:hAnsi="Times New Roman" w:cs="Times New Roman"/>
        </w:rPr>
        <w:t xml:space="preserve">who can circumvent or override technological protection, but unauthorized access to copyrighted works can be kept in check if such persons are not permitted to circulate tools or provide services to enable </w:t>
      </w:r>
      <w:r w:rsidR="00A0663F">
        <w:rPr>
          <w:rFonts w:ascii="Times New Roman" w:hAnsi="Times New Roman" w:cs="Times New Roman"/>
        </w:rPr>
        <w:t xml:space="preserve">the general public </w:t>
      </w:r>
      <w:r w:rsidR="001C192E">
        <w:rPr>
          <w:rFonts w:ascii="Times New Roman" w:hAnsi="Times New Roman" w:cs="Times New Roman"/>
        </w:rPr>
        <w:t>to</w:t>
      </w:r>
      <w:r w:rsidR="00A0663F">
        <w:rPr>
          <w:rFonts w:ascii="Times New Roman" w:hAnsi="Times New Roman" w:cs="Times New Roman"/>
        </w:rPr>
        <w:t xml:space="preserve"> circumvent.  Without protection against trafficking in devices or services</w:t>
      </w:r>
      <w:r w:rsidR="00EF39D1">
        <w:rPr>
          <w:rFonts w:ascii="Times New Roman" w:hAnsi="Times New Roman" w:cs="Times New Roman"/>
        </w:rPr>
        <w:t>, T</w:t>
      </w:r>
      <w:r w:rsidR="000026BD">
        <w:rPr>
          <w:rFonts w:ascii="Times New Roman" w:hAnsi="Times New Roman" w:cs="Times New Roman"/>
        </w:rPr>
        <w:t xml:space="preserve">PMs would </w:t>
      </w:r>
      <w:r w:rsidR="006F3CC5">
        <w:rPr>
          <w:rFonts w:ascii="Times New Roman" w:hAnsi="Times New Roman" w:cs="Times New Roman"/>
        </w:rPr>
        <w:t>be largely ineffective.</w:t>
      </w:r>
      <w:r w:rsidR="00EF39D1">
        <w:rPr>
          <w:rFonts w:ascii="Times New Roman" w:hAnsi="Times New Roman" w:cs="Times New Roman"/>
        </w:rPr>
        <w:t xml:space="preserve">  Any changes to the anti-trafficking provisions should be approached with great caution.</w:t>
      </w:r>
    </w:p>
    <w:p w14:paraId="7069C271" w14:textId="79BCEA4E" w:rsidR="00990FF8" w:rsidRDefault="00377AE5" w:rsidP="00990FF8">
      <w:pPr>
        <w:spacing w:line="360" w:lineRule="auto"/>
        <w:ind w:firstLine="720"/>
        <w:rPr>
          <w:rFonts w:ascii="Times New Roman" w:hAnsi="Times New Roman" w:cs="Times New Roman"/>
        </w:rPr>
      </w:pPr>
      <w:r>
        <w:rPr>
          <w:rFonts w:ascii="Times New Roman" w:hAnsi="Times New Roman" w:cs="Times New Roman"/>
        </w:rPr>
        <w:t xml:space="preserve">a.  </w:t>
      </w:r>
      <w:r w:rsidRPr="00377AE5">
        <w:rPr>
          <w:rFonts w:ascii="Times New Roman" w:hAnsi="Times New Roman" w:cs="Times New Roman"/>
          <w:i/>
        </w:rPr>
        <w:t>Implied right for the beneficiary of an exemption to “make a tool” for his or her own use.</w:t>
      </w:r>
      <w:r w:rsidR="00E252AA">
        <w:rPr>
          <w:rFonts w:ascii="Times New Roman" w:hAnsi="Times New Roman" w:cs="Times New Roman"/>
          <w:i/>
        </w:rPr>
        <w:t xml:space="preserve">  </w:t>
      </w:r>
      <w:r w:rsidR="00990FF8">
        <w:rPr>
          <w:rFonts w:ascii="Times New Roman" w:hAnsi="Times New Roman" w:cs="Times New Roman"/>
        </w:rPr>
        <w:t>Concerning whether the Office should recommend that Congress clarify that the statute should expressly permit the beneficiary of an exemption to make a tool solely for his or her own use in circumventing:  We question whether there are examples of situations where the beneficiary of an exemption has stated that it has not taken, and cannot take advantage of an exemption to which it is entitled, even though it has the required expertise, because the law prevents it from creating a tool or mechanism.  It is unclear whether such a recommendation is necessary</w:t>
      </w:r>
      <w:r w:rsidR="008B0116">
        <w:rPr>
          <w:rFonts w:ascii="Times New Roman" w:hAnsi="Times New Roman" w:cs="Times New Roman"/>
        </w:rPr>
        <w:t>.  M</w:t>
      </w:r>
      <w:r w:rsidR="00990FF8">
        <w:rPr>
          <w:rFonts w:ascii="Times New Roman" w:hAnsi="Times New Roman" w:cs="Times New Roman"/>
        </w:rPr>
        <w:t>ost of the changes to the anti-trafficking provision provisions that commenters have suggested are far broader</w:t>
      </w:r>
      <w:r w:rsidR="008B0116">
        <w:rPr>
          <w:rFonts w:ascii="Times New Roman" w:hAnsi="Times New Roman" w:cs="Times New Roman"/>
        </w:rPr>
        <w:t xml:space="preserve">; </w:t>
      </w:r>
      <w:r w:rsidR="00990FF8">
        <w:rPr>
          <w:rFonts w:ascii="Times New Roman" w:hAnsi="Times New Roman" w:cs="Times New Roman"/>
        </w:rPr>
        <w:t xml:space="preserve">this </w:t>
      </w:r>
      <w:r w:rsidR="008B0116">
        <w:rPr>
          <w:rFonts w:ascii="Times New Roman" w:hAnsi="Times New Roman" w:cs="Times New Roman"/>
        </w:rPr>
        <w:t xml:space="preserve">issue </w:t>
      </w:r>
      <w:r w:rsidR="00990FF8">
        <w:rPr>
          <w:rFonts w:ascii="Times New Roman" w:hAnsi="Times New Roman" w:cs="Times New Roman"/>
        </w:rPr>
        <w:t xml:space="preserve">doesn’t seem to </w:t>
      </w:r>
      <w:r w:rsidR="008B0116">
        <w:rPr>
          <w:rFonts w:ascii="Times New Roman" w:hAnsi="Times New Roman" w:cs="Times New Roman"/>
        </w:rPr>
        <w:t xml:space="preserve">be </w:t>
      </w:r>
      <w:r w:rsidR="00990FF8">
        <w:rPr>
          <w:rFonts w:ascii="Times New Roman" w:hAnsi="Times New Roman" w:cs="Times New Roman"/>
        </w:rPr>
        <w:t>the crux of their claims.</w:t>
      </w:r>
    </w:p>
    <w:p w14:paraId="5330DFD5" w14:textId="48156055" w:rsidR="00BB28B0" w:rsidRPr="00B85309" w:rsidRDefault="00377AE5" w:rsidP="00990FF8">
      <w:pPr>
        <w:spacing w:line="360" w:lineRule="auto"/>
        <w:ind w:firstLine="720"/>
        <w:rPr>
          <w:rFonts w:ascii="Times New Roman" w:hAnsi="Times New Roman" w:cs="Times New Roman"/>
        </w:rPr>
      </w:pPr>
      <w:r w:rsidRPr="00B85309">
        <w:rPr>
          <w:rFonts w:ascii="Times New Roman" w:hAnsi="Times New Roman" w:cs="Times New Roman"/>
        </w:rPr>
        <w:t xml:space="preserve">b.  </w:t>
      </w:r>
      <w:r w:rsidRPr="00B85309">
        <w:rPr>
          <w:rFonts w:ascii="Times New Roman" w:hAnsi="Times New Roman" w:cs="Times New Roman"/>
          <w:i/>
        </w:rPr>
        <w:t>Third-party assistance</w:t>
      </w:r>
      <w:r w:rsidRPr="00B85309">
        <w:rPr>
          <w:rFonts w:ascii="Times New Roman" w:hAnsi="Times New Roman" w:cs="Times New Roman"/>
        </w:rPr>
        <w:t>.  The Request for Additional Comments observed that some parties have argued that “in certain circumstances” third party assistance in circumventing technological access controls could “fall outside” the scope of the anti-trafficking provision and therefore be permissible.</w:t>
      </w:r>
      <w:r w:rsidR="00A0663F" w:rsidRPr="00B85309">
        <w:rPr>
          <w:rFonts w:ascii="Times New Roman" w:hAnsi="Times New Roman" w:cs="Times New Roman"/>
        </w:rPr>
        <w:t xml:space="preserve">   Both 17 U.S.C. section</w:t>
      </w:r>
      <w:r w:rsidR="008B0116">
        <w:rPr>
          <w:rFonts w:ascii="Times New Roman" w:hAnsi="Times New Roman" w:cs="Times New Roman"/>
        </w:rPr>
        <w:t>s</w:t>
      </w:r>
      <w:r w:rsidR="00A0663F" w:rsidRPr="00B85309">
        <w:rPr>
          <w:rFonts w:ascii="Times New Roman" w:hAnsi="Times New Roman" w:cs="Times New Roman"/>
        </w:rPr>
        <w:t xml:space="preserve"> 512(a)(2) and 512(b)(1) are broadly worded.  The parties urging such an interpretation apparently believe that third party assistance might not be embraced under providing </w:t>
      </w:r>
      <w:r w:rsidR="00BB28B0" w:rsidRPr="00B85309">
        <w:rPr>
          <w:rFonts w:ascii="Times New Roman" w:hAnsi="Times New Roman" w:cs="Times New Roman"/>
        </w:rPr>
        <w:t xml:space="preserve">a </w:t>
      </w:r>
      <w:r w:rsidR="00A0663F" w:rsidRPr="00B85309">
        <w:rPr>
          <w:rFonts w:ascii="Times New Roman" w:hAnsi="Times New Roman" w:cs="Times New Roman"/>
        </w:rPr>
        <w:t>service or any of the other activities prohibited by these sections.</w:t>
      </w:r>
      <w:r w:rsidR="00BB28B0" w:rsidRPr="00B85309">
        <w:rPr>
          <w:rFonts w:ascii="Times New Roman" w:hAnsi="Times New Roman" w:cs="Times New Roman"/>
        </w:rPr>
        <w:t xml:space="preserve">  The Merriam-Webster dictionary includes, among its definitions of “service,” “help</w:t>
      </w:r>
      <w:r w:rsidR="00BB28B0" w:rsidRPr="00B85309">
        <w:rPr>
          <w:rFonts w:ascii="Times New Roman" w:hAnsi="Times New Roman" w:cs="Times New Roman"/>
        </w:rPr>
        <w:t xml:space="preserve">, </w:t>
      </w:r>
      <w:r w:rsidR="00BB28B0" w:rsidRPr="00B85309">
        <w:rPr>
          <w:rFonts w:ascii="Times New Roman" w:hAnsi="Times New Roman" w:cs="Times New Roman"/>
        </w:rPr>
        <w:t>use</w:t>
      </w:r>
      <w:r w:rsidR="00BB28B0" w:rsidRPr="00B85309">
        <w:rPr>
          <w:rFonts w:ascii="Times New Roman" w:hAnsi="Times New Roman" w:cs="Times New Roman"/>
        </w:rPr>
        <w:t xml:space="preserve">, </w:t>
      </w:r>
      <w:r w:rsidR="00BB28B0" w:rsidRPr="00B85309">
        <w:rPr>
          <w:rFonts w:ascii="Times New Roman" w:hAnsi="Times New Roman" w:cs="Times New Roman"/>
        </w:rPr>
        <w:t>benefit,” “</w:t>
      </w:r>
      <w:r w:rsidR="00BB28B0" w:rsidRPr="00B85309">
        <w:rPr>
          <w:rFonts w:ascii="Times New Roman" w:hAnsi="Times New Roman" w:cs="Times New Roman"/>
        </w:rPr>
        <w:t>contribution to the welfare of others</w:t>
      </w:r>
      <w:r w:rsidR="00BB28B0" w:rsidRPr="00B85309">
        <w:rPr>
          <w:rFonts w:ascii="Times New Roman" w:hAnsi="Times New Roman" w:cs="Times New Roman"/>
        </w:rPr>
        <w:t>,” and “</w:t>
      </w:r>
      <w:r w:rsidR="00BB28B0" w:rsidRPr="00B85309">
        <w:rPr>
          <w:rFonts w:ascii="Times New Roman" w:hAnsi="Times New Roman" w:cs="Times New Roman"/>
        </w:rPr>
        <w:t>a helpful act</w:t>
      </w:r>
      <w:r w:rsidR="00BB28B0" w:rsidRPr="00B85309">
        <w:rPr>
          <w:rFonts w:ascii="Times New Roman" w:hAnsi="Times New Roman" w:cs="Times New Roman"/>
        </w:rPr>
        <w:t>.”</w:t>
      </w:r>
      <w:r w:rsidR="00BB28B0" w:rsidRPr="00B85309">
        <w:rPr>
          <w:rStyle w:val="FootnoteReference"/>
          <w:rFonts w:ascii="Times New Roman" w:hAnsi="Times New Roman" w:cs="Times New Roman"/>
        </w:rPr>
        <w:footnoteReference w:id="4"/>
      </w:r>
      <w:r w:rsidR="00BB28B0" w:rsidRPr="00B85309">
        <w:rPr>
          <w:rFonts w:ascii="Times New Roman" w:hAnsi="Times New Roman" w:cs="Times New Roman"/>
        </w:rPr>
        <w:t xml:space="preserve"> </w:t>
      </w:r>
      <w:r w:rsidR="00BB28B0" w:rsidRPr="00B85309">
        <w:rPr>
          <w:rFonts w:ascii="Times New Roman" w:hAnsi="Times New Roman" w:cs="Times New Roman"/>
        </w:rPr>
        <w:t>It seems as though any plausible interpretation of “service” would include third party assistance, and we have not heard a persuasive argument to the contrary.</w:t>
      </w:r>
    </w:p>
    <w:p w14:paraId="5B2BB531" w14:textId="77777777" w:rsidR="00935721" w:rsidRDefault="00935721" w:rsidP="0063631D">
      <w:pPr>
        <w:spacing w:line="360" w:lineRule="auto"/>
        <w:ind w:firstLine="720"/>
        <w:rPr>
          <w:rFonts w:ascii="Times New Roman" w:hAnsi="Times New Roman" w:cs="Times New Roman"/>
        </w:rPr>
      </w:pPr>
    </w:p>
    <w:p w14:paraId="0D1D53DB" w14:textId="79DB22E5" w:rsidR="007327A2" w:rsidRDefault="008B0116" w:rsidP="0063631D">
      <w:pPr>
        <w:spacing w:line="360" w:lineRule="auto"/>
        <w:ind w:firstLine="720"/>
        <w:rPr>
          <w:rFonts w:ascii="Times New Roman" w:hAnsi="Times New Roman" w:cs="Times New Roman"/>
        </w:rPr>
      </w:pPr>
      <w:r>
        <w:rPr>
          <w:rFonts w:ascii="Times New Roman" w:hAnsi="Times New Roman" w:cs="Times New Roman"/>
        </w:rPr>
        <w:t>In conclusion, s</w:t>
      </w:r>
      <w:r w:rsidR="00A83F00">
        <w:rPr>
          <w:rFonts w:ascii="Times New Roman" w:hAnsi="Times New Roman" w:cs="Times New Roman"/>
        </w:rPr>
        <w:t xml:space="preserve">ection </w:t>
      </w:r>
      <w:r w:rsidR="003A40F5">
        <w:rPr>
          <w:rFonts w:ascii="Times New Roman" w:hAnsi="Times New Roman" w:cs="Times New Roman"/>
        </w:rPr>
        <w:t>1201</w:t>
      </w:r>
      <w:r w:rsidR="00935721">
        <w:rPr>
          <w:rFonts w:ascii="Times New Roman" w:hAnsi="Times New Roman" w:cs="Times New Roman"/>
        </w:rPr>
        <w:t xml:space="preserve"> was an attempt to provide protection to copyrighted works to f</w:t>
      </w:r>
      <w:r w:rsidR="00A83F00">
        <w:rPr>
          <w:rFonts w:ascii="Times New Roman" w:hAnsi="Times New Roman" w:cs="Times New Roman"/>
        </w:rPr>
        <w:t>oster innovation in content delivery</w:t>
      </w:r>
      <w:r w:rsidR="00935721">
        <w:rPr>
          <w:rFonts w:ascii="Times New Roman" w:hAnsi="Times New Roman" w:cs="Times New Roman"/>
        </w:rPr>
        <w:t>.</w:t>
      </w:r>
      <w:r w:rsidR="00A83F00">
        <w:rPr>
          <w:rFonts w:ascii="Times New Roman" w:hAnsi="Times New Roman" w:cs="Times New Roman"/>
        </w:rPr>
        <w:t xml:space="preserve">  </w:t>
      </w:r>
      <w:r w:rsidR="00935721">
        <w:rPr>
          <w:rFonts w:ascii="Times New Roman" w:hAnsi="Times New Roman" w:cs="Times New Roman"/>
        </w:rPr>
        <w:t>Congress drafted s</w:t>
      </w:r>
      <w:r w:rsidR="00DE09B8">
        <w:rPr>
          <w:rFonts w:ascii="Times New Roman" w:hAnsi="Times New Roman" w:cs="Times New Roman"/>
        </w:rPr>
        <w:t>ection 1201</w:t>
      </w:r>
      <w:r w:rsidR="00935721">
        <w:rPr>
          <w:rFonts w:ascii="Times New Roman" w:hAnsi="Times New Roman" w:cs="Times New Roman"/>
        </w:rPr>
        <w:t xml:space="preserve">, including its exemptions </w:t>
      </w:r>
      <w:r w:rsidR="00935721">
        <w:rPr>
          <w:rFonts w:ascii="Times New Roman" w:hAnsi="Times New Roman" w:cs="Times New Roman"/>
        </w:rPr>
        <w:lastRenderedPageBreak/>
        <w:t>and limitations,</w:t>
      </w:r>
      <w:r w:rsidR="00DE09B8">
        <w:rPr>
          <w:rFonts w:ascii="Times New Roman" w:hAnsi="Times New Roman" w:cs="Times New Roman"/>
        </w:rPr>
        <w:t xml:space="preserve"> </w:t>
      </w:r>
      <w:r w:rsidR="00935721">
        <w:rPr>
          <w:rFonts w:ascii="Times New Roman" w:hAnsi="Times New Roman" w:cs="Times New Roman"/>
        </w:rPr>
        <w:t>to</w:t>
      </w:r>
      <w:r w:rsidR="00DE09B8">
        <w:rPr>
          <w:rFonts w:ascii="Times New Roman" w:hAnsi="Times New Roman" w:cs="Times New Roman"/>
        </w:rPr>
        <w:t xml:space="preserve"> balanc</w:t>
      </w:r>
      <w:r w:rsidR="00935721">
        <w:rPr>
          <w:rFonts w:ascii="Times New Roman" w:hAnsi="Times New Roman" w:cs="Times New Roman"/>
        </w:rPr>
        <w:t>e the</w:t>
      </w:r>
      <w:r w:rsidR="00DE09B8">
        <w:rPr>
          <w:rFonts w:ascii="Times New Roman" w:hAnsi="Times New Roman" w:cs="Times New Roman"/>
        </w:rPr>
        <w:t xml:space="preserve"> interests </w:t>
      </w:r>
      <w:r w:rsidR="00935721">
        <w:rPr>
          <w:rFonts w:ascii="Times New Roman" w:hAnsi="Times New Roman" w:cs="Times New Roman"/>
        </w:rPr>
        <w:t>of</w:t>
      </w:r>
      <w:r w:rsidR="00602AEA">
        <w:rPr>
          <w:rFonts w:ascii="Times New Roman" w:hAnsi="Times New Roman" w:cs="Times New Roman"/>
        </w:rPr>
        <w:t xml:space="preserve"> the various stakeholders</w:t>
      </w:r>
      <w:r w:rsidR="00935721">
        <w:rPr>
          <w:rFonts w:ascii="Times New Roman" w:hAnsi="Times New Roman" w:cs="Times New Roman"/>
        </w:rPr>
        <w:t>.  Congress</w:t>
      </w:r>
      <w:r w:rsidR="00DE09B8">
        <w:rPr>
          <w:rFonts w:ascii="Times New Roman" w:hAnsi="Times New Roman" w:cs="Times New Roman"/>
        </w:rPr>
        <w:t xml:space="preserve"> </w:t>
      </w:r>
      <w:r w:rsidR="00935721">
        <w:rPr>
          <w:rFonts w:ascii="Times New Roman" w:hAnsi="Times New Roman" w:cs="Times New Roman"/>
        </w:rPr>
        <w:t>included t</w:t>
      </w:r>
      <w:r w:rsidR="00602AEA">
        <w:rPr>
          <w:rFonts w:ascii="Times New Roman" w:hAnsi="Times New Roman" w:cs="Times New Roman"/>
        </w:rPr>
        <w:t>he rulemaking</w:t>
      </w:r>
      <w:r w:rsidR="00DE09B8">
        <w:rPr>
          <w:rFonts w:ascii="Times New Roman" w:hAnsi="Times New Roman" w:cs="Times New Roman"/>
        </w:rPr>
        <w:t xml:space="preserve"> </w:t>
      </w:r>
      <w:r w:rsidR="00935721">
        <w:rPr>
          <w:rFonts w:ascii="Times New Roman" w:hAnsi="Times New Roman" w:cs="Times New Roman"/>
        </w:rPr>
        <w:t xml:space="preserve">as a means to refine that balance when necessary.  </w:t>
      </w:r>
      <w:r>
        <w:rPr>
          <w:rFonts w:ascii="Times New Roman" w:hAnsi="Times New Roman" w:cs="Times New Roman"/>
        </w:rPr>
        <w:t>Commenters have urged n</w:t>
      </w:r>
      <w:r w:rsidR="00935721">
        <w:rPr>
          <w:rFonts w:ascii="Times New Roman" w:hAnsi="Times New Roman" w:cs="Times New Roman"/>
        </w:rPr>
        <w:t>umerous</w:t>
      </w:r>
      <w:r w:rsidR="00602AEA">
        <w:rPr>
          <w:rFonts w:ascii="Times New Roman" w:hAnsi="Times New Roman" w:cs="Times New Roman"/>
        </w:rPr>
        <w:t xml:space="preserve"> </w:t>
      </w:r>
      <w:r w:rsidR="006042A6">
        <w:rPr>
          <w:rFonts w:ascii="Times New Roman" w:hAnsi="Times New Roman" w:cs="Times New Roman"/>
        </w:rPr>
        <w:t xml:space="preserve">permanent </w:t>
      </w:r>
      <w:r w:rsidR="00602AEA">
        <w:rPr>
          <w:rFonts w:ascii="Times New Roman" w:hAnsi="Times New Roman" w:cs="Times New Roman"/>
        </w:rPr>
        <w:t xml:space="preserve">changes to </w:t>
      </w:r>
      <w:r w:rsidR="00DE09B8">
        <w:rPr>
          <w:rFonts w:ascii="Times New Roman" w:hAnsi="Times New Roman" w:cs="Times New Roman"/>
        </w:rPr>
        <w:t>section 1201</w:t>
      </w:r>
      <w:r w:rsidR="00602AEA">
        <w:rPr>
          <w:rFonts w:ascii="Times New Roman" w:hAnsi="Times New Roman" w:cs="Times New Roman"/>
        </w:rPr>
        <w:t xml:space="preserve"> </w:t>
      </w:r>
      <w:r w:rsidR="00935721">
        <w:rPr>
          <w:rFonts w:ascii="Times New Roman" w:hAnsi="Times New Roman" w:cs="Times New Roman"/>
        </w:rPr>
        <w:t>that would</w:t>
      </w:r>
      <w:r w:rsidR="00DE09B8">
        <w:rPr>
          <w:rFonts w:ascii="Times New Roman" w:hAnsi="Times New Roman" w:cs="Times New Roman"/>
        </w:rPr>
        <w:t xml:space="preserve"> make it easier for users to legally circumvent technological access controls</w:t>
      </w:r>
      <w:r w:rsidR="00935721">
        <w:rPr>
          <w:rFonts w:ascii="Times New Roman" w:hAnsi="Times New Roman" w:cs="Times New Roman"/>
        </w:rPr>
        <w:t xml:space="preserve">.  Before recommending any such changes, the Office should consider carefully whether they would undermine </w:t>
      </w:r>
      <w:r w:rsidR="00DE09B8">
        <w:rPr>
          <w:rFonts w:ascii="Times New Roman" w:hAnsi="Times New Roman" w:cs="Times New Roman"/>
        </w:rPr>
        <w:t xml:space="preserve">the </w:t>
      </w:r>
      <w:r w:rsidR="0004746E">
        <w:rPr>
          <w:rFonts w:ascii="Times New Roman" w:hAnsi="Times New Roman" w:cs="Times New Roman"/>
        </w:rPr>
        <w:t>fundamental goals of the statutory scheme</w:t>
      </w:r>
      <w:r w:rsidR="00DE09B8">
        <w:rPr>
          <w:rFonts w:ascii="Times New Roman" w:hAnsi="Times New Roman" w:cs="Times New Roman"/>
        </w:rPr>
        <w:t>.</w:t>
      </w:r>
    </w:p>
    <w:p w14:paraId="39269DA6" w14:textId="77777777" w:rsidR="00311885" w:rsidRPr="003A40F5" w:rsidRDefault="00311885" w:rsidP="007327A2">
      <w:pPr>
        <w:spacing w:after="240" w:line="276" w:lineRule="auto"/>
        <w:rPr>
          <w:rFonts w:ascii="Times New Roman" w:hAnsi="Times New Roman" w:cs="Times New Roman"/>
        </w:rPr>
      </w:pPr>
    </w:p>
    <w:p w14:paraId="197ABFC6" w14:textId="77777777" w:rsidR="005453E3" w:rsidRPr="00172580" w:rsidRDefault="005453E3" w:rsidP="00C67042">
      <w:pPr>
        <w:spacing w:after="240"/>
        <w:rPr>
          <w:rFonts w:ascii="Times New Roman" w:hAnsi="Times New Roman" w:cs="Times New Roman"/>
        </w:rPr>
      </w:pPr>
      <w:r w:rsidRPr="00172580">
        <w:rPr>
          <w:rFonts w:ascii="Times New Roman" w:hAnsi="Times New Roman" w:cs="Times New Roman"/>
        </w:rPr>
        <w:t>Respectfully submitted,</w:t>
      </w:r>
    </w:p>
    <w:p w14:paraId="5F6FF7E0" w14:textId="77777777" w:rsidR="00E10CDB" w:rsidRDefault="005453E3" w:rsidP="007A7225">
      <w:pPr>
        <w:spacing w:after="240"/>
        <w:rPr>
          <w:rFonts w:ascii="Times New Roman" w:hAnsi="Times New Roman" w:cs="Times New Roman"/>
        </w:rPr>
      </w:pPr>
      <w:r w:rsidRPr="00172580">
        <w:rPr>
          <w:rFonts w:ascii="Times New Roman" w:hAnsi="Times New Roman" w:cs="Times New Roman"/>
        </w:rPr>
        <w:t xml:space="preserve">June </w:t>
      </w:r>
      <w:r w:rsidR="00E10CDB">
        <w:rPr>
          <w:rFonts w:ascii="Times New Roman" w:hAnsi="Times New Roman" w:cs="Times New Roman"/>
        </w:rPr>
        <w:t xml:space="preserve">M. </w:t>
      </w:r>
      <w:r w:rsidRPr="00172580">
        <w:rPr>
          <w:rFonts w:ascii="Times New Roman" w:hAnsi="Times New Roman" w:cs="Times New Roman"/>
        </w:rPr>
        <w:t>Besek</w:t>
      </w:r>
      <w:r w:rsidRPr="00172580">
        <w:rPr>
          <w:rFonts w:ascii="Times New Roman" w:hAnsi="Times New Roman" w:cs="Times New Roman"/>
        </w:rPr>
        <w:tab/>
      </w:r>
    </w:p>
    <w:p w14:paraId="7BD04865" w14:textId="77777777" w:rsidR="00E10CDB" w:rsidRDefault="00E10CDB" w:rsidP="007A7225">
      <w:pPr>
        <w:rPr>
          <w:rFonts w:ascii="Times New Roman" w:hAnsi="Times New Roman" w:cs="Times New Roman"/>
        </w:rPr>
      </w:pPr>
      <w:r>
        <w:rPr>
          <w:rFonts w:ascii="Times New Roman" w:hAnsi="Times New Roman" w:cs="Times New Roman"/>
        </w:rPr>
        <w:t>Executive Director,</w:t>
      </w:r>
    </w:p>
    <w:p w14:paraId="53F352A5" w14:textId="77777777" w:rsidR="00E10CDB" w:rsidRDefault="00E10CDB" w:rsidP="007A7225">
      <w:pPr>
        <w:rPr>
          <w:rFonts w:ascii="Times New Roman" w:hAnsi="Times New Roman" w:cs="Times New Roman"/>
        </w:rPr>
      </w:pPr>
      <w:r>
        <w:rPr>
          <w:rFonts w:ascii="Times New Roman" w:hAnsi="Times New Roman" w:cs="Times New Roman"/>
        </w:rPr>
        <w:t>Kernochan Center for Law, Media and the Arts</w:t>
      </w:r>
    </w:p>
    <w:p w14:paraId="3D1CDA33" w14:textId="71E2B4BB" w:rsidR="00A83F00" w:rsidRPr="00172580" w:rsidRDefault="00E10CDB" w:rsidP="007A7225">
      <w:pPr>
        <w:rPr>
          <w:rFonts w:ascii="Times New Roman" w:hAnsi="Times New Roman" w:cs="Times New Roman"/>
        </w:rPr>
      </w:pPr>
      <w:r>
        <w:rPr>
          <w:rFonts w:ascii="Times New Roman" w:hAnsi="Times New Roman" w:cs="Times New Roman"/>
        </w:rPr>
        <w:t>Columbia Law School</w:t>
      </w:r>
      <w:r w:rsidR="005453E3" w:rsidRPr="00172580">
        <w:rPr>
          <w:rFonts w:ascii="Times New Roman" w:hAnsi="Times New Roman" w:cs="Times New Roman"/>
        </w:rPr>
        <w:t xml:space="preserve">  </w:t>
      </w:r>
      <w:r w:rsidR="00A83F00">
        <w:rPr>
          <w:rFonts w:ascii="Times New Roman" w:hAnsi="Times New Roman" w:cs="Times New Roman"/>
        </w:rPr>
        <w:tab/>
      </w:r>
    </w:p>
    <w:p w14:paraId="07A8D9E5" w14:textId="0A5AB29F" w:rsidR="00E10CDB" w:rsidRDefault="00E10CDB" w:rsidP="007A7225">
      <w:pPr>
        <w:widowControl w:val="0"/>
        <w:autoSpaceDE w:val="0"/>
        <w:autoSpaceDN w:val="0"/>
        <w:adjustRightInd w:val="0"/>
        <w:rPr>
          <w:rFonts w:ascii="Times New Roman" w:hAnsi="Times New Roman" w:cs="Times New Roman"/>
        </w:rPr>
      </w:pPr>
      <w:r>
        <w:rPr>
          <w:rFonts w:ascii="Times New Roman" w:hAnsi="Times New Roman" w:cs="Times New Roman"/>
        </w:rPr>
        <w:t>435 West 116</w:t>
      </w:r>
      <w:r w:rsidRPr="007A7225">
        <w:rPr>
          <w:rFonts w:ascii="Times New Roman" w:hAnsi="Times New Roman" w:cs="Times New Roman"/>
        </w:rPr>
        <w:t>th</w:t>
      </w:r>
      <w:r>
        <w:rPr>
          <w:rFonts w:ascii="Times New Roman" w:hAnsi="Times New Roman" w:cs="Times New Roman"/>
        </w:rPr>
        <w:t xml:space="preserve"> Street</w:t>
      </w:r>
    </w:p>
    <w:p w14:paraId="54833A3A" w14:textId="495DB350" w:rsidR="00E10CDB" w:rsidRPr="00172580" w:rsidRDefault="00E10CDB" w:rsidP="007A7225">
      <w:pPr>
        <w:widowControl w:val="0"/>
        <w:autoSpaceDE w:val="0"/>
        <w:autoSpaceDN w:val="0"/>
        <w:adjustRightInd w:val="0"/>
        <w:spacing w:after="240"/>
        <w:rPr>
          <w:rFonts w:ascii="Times New Roman" w:hAnsi="Times New Roman" w:cs="Times New Roman"/>
        </w:rPr>
      </w:pPr>
      <w:r>
        <w:rPr>
          <w:rFonts w:ascii="Times New Roman" w:hAnsi="Times New Roman" w:cs="Times New Roman"/>
        </w:rPr>
        <w:t>New York, NY 10027</w:t>
      </w:r>
    </w:p>
    <w:sectPr w:rsidR="00E10CDB" w:rsidRPr="00172580">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3D96201" w14:textId="77777777" w:rsidR="00AB5766" w:rsidRDefault="00AB5766" w:rsidP="00C67042">
      <w:r>
        <w:separator/>
      </w:r>
    </w:p>
  </w:endnote>
  <w:endnote w:type="continuationSeparator" w:id="0">
    <w:p w14:paraId="5E42C9A6" w14:textId="77777777" w:rsidR="00AB5766" w:rsidRDefault="00AB5766" w:rsidP="00C67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35682232"/>
      <w:docPartObj>
        <w:docPartGallery w:val="Page Numbers (Bottom of Page)"/>
        <w:docPartUnique/>
      </w:docPartObj>
    </w:sdtPr>
    <w:sdtEndPr>
      <w:rPr>
        <w:rFonts w:ascii="Times New Roman" w:hAnsi="Times New Roman" w:cs="Times New Roman"/>
        <w:noProof/>
      </w:rPr>
    </w:sdtEndPr>
    <w:sdtContent>
      <w:p w14:paraId="58ADC652" w14:textId="77777777" w:rsidR="00AB5766" w:rsidRPr="000A4800" w:rsidRDefault="00AB5766">
        <w:pPr>
          <w:pStyle w:val="Footer"/>
          <w:jc w:val="center"/>
          <w:rPr>
            <w:rFonts w:ascii="Times New Roman" w:hAnsi="Times New Roman" w:cs="Times New Roman"/>
          </w:rPr>
        </w:pPr>
        <w:r w:rsidRPr="000A4800">
          <w:rPr>
            <w:rFonts w:ascii="Times New Roman" w:hAnsi="Times New Roman" w:cs="Times New Roman"/>
          </w:rPr>
          <w:fldChar w:fldCharType="begin"/>
        </w:r>
        <w:r w:rsidRPr="000A4800">
          <w:rPr>
            <w:rFonts w:ascii="Times New Roman" w:hAnsi="Times New Roman" w:cs="Times New Roman"/>
          </w:rPr>
          <w:instrText xml:space="preserve"> PAGE   \* MERGEFORMAT </w:instrText>
        </w:r>
        <w:r w:rsidRPr="000A4800">
          <w:rPr>
            <w:rFonts w:ascii="Times New Roman" w:hAnsi="Times New Roman" w:cs="Times New Roman"/>
          </w:rPr>
          <w:fldChar w:fldCharType="separate"/>
        </w:r>
        <w:r w:rsidR="0064059D">
          <w:rPr>
            <w:rFonts w:ascii="Times New Roman" w:hAnsi="Times New Roman" w:cs="Times New Roman"/>
            <w:noProof/>
          </w:rPr>
          <w:t>2</w:t>
        </w:r>
        <w:r w:rsidRPr="000A4800">
          <w:rPr>
            <w:rFonts w:ascii="Times New Roman" w:hAnsi="Times New Roman" w:cs="Times New Roman"/>
            <w:noProof/>
          </w:rPr>
          <w:fldChar w:fldCharType="end"/>
        </w:r>
      </w:p>
    </w:sdtContent>
  </w:sdt>
  <w:p w14:paraId="1D9E172D" w14:textId="77777777" w:rsidR="00AB5766" w:rsidRDefault="00AB576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36F51CB" w14:textId="77777777" w:rsidR="00AB5766" w:rsidRDefault="00AB5766" w:rsidP="00C67042">
      <w:r>
        <w:separator/>
      </w:r>
    </w:p>
  </w:footnote>
  <w:footnote w:type="continuationSeparator" w:id="0">
    <w:p w14:paraId="442ACEBC" w14:textId="77777777" w:rsidR="00AB5766" w:rsidRDefault="00AB5766" w:rsidP="00C67042">
      <w:r>
        <w:continuationSeparator/>
      </w:r>
    </w:p>
  </w:footnote>
  <w:footnote w:id="1">
    <w:p w14:paraId="10B0CC93" w14:textId="7A15289B" w:rsidR="00B6553D" w:rsidRPr="00B6553D" w:rsidRDefault="00B6553D" w:rsidP="00B6553D">
      <w:pPr>
        <w:pStyle w:val="FootnoteText"/>
        <w:rPr>
          <w:rFonts w:ascii="Times New Roman" w:hAnsi="Times New Roman" w:cs="Times New Roman"/>
          <w:sz w:val="20"/>
          <w:szCs w:val="20"/>
        </w:rPr>
      </w:pPr>
      <w:r w:rsidRPr="00B6553D">
        <w:rPr>
          <w:rStyle w:val="FootnoteReference"/>
          <w:rFonts w:ascii="Times New Roman" w:hAnsi="Times New Roman" w:cs="Times New Roman"/>
          <w:sz w:val="20"/>
          <w:szCs w:val="20"/>
        </w:rPr>
        <w:footnoteRef/>
      </w:r>
      <w:r w:rsidRPr="00B6553D">
        <w:rPr>
          <w:rFonts w:ascii="Times New Roman" w:hAnsi="Times New Roman" w:cs="Times New Roman"/>
          <w:sz w:val="20"/>
          <w:szCs w:val="20"/>
        </w:rPr>
        <w:t xml:space="preserve"> See Unlocking Consumer Choice and Wireless Competition Act, Pub. L. 113-144, sec. 2(b), 128 Stat. 1751 (2014).</w:t>
      </w:r>
    </w:p>
  </w:footnote>
  <w:footnote w:id="2">
    <w:p w14:paraId="56FFD610" w14:textId="186D69CE" w:rsidR="00D1646E" w:rsidRPr="00B85309" w:rsidRDefault="00D1646E" w:rsidP="00B6553D">
      <w:pPr>
        <w:pStyle w:val="NormalWeb"/>
        <w:spacing w:before="0" w:beforeAutospacing="0" w:after="0" w:afterAutospacing="0"/>
        <w:ind w:right="720"/>
        <w:rPr>
          <w:sz w:val="20"/>
          <w:szCs w:val="20"/>
        </w:rPr>
      </w:pPr>
      <w:r w:rsidRPr="00B85309">
        <w:rPr>
          <w:rStyle w:val="FootnoteReference"/>
          <w:sz w:val="20"/>
          <w:szCs w:val="20"/>
        </w:rPr>
        <w:footnoteRef/>
      </w:r>
      <w:r w:rsidRPr="00B85309">
        <w:rPr>
          <w:sz w:val="20"/>
          <w:szCs w:val="20"/>
        </w:rPr>
        <w:t xml:space="preserve"> WIPO Copyright Treaty, art. 11, Dec. 20, 1996, 36 I.L.M. 65 (1997), </w:t>
      </w:r>
      <w:r w:rsidRPr="00B85309">
        <w:rPr>
          <w:i/>
          <w:sz w:val="20"/>
          <w:szCs w:val="20"/>
        </w:rPr>
        <w:t>available at</w:t>
      </w:r>
      <w:r w:rsidRPr="00B85309">
        <w:rPr>
          <w:sz w:val="20"/>
          <w:szCs w:val="20"/>
        </w:rPr>
        <w:t xml:space="preserve"> </w:t>
      </w:r>
      <w:hyperlink r:id="rId1" w:anchor="P87_12240" w:history="1">
        <w:r w:rsidRPr="00B85309">
          <w:rPr>
            <w:rStyle w:val="Hyperlink"/>
            <w:sz w:val="20"/>
            <w:szCs w:val="20"/>
          </w:rPr>
          <w:t>http://www.wipo.int/treaties/en/text.jsp?file_id=295166#P87_12240</w:t>
        </w:r>
      </w:hyperlink>
      <w:r w:rsidR="00B85309" w:rsidRPr="00B85309">
        <w:rPr>
          <w:rStyle w:val="Hyperlink"/>
          <w:sz w:val="20"/>
          <w:szCs w:val="20"/>
        </w:rPr>
        <w:t xml:space="preserve"> </w:t>
      </w:r>
      <w:r w:rsidR="00B85309" w:rsidRPr="00B85309">
        <w:rPr>
          <w:sz w:val="20"/>
          <w:szCs w:val="20"/>
        </w:rPr>
        <w:t>(“</w:t>
      </w:r>
      <w:r w:rsidR="00B85309" w:rsidRPr="00B85309">
        <w:rPr>
          <w:sz w:val="20"/>
          <w:szCs w:val="20"/>
        </w:rPr>
        <w:t>Contracting Parties shall provide adequate legal protection and effective legal remedies against the circumvention of effective technological measures that are used by authors in connection with the exercise of their rights under this Treaty or the Berne Convention and that restrict acts, in respect of their works, which are not authorized by the authors concerned or permitted by law.</w:t>
      </w:r>
      <w:r w:rsidR="00B85309" w:rsidRPr="00B85309">
        <w:rPr>
          <w:sz w:val="20"/>
          <w:szCs w:val="20"/>
        </w:rPr>
        <w:t xml:space="preserve">”) </w:t>
      </w:r>
      <w:r w:rsidRPr="00B85309">
        <w:rPr>
          <w:sz w:val="20"/>
          <w:szCs w:val="20"/>
        </w:rPr>
        <w:t xml:space="preserve"> The WIPO Performances and Phonograms Treaty has a similar provision.  WIPO Performances and Phonograms Treaty, art. 18, Dec. 20, 1996, 36 I.L.M. 76 (1997), </w:t>
      </w:r>
      <w:r w:rsidRPr="00B85309">
        <w:rPr>
          <w:i/>
          <w:sz w:val="20"/>
          <w:szCs w:val="20"/>
        </w:rPr>
        <w:t>available at</w:t>
      </w:r>
      <w:r w:rsidRPr="00B85309">
        <w:rPr>
          <w:sz w:val="20"/>
          <w:szCs w:val="20"/>
        </w:rPr>
        <w:t xml:space="preserve"> </w:t>
      </w:r>
      <w:hyperlink r:id="rId2" w:history="1">
        <w:r w:rsidRPr="00B85309">
          <w:rPr>
            <w:rStyle w:val="Hyperlink"/>
            <w:sz w:val="20"/>
            <w:szCs w:val="20"/>
          </w:rPr>
          <w:t>http://www.wipo.int/treaties/en/text.jsp?file_id=29557</w:t>
        </w:r>
      </w:hyperlink>
      <w:r w:rsidRPr="00B85309">
        <w:rPr>
          <w:rStyle w:val="Hyperlink"/>
          <w:sz w:val="20"/>
          <w:szCs w:val="20"/>
        </w:rPr>
        <w:t>7</w:t>
      </w:r>
      <w:r w:rsidRPr="00B85309">
        <w:rPr>
          <w:sz w:val="20"/>
          <w:szCs w:val="20"/>
        </w:rPr>
        <w:t xml:space="preserve">. </w:t>
      </w:r>
    </w:p>
  </w:footnote>
  <w:footnote w:id="3">
    <w:p w14:paraId="18864A07" w14:textId="5E6C272A" w:rsidR="00B85309" w:rsidRPr="00B85309" w:rsidRDefault="00B85309">
      <w:pPr>
        <w:pStyle w:val="FootnoteText"/>
        <w:rPr>
          <w:sz w:val="20"/>
          <w:szCs w:val="20"/>
        </w:rPr>
      </w:pPr>
      <w:r w:rsidRPr="00B85309">
        <w:rPr>
          <w:rStyle w:val="FootnoteReference"/>
          <w:sz w:val="20"/>
          <w:szCs w:val="20"/>
        </w:rPr>
        <w:footnoteRef/>
      </w:r>
      <w:r w:rsidRPr="00B85309">
        <w:rPr>
          <w:sz w:val="20"/>
          <w:szCs w:val="20"/>
        </w:rPr>
        <w:t xml:space="preserve"> </w:t>
      </w:r>
      <w:r w:rsidRPr="00B85309">
        <w:rPr>
          <w:rFonts w:ascii="Times New Roman" w:hAnsi="Times New Roman" w:cs="Times New Roman"/>
          <w:sz w:val="20"/>
          <w:szCs w:val="20"/>
        </w:rPr>
        <w:t xml:space="preserve">See, e.g., the U.S.-Colombia Agreement, art. 16.7 (4) (2006), available at </w:t>
      </w:r>
      <w:hyperlink r:id="rId3" w:history="1">
        <w:r w:rsidRPr="00B85309">
          <w:rPr>
            <w:rStyle w:val="Hyperlink"/>
            <w:rFonts w:ascii="Times New Roman" w:hAnsi="Times New Roman" w:cs="Times New Roman"/>
            <w:sz w:val="20"/>
            <w:szCs w:val="20"/>
          </w:rPr>
          <w:t>https://ustr.gov/trade-agreements/free-trade-agreements/colombia-fta/final-text</w:t>
        </w:r>
      </w:hyperlink>
      <w:r w:rsidRPr="00B85309">
        <w:rPr>
          <w:rStyle w:val="Hyperlink"/>
          <w:rFonts w:ascii="Times New Roman" w:hAnsi="Times New Roman" w:cs="Times New Roman"/>
          <w:sz w:val="20"/>
          <w:szCs w:val="20"/>
        </w:rPr>
        <w:t>.</w:t>
      </w:r>
      <w:r w:rsidRPr="00B85309">
        <w:rPr>
          <w:rFonts w:ascii="Times New Roman" w:hAnsi="Times New Roman" w:cs="Times New Roman"/>
          <w:sz w:val="20"/>
          <w:szCs w:val="20"/>
        </w:rPr>
        <w:t xml:space="preserve"> </w:t>
      </w:r>
    </w:p>
  </w:footnote>
  <w:footnote w:id="4">
    <w:p w14:paraId="149FC9C4" w14:textId="4021055C" w:rsidR="00BB28B0" w:rsidRPr="00BB28B0" w:rsidRDefault="00BB28B0">
      <w:pPr>
        <w:pStyle w:val="FootnoteText"/>
        <w:rPr>
          <w:rFonts w:ascii="Times New Roman" w:hAnsi="Times New Roman" w:cs="Times New Roman"/>
          <w:sz w:val="20"/>
          <w:szCs w:val="20"/>
        </w:rPr>
      </w:pPr>
      <w:r w:rsidRPr="00BB28B0">
        <w:rPr>
          <w:rStyle w:val="FootnoteReference"/>
          <w:rFonts w:ascii="Times New Roman" w:hAnsi="Times New Roman" w:cs="Times New Roman"/>
          <w:sz w:val="20"/>
          <w:szCs w:val="20"/>
        </w:rPr>
        <w:footnoteRef/>
      </w:r>
      <w:r w:rsidRPr="00BB28B0">
        <w:rPr>
          <w:rFonts w:ascii="Times New Roman" w:hAnsi="Times New Roman" w:cs="Times New Roman"/>
          <w:sz w:val="20"/>
          <w:szCs w:val="20"/>
        </w:rPr>
        <w:t xml:space="preserve"> Merriam Webster Dictionary, definition of “service,” </w:t>
      </w:r>
      <w:hyperlink r:id="rId4" w:history="1">
        <w:r w:rsidRPr="00BB28B0">
          <w:rPr>
            <w:rStyle w:val="Hyperlink"/>
            <w:rFonts w:ascii="Times New Roman" w:hAnsi="Times New Roman" w:cs="Times New Roman"/>
            <w:sz w:val="20"/>
            <w:szCs w:val="20"/>
          </w:rPr>
          <w:t>http://www.merriam-webster.com/dictionary/service</w:t>
        </w:r>
      </w:hyperlink>
      <w:r w:rsidRPr="00BB28B0">
        <w:rPr>
          <w:rFonts w:ascii="Times New Roman" w:hAnsi="Times New Roman" w:cs="Times New Roman"/>
          <w:sz w:val="20"/>
          <w:szCs w:val="20"/>
        </w:rPr>
        <w:t xml:space="preserve">. See also dictionary.com definition of service, </w:t>
      </w:r>
      <w:hyperlink r:id="rId5" w:history="1">
        <w:r w:rsidRPr="00BB28B0">
          <w:rPr>
            <w:rStyle w:val="Hyperlink"/>
            <w:rFonts w:ascii="Times New Roman" w:hAnsi="Times New Roman" w:cs="Times New Roman"/>
            <w:sz w:val="20"/>
            <w:szCs w:val="20"/>
          </w:rPr>
          <w:t>http://www.dictionary.com/browse/services</w:t>
        </w:r>
      </w:hyperlink>
      <w:r w:rsidRPr="00BB28B0">
        <w:rPr>
          <w:rFonts w:ascii="Times New Roman" w:hAnsi="Times New Roman" w:cs="Times New Roman"/>
          <w:sz w:val="20"/>
          <w:szCs w:val="20"/>
        </w:rPr>
        <w:t xml:space="preserve"> which includes “</w:t>
      </w:r>
      <w:r w:rsidRPr="00BB28B0">
        <w:rPr>
          <w:rStyle w:val="oneclick-link"/>
          <w:rFonts w:ascii="Times New Roman" w:hAnsi="Times New Roman" w:cs="Times New Roman"/>
          <w:sz w:val="20"/>
          <w:szCs w:val="20"/>
        </w:rPr>
        <w:t>an</w:t>
      </w:r>
      <w:r w:rsidRPr="00BB28B0">
        <w:rPr>
          <w:rFonts w:ascii="Times New Roman" w:hAnsi="Times New Roman" w:cs="Times New Roman"/>
          <w:sz w:val="20"/>
          <w:szCs w:val="20"/>
        </w:rPr>
        <w:t xml:space="preserve"> </w:t>
      </w:r>
      <w:r w:rsidRPr="00BB28B0">
        <w:rPr>
          <w:rStyle w:val="oneclick-link"/>
          <w:rFonts w:ascii="Times New Roman" w:hAnsi="Times New Roman" w:cs="Times New Roman"/>
          <w:sz w:val="20"/>
          <w:szCs w:val="20"/>
        </w:rPr>
        <w:t>act</w:t>
      </w:r>
      <w:r w:rsidRPr="00BB28B0">
        <w:rPr>
          <w:rFonts w:ascii="Times New Roman" w:hAnsi="Times New Roman" w:cs="Times New Roman"/>
          <w:sz w:val="20"/>
          <w:szCs w:val="20"/>
        </w:rPr>
        <w:t xml:space="preserve"> </w:t>
      </w:r>
      <w:r w:rsidRPr="00BB28B0">
        <w:rPr>
          <w:rStyle w:val="oneclick-link"/>
          <w:rFonts w:ascii="Times New Roman" w:hAnsi="Times New Roman" w:cs="Times New Roman"/>
          <w:sz w:val="20"/>
          <w:szCs w:val="20"/>
        </w:rPr>
        <w:t>of</w:t>
      </w:r>
      <w:r w:rsidRPr="00BB28B0">
        <w:rPr>
          <w:rFonts w:ascii="Times New Roman" w:hAnsi="Times New Roman" w:cs="Times New Roman"/>
          <w:sz w:val="20"/>
          <w:szCs w:val="20"/>
        </w:rPr>
        <w:t xml:space="preserve"> </w:t>
      </w:r>
      <w:r w:rsidRPr="00BB28B0">
        <w:rPr>
          <w:rStyle w:val="oneclick-link"/>
          <w:rFonts w:ascii="Times New Roman" w:hAnsi="Times New Roman" w:cs="Times New Roman"/>
          <w:sz w:val="20"/>
          <w:szCs w:val="20"/>
        </w:rPr>
        <w:t>helpful</w:t>
      </w:r>
      <w:r w:rsidRPr="00BB28B0">
        <w:rPr>
          <w:rFonts w:ascii="Times New Roman" w:hAnsi="Times New Roman" w:cs="Times New Roman"/>
          <w:sz w:val="20"/>
          <w:szCs w:val="20"/>
        </w:rPr>
        <w:t xml:space="preserve"> </w:t>
      </w:r>
      <w:r w:rsidRPr="00BB28B0">
        <w:rPr>
          <w:rStyle w:val="oneclick-link"/>
          <w:rFonts w:ascii="Times New Roman" w:hAnsi="Times New Roman" w:cs="Times New Roman"/>
          <w:sz w:val="20"/>
          <w:szCs w:val="20"/>
        </w:rPr>
        <w:t>activity;</w:t>
      </w:r>
      <w:r w:rsidRPr="00BB28B0">
        <w:rPr>
          <w:rFonts w:ascii="Times New Roman" w:hAnsi="Times New Roman" w:cs="Times New Roman"/>
          <w:sz w:val="20"/>
          <w:szCs w:val="20"/>
        </w:rPr>
        <w:t xml:space="preserve"> </w:t>
      </w:r>
      <w:r w:rsidRPr="00BB28B0">
        <w:rPr>
          <w:rStyle w:val="oneclick-link"/>
          <w:rFonts w:ascii="Times New Roman" w:hAnsi="Times New Roman" w:cs="Times New Roman"/>
          <w:sz w:val="20"/>
          <w:szCs w:val="20"/>
        </w:rPr>
        <w:t>help;</w:t>
      </w:r>
      <w:r w:rsidRPr="00BB28B0">
        <w:rPr>
          <w:rFonts w:ascii="Times New Roman" w:hAnsi="Times New Roman" w:cs="Times New Roman"/>
          <w:sz w:val="20"/>
          <w:szCs w:val="20"/>
        </w:rPr>
        <w:t xml:space="preserve"> </w:t>
      </w:r>
      <w:r w:rsidRPr="00BB28B0">
        <w:rPr>
          <w:rStyle w:val="oneclick-link"/>
          <w:rFonts w:ascii="Times New Roman" w:hAnsi="Times New Roman" w:cs="Times New Roman"/>
          <w:sz w:val="20"/>
          <w:szCs w:val="20"/>
        </w:rPr>
        <w:t>aid. . .</w:t>
      </w:r>
      <w:r w:rsidR="008B0116">
        <w:rPr>
          <w:rStyle w:val="oneclick-link"/>
          <w:rFonts w:ascii="Times New Roman" w:hAnsi="Times New Roman" w:cs="Times New Roman"/>
          <w:sz w:val="20"/>
          <w:szCs w:val="20"/>
        </w:rPr>
        <w:t xml:space="preserve"> .</w:t>
      </w:r>
      <w:r w:rsidR="00E8361D">
        <w:rPr>
          <w:rStyle w:val="oneclick-link"/>
          <w:rFonts w:ascii="Times New Roman" w:hAnsi="Times New Roman" w:cs="Times New Roman"/>
          <w:sz w:val="20"/>
          <w:szCs w:val="20"/>
        </w:rP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B1267F8"/>
    <w:multiLevelType w:val="hybridMultilevel"/>
    <w:tmpl w:val="5D8C1D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7042"/>
    <w:rsid w:val="000026BD"/>
    <w:rsid w:val="0004746E"/>
    <w:rsid w:val="00073CD1"/>
    <w:rsid w:val="00074478"/>
    <w:rsid w:val="000861AD"/>
    <w:rsid w:val="000A4800"/>
    <w:rsid w:val="000B7457"/>
    <w:rsid w:val="0012016D"/>
    <w:rsid w:val="00142C98"/>
    <w:rsid w:val="00172580"/>
    <w:rsid w:val="001A0DE5"/>
    <w:rsid w:val="001B606D"/>
    <w:rsid w:val="001C192E"/>
    <w:rsid w:val="001C2865"/>
    <w:rsid w:val="001E6F8A"/>
    <w:rsid w:val="001F19B0"/>
    <w:rsid w:val="001F6897"/>
    <w:rsid w:val="002319E5"/>
    <w:rsid w:val="00293075"/>
    <w:rsid w:val="002B3C00"/>
    <w:rsid w:val="002C13D9"/>
    <w:rsid w:val="002F2AAE"/>
    <w:rsid w:val="00311885"/>
    <w:rsid w:val="00337E75"/>
    <w:rsid w:val="00375781"/>
    <w:rsid w:val="00377AE5"/>
    <w:rsid w:val="00383863"/>
    <w:rsid w:val="003A40F5"/>
    <w:rsid w:val="003C5E3E"/>
    <w:rsid w:val="003E6D23"/>
    <w:rsid w:val="00410E2A"/>
    <w:rsid w:val="004C355E"/>
    <w:rsid w:val="004D6D64"/>
    <w:rsid w:val="005049BA"/>
    <w:rsid w:val="0053102B"/>
    <w:rsid w:val="005453E3"/>
    <w:rsid w:val="005926EB"/>
    <w:rsid w:val="00593244"/>
    <w:rsid w:val="005B25BF"/>
    <w:rsid w:val="005B6990"/>
    <w:rsid w:val="005C1F7C"/>
    <w:rsid w:val="005F3746"/>
    <w:rsid w:val="00602AEA"/>
    <w:rsid w:val="006042A6"/>
    <w:rsid w:val="006248A3"/>
    <w:rsid w:val="0063631D"/>
    <w:rsid w:val="0064059D"/>
    <w:rsid w:val="006701B1"/>
    <w:rsid w:val="00692E10"/>
    <w:rsid w:val="00694E87"/>
    <w:rsid w:val="006B20E6"/>
    <w:rsid w:val="006C6F23"/>
    <w:rsid w:val="006E7A92"/>
    <w:rsid w:val="006F3CC5"/>
    <w:rsid w:val="00701C94"/>
    <w:rsid w:val="0070211F"/>
    <w:rsid w:val="00710443"/>
    <w:rsid w:val="00722826"/>
    <w:rsid w:val="00723424"/>
    <w:rsid w:val="007327A2"/>
    <w:rsid w:val="00794B2C"/>
    <w:rsid w:val="007A60D3"/>
    <w:rsid w:val="007A7225"/>
    <w:rsid w:val="007B657D"/>
    <w:rsid w:val="007E287C"/>
    <w:rsid w:val="007F2C13"/>
    <w:rsid w:val="00830A83"/>
    <w:rsid w:val="00846F6E"/>
    <w:rsid w:val="00861EFC"/>
    <w:rsid w:val="00876C60"/>
    <w:rsid w:val="008B0116"/>
    <w:rsid w:val="008D6C4F"/>
    <w:rsid w:val="008F1268"/>
    <w:rsid w:val="00910FA3"/>
    <w:rsid w:val="00935721"/>
    <w:rsid w:val="0096202D"/>
    <w:rsid w:val="00964EB5"/>
    <w:rsid w:val="0097319D"/>
    <w:rsid w:val="00990FF8"/>
    <w:rsid w:val="009A3BE1"/>
    <w:rsid w:val="009D4689"/>
    <w:rsid w:val="009D6A4E"/>
    <w:rsid w:val="009F64E5"/>
    <w:rsid w:val="00A0663F"/>
    <w:rsid w:val="00A222C4"/>
    <w:rsid w:val="00A554CB"/>
    <w:rsid w:val="00A55C9A"/>
    <w:rsid w:val="00A5799E"/>
    <w:rsid w:val="00A71140"/>
    <w:rsid w:val="00A83F00"/>
    <w:rsid w:val="00A90C6F"/>
    <w:rsid w:val="00A91D15"/>
    <w:rsid w:val="00A96045"/>
    <w:rsid w:val="00AB5766"/>
    <w:rsid w:val="00B03234"/>
    <w:rsid w:val="00B06DE9"/>
    <w:rsid w:val="00B074F6"/>
    <w:rsid w:val="00B45053"/>
    <w:rsid w:val="00B46B0D"/>
    <w:rsid w:val="00B6553D"/>
    <w:rsid w:val="00B85309"/>
    <w:rsid w:val="00BA579D"/>
    <w:rsid w:val="00BB28B0"/>
    <w:rsid w:val="00C04CCA"/>
    <w:rsid w:val="00C336D2"/>
    <w:rsid w:val="00C41BD0"/>
    <w:rsid w:val="00C67042"/>
    <w:rsid w:val="00CA6980"/>
    <w:rsid w:val="00CD262F"/>
    <w:rsid w:val="00D1646E"/>
    <w:rsid w:val="00D22C80"/>
    <w:rsid w:val="00D41AB4"/>
    <w:rsid w:val="00D44C0E"/>
    <w:rsid w:val="00D74EF2"/>
    <w:rsid w:val="00DA0871"/>
    <w:rsid w:val="00DC4549"/>
    <w:rsid w:val="00DD0A2D"/>
    <w:rsid w:val="00DE09B8"/>
    <w:rsid w:val="00DE11E2"/>
    <w:rsid w:val="00DF0706"/>
    <w:rsid w:val="00E011B1"/>
    <w:rsid w:val="00E10CDB"/>
    <w:rsid w:val="00E252AA"/>
    <w:rsid w:val="00E35EC8"/>
    <w:rsid w:val="00E4281C"/>
    <w:rsid w:val="00E8361D"/>
    <w:rsid w:val="00E90F64"/>
    <w:rsid w:val="00EC2EBF"/>
    <w:rsid w:val="00EC5259"/>
    <w:rsid w:val="00EF39D1"/>
    <w:rsid w:val="00EF7B61"/>
    <w:rsid w:val="00F0045B"/>
    <w:rsid w:val="00F14372"/>
    <w:rsid w:val="00F3215A"/>
    <w:rsid w:val="00F32CEA"/>
    <w:rsid w:val="00F60B6D"/>
    <w:rsid w:val="00FB636D"/>
    <w:rsid w:val="00FD7E2A"/>
    <w:rsid w:val="00FE78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52A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7042"/>
    <w:pPr>
      <w:spacing w:after="0" w:line="240" w:lineRule="auto"/>
    </w:pPr>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C67042"/>
    <w:pPr>
      <w:spacing w:after="240" w:line="360" w:lineRule="auto"/>
      <w:ind w:firstLine="720"/>
    </w:pPr>
    <w:rPr>
      <w:rFonts w:ascii="Times New Roman" w:eastAsia="Arial" w:hAnsi="Times New Roman" w:cs="Arial"/>
      <w:color w:val="000000"/>
      <w:sz w:val="24"/>
      <w:szCs w:val="24"/>
      <w:lang w:eastAsia="ja-JP"/>
    </w:rPr>
  </w:style>
  <w:style w:type="table" w:styleId="TableGrid">
    <w:name w:val="Table Grid"/>
    <w:basedOn w:val="TableNormal"/>
    <w:uiPriority w:val="59"/>
    <w:rsid w:val="00C67042"/>
    <w:pPr>
      <w:spacing w:after="0" w:line="240" w:lineRule="auto"/>
    </w:pPr>
    <w:rPr>
      <w:rFonts w:eastAsiaTheme="minorEastAsia"/>
      <w:sz w:val="24"/>
      <w:szCs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C67042"/>
  </w:style>
  <w:style w:type="character" w:customStyle="1" w:styleId="FootnoteTextChar">
    <w:name w:val="Footnote Text Char"/>
    <w:basedOn w:val="DefaultParagraphFont"/>
    <w:link w:val="FootnoteText"/>
    <w:uiPriority w:val="99"/>
    <w:rsid w:val="00C67042"/>
    <w:rPr>
      <w:rFonts w:eastAsiaTheme="minorEastAsia"/>
      <w:sz w:val="24"/>
      <w:szCs w:val="24"/>
    </w:rPr>
  </w:style>
  <w:style w:type="character" w:styleId="FootnoteReference">
    <w:name w:val="footnote reference"/>
    <w:basedOn w:val="DefaultParagraphFont"/>
    <w:uiPriority w:val="99"/>
    <w:unhideWhenUsed/>
    <w:rsid w:val="00C67042"/>
    <w:rPr>
      <w:vertAlign w:val="superscript"/>
    </w:rPr>
  </w:style>
  <w:style w:type="paragraph" w:styleId="ListParagraph">
    <w:name w:val="List Paragraph"/>
    <w:basedOn w:val="Normal"/>
    <w:uiPriority w:val="34"/>
    <w:qFormat/>
    <w:rsid w:val="00A71140"/>
    <w:pPr>
      <w:ind w:left="720"/>
      <w:contextualSpacing/>
    </w:pPr>
  </w:style>
  <w:style w:type="paragraph" w:styleId="Header">
    <w:name w:val="header"/>
    <w:basedOn w:val="Normal"/>
    <w:link w:val="HeaderChar"/>
    <w:uiPriority w:val="99"/>
    <w:unhideWhenUsed/>
    <w:rsid w:val="0012016D"/>
    <w:pPr>
      <w:tabs>
        <w:tab w:val="center" w:pos="4680"/>
        <w:tab w:val="right" w:pos="9360"/>
      </w:tabs>
    </w:pPr>
  </w:style>
  <w:style w:type="character" w:customStyle="1" w:styleId="HeaderChar">
    <w:name w:val="Header Char"/>
    <w:basedOn w:val="DefaultParagraphFont"/>
    <w:link w:val="Header"/>
    <w:uiPriority w:val="99"/>
    <w:rsid w:val="0012016D"/>
    <w:rPr>
      <w:rFonts w:eastAsiaTheme="minorEastAsia"/>
      <w:sz w:val="24"/>
      <w:szCs w:val="24"/>
    </w:rPr>
  </w:style>
  <w:style w:type="paragraph" w:styleId="Footer">
    <w:name w:val="footer"/>
    <w:basedOn w:val="Normal"/>
    <w:link w:val="FooterChar"/>
    <w:uiPriority w:val="99"/>
    <w:unhideWhenUsed/>
    <w:rsid w:val="0012016D"/>
    <w:pPr>
      <w:tabs>
        <w:tab w:val="center" w:pos="4680"/>
        <w:tab w:val="right" w:pos="9360"/>
      </w:tabs>
    </w:pPr>
  </w:style>
  <w:style w:type="character" w:customStyle="1" w:styleId="FooterChar">
    <w:name w:val="Footer Char"/>
    <w:basedOn w:val="DefaultParagraphFont"/>
    <w:link w:val="Footer"/>
    <w:uiPriority w:val="99"/>
    <w:rsid w:val="0012016D"/>
    <w:rPr>
      <w:rFonts w:eastAsiaTheme="minorEastAsia"/>
      <w:sz w:val="24"/>
      <w:szCs w:val="24"/>
    </w:rPr>
  </w:style>
  <w:style w:type="paragraph" w:customStyle="1" w:styleId="Normal0">
    <w:name w:val="Normal_0"/>
    <w:qFormat/>
    <w:rsid w:val="00FD7E2A"/>
    <w:pPr>
      <w:spacing w:after="0"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F3746"/>
    <w:rPr>
      <w:rFonts w:ascii="Tahoma" w:hAnsi="Tahoma" w:cs="Tahoma"/>
      <w:sz w:val="16"/>
      <w:szCs w:val="16"/>
    </w:rPr>
  </w:style>
  <w:style w:type="character" w:customStyle="1" w:styleId="BalloonTextChar">
    <w:name w:val="Balloon Text Char"/>
    <w:basedOn w:val="DefaultParagraphFont"/>
    <w:link w:val="BalloonText"/>
    <w:uiPriority w:val="99"/>
    <w:semiHidden/>
    <w:rsid w:val="005F3746"/>
    <w:rPr>
      <w:rFonts w:ascii="Tahoma" w:eastAsiaTheme="minorEastAsia" w:hAnsi="Tahoma" w:cs="Tahoma"/>
      <w:sz w:val="16"/>
      <w:szCs w:val="16"/>
    </w:rPr>
  </w:style>
  <w:style w:type="character" w:styleId="Hyperlink">
    <w:name w:val="Hyperlink"/>
    <w:basedOn w:val="DefaultParagraphFont"/>
    <w:uiPriority w:val="99"/>
    <w:unhideWhenUsed/>
    <w:rsid w:val="00C41BD0"/>
    <w:rPr>
      <w:color w:val="0000FF" w:themeColor="hyperlink"/>
      <w:u w:val="single"/>
    </w:rPr>
  </w:style>
  <w:style w:type="paragraph" w:styleId="NormalWeb">
    <w:name w:val="Normal (Web)"/>
    <w:basedOn w:val="Normal"/>
    <w:uiPriority w:val="99"/>
    <w:unhideWhenUsed/>
    <w:rsid w:val="007E287C"/>
    <w:pPr>
      <w:spacing w:before="100" w:beforeAutospacing="1" w:after="100" w:afterAutospacing="1"/>
    </w:pPr>
    <w:rPr>
      <w:rFonts w:ascii="Times New Roman" w:eastAsia="Times New Roman" w:hAnsi="Times New Roman" w:cs="Times New Roman"/>
    </w:rPr>
  </w:style>
  <w:style w:type="paragraph" w:customStyle="1" w:styleId="thirdlevel">
    <w:name w:val="thirdlevel"/>
    <w:basedOn w:val="Normal"/>
    <w:rsid w:val="00CA6980"/>
    <w:pPr>
      <w:spacing w:before="100" w:beforeAutospacing="1" w:after="100" w:afterAutospacing="1"/>
    </w:pPr>
    <w:rPr>
      <w:rFonts w:ascii="Times New Roman" w:eastAsia="Times New Roman" w:hAnsi="Times New Roman" w:cs="Times New Roman"/>
    </w:rPr>
  </w:style>
  <w:style w:type="paragraph" w:customStyle="1" w:styleId="fourthlevel">
    <w:name w:val="fourthlevel"/>
    <w:basedOn w:val="Normal"/>
    <w:rsid w:val="00CA6980"/>
    <w:pPr>
      <w:spacing w:before="100" w:beforeAutospacing="1" w:after="100" w:afterAutospacing="1"/>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5B6990"/>
    <w:rPr>
      <w:sz w:val="16"/>
      <w:szCs w:val="16"/>
    </w:rPr>
  </w:style>
  <w:style w:type="paragraph" w:styleId="CommentText">
    <w:name w:val="annotation text"/>
    <w:basedOn w:val="Normal"/>
    <w:link w:val="CommentTextChar"/>
    <w:uiPriority w:val="99"/>
    <w:semiHidden/>
    <w:unhideWhenUsed/>
    <w:rsid w:val="005B6990"/>
    <w:rPr>
      <w:sz w:val="20"/>
      <w:szCs w:val="20"/>
    </w:rPr>
  </w:style>
  <w:style w:type="character" w:customStyle="1" w:styleId="CommentTextChar">
    <w:name w:val="Comment Text Char"/>
    <w:basedOn w:val="DefaultParagraphFont"/>
    <w:link w:val="CommentText"/>
    <w:uiPriority w:val="99"/>
    <w:semiHidden/>
    <w:rsid w:val="005B6990"/>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5B6990"/>
    <w:rPr>
      <w:b/>
      <w:bCs/>
    </w:rPr>
  </w:style>
  <w:style w:type="character" w:customStyle="1" w:styleId="CommentSubjectChar">
    <w:name w:val="Comment Subject Char"/>
    <w:basedOn w:val="CommentTextChar"/>
    <w:link w:val="CommentSubject"/>
    <w:uiPriority w:val="99"/>
    <w:semiHidden/>
    <w:rsid w:val="005B6990"/>
    <w:rPr>
      <w:rFonts w:eastAsiaTheme="minorEastAsia"/>
      <w:b/>
      <w:bCs/>
      <w:sz w:val="20"/>
      <w:szCs w:val="20"/>
    </w:rPr>
  </w:style>
  <w:style w:type="paragraph" w:customStyle="1" w:styleId="definition-inner-item">
    <w:name w:val="definition-inner-item"/>
    <w:basedOn w:val="Normal"/>
    <w:rsid w:val="00BB28B0"/>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BB28B0"/>
    <w:rPr>
      <w:i/>
      <w:iCs/>
    </w:rPr>
  </w:style>
  <w:style w:type="character" w:customStyle="1" w:styleId="intro-colon">
    <w:name w:val="intro-colon"/>
    <w:basedOn w:val="DefaultParagraphFont"/>
    <w:rsid w:val="00BB28B0"/>
  </w:style>
  <w:style w:type="character" w:customStyle="1" w:styleId="oneclick-link">
    <w:name w:val="oneclick-link"/>
    <w:basedOn w:val="DefaultParagraphFont"/>
    <w:rsid w:val="00BB28B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7042"/>
    <w:pPr>
      <w:spacing w:after="0" w:line="240" w:lineRule="auto"/>
    </w:pPr>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C67042"/>
    <w:pPr>
      <w:spacing w:after="240" w:line="360" w:lineRule="auto"/>
      <w:ind w:firstLine="720"/>
    </w:pPr>
    <w:rPr>
      <w:rFonts w:ascii="Times New Roman" w:eastAsia="Arial" w:hAnsi="Times New Roman" w:cs="Arial"/>
      <w:color w:val="000000"/>
      <w:sz w:val="24"/>
      <w:szCs w:val="24"/>
      <w:lang w:eastAsia="ja-JP"/>
    </w:rPr>
  </w:style>
  <w:style w:type="table" w:styleId="TableGrid">
    <w:name w:val="Table Grid"/>
    <w:basedOn w:val="TableNormal"/>
    <w:uiPriority w:val="59"/>
    <w:rsid w:val="00C67042"/>
    <w:pPr>
      <w:spacing w:after="0" w:line="240" w:lineRule="auto"/>
    </w:pPr>
    <w:rPr>
      <w:rFonts w:eastAsiaTheme="minorEastAsia"/>
      <w:sz w:val="24"/>
      <w:szCs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C67042"/>
  </w:style>
  <w:style w:type="character" w:customStyle="1" w:styleId="FootnoteTextChar">
    <w:name w:val="Footnote Text Char"/>
    <w:basedOn w:val="DefaultParagraphFont"/>
    <w:link w:val="FootnoteText"/>
    <w:uiPriority w:val="99"/>
    <w:rsid w:val="00C67042"/>
    <w:rPr>
      <w:rFonts w:eastAsiaTheme="minorEastAsia"/>
      <w:sz w:val="24"/>
      <w:szCs w:val="24"/>
    </w:rPr>
  </w:style>
  <w:style w:type="character" w:styleId="FootnoteReference">
    <w:name w:val="footnote reference"/>
    <w:basedOn w:val="DefaultParagraphFont"/>
    <w:uiPriority w:val="99"/>
    <w:unhideWhenUsed/>
    <w:rsid w:val="00C67042"/>
    <w:rPr>
      <w:vertAlign w:val="superscript"/>
    </w:rPr>
  </w:style>
  <w:style w:type="paragraph" w:styleId="ListParagraph">
    <w:name w:val="List Paragraph"/>
    <w:basedOn w:val="Normal"/>
    <w:uiPriority w:val="34"/>
    <w:qFormat/>
    <w:rsid w:val="00A71140"/>
    <w:pPr>
      <w:ind w:left="720"/>
      <w:contextualSpacing/>
    </w:pPr>
  </w:style>
  <w:style w:type="paragraph" w:styleId="Header">
    <w:name w:val="header"/>
    <w:basedOn w:val="Normal"/>
    <w:link w:val="HeaderChar"/>
    <w:uiPriority w:val="99"/>
    <w:unhideWhenUsed/>
    <w:rsid w:val="0012016D"/>
    <w:pPr>
      <w:tabs>
        <w:tab w:val="center" w:pos="4680"/>
        <w:tab w:val="right" w:pos="9360"/>
      </w:tabs>
    </w:pPr>
  </w:style>
  <w:style w:type="character" w:customStyle="1" w:styleId="HeaderChar">
    <w:name w:val="Header Char"/>
    <w:basedOn w:val="DefaultParagraphFont"/>
    <w:link w:val="Header"/>
    <w:uiPriority w:val="99"/>
    <w:rsid w:val="0012016D"/>
    <w:rPr>
      <w:rFonts w:eastAsiaTheme="minorEastAsia"/>
      <w:sz w:val="24"/>
      <w:szCs w:val="24"/>
    </w:rPr>
  </w:style>
  <w:style w:type="paragraph" w:styleId="Footer">
    <w:name w:val="footer"/>
    <w:basedOn w:val="Normal"/>
    <w:link w:val="FooterChar"/>
    <w:uiPriority w:val="99"/>
    <w:unhideWhenUsed/>
    <w:rsid w:val="0012016D"/>
    <w:pPr>
      <w:tabs>
        <w:tab w:val="center" w:pos="4680"/>
        <w:tab w:val="right" w:pos="9360"/>
      </w:tabs>
    </w:pPr>
  </w:style>
  <w:style w:type="character" w:customStyle="1" w:styleId="FooterChar">
    <w:name w:val="Footer Char"/>
    <w:basedOn w:val="DefaultParagraphFont"/>
    <w:link w:val="Footer"/>
    <w:uiPriority w:val="99"/>
    <w:rsid w:val="0012016D"/>
    <w:rPr>
      <w:rFonts w:eastAsiaTheme="minorEastAsia"/>
      <w:sz w:val="24"/>
      <w:szCs w:val="24"/>
    </w:rPr>
  </w:style>
  <w:style w:type="paragraph" w:customStyle="1" w:styleId="Normal0">
    <w:name w:val="Normal_0"/>
    <w:qFormat/>
    <w:rsid w:val="00FD7E2A"/>
    <w:pPr>
      <w:spacing w:after="0"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F3746"/>
    <w:rPr>
      <w:rFonts w:ascii="Tahoma" w:hAnsi="Tahoma" w:cs="Tahoma"/>
      <w:sz w:val="16"/>
      <w:szCs w:val="16"/>
    </w:rPr>
  </w:style>
  <w:style w:type="character" w:customStyle="1" w:styleId="BalloonTextChar">
    <w:name w:val="Balloon Text Char"/>
    <w:basedOn w:val="DefaultParagraphFont"/>
    <w:link w:val="BalloonText"/>
    <w:uiPriority w:val="99"/>
    <w:semiHidden/>
    <w:rsid w:val="005F3746"/>
    <w:rPr>
      <w:rFonts w:ascii="Tahoma" w:eastAsiaTheme="minorEastAsia" w:hAnsi="Tahoma" w:cs="Tahoma"/>
      <w:sz w:val="16"/>
      <w:szCs w:val="16"/>
    </w:rPr>
  </w:style>
  <w:style w:type="character" w:styleId="Hyperlink">
    <w:name w:val="Hyperlink"/>
    <w:basedOn w:val="DefaultParagraphFont"/>
    <w:uiPriority w:val="99"/>
    <w:unhideWhenUsed/>
    <w:rsid w:val="00C41BD0"/>
    <w:rPr>
      <w:color w:val="0000FF" w:themeColor="hyperlink"/>
      <w:u w:val="single"/>
    </w:rPr>
  </w:style>
  <w:style w:type="paragraph" w:styleId="NormalWeb">
    <w:name w:val="Normal (Web)"/>
    <w:basedOn w:val="Normal"/>
    <w:uiPriority w:val="99"/>
    <w:unhideWhenUsed/>
    <w:rsid w:val="007E287C"/>
    <w:pPr>
      <w:spacing w:before="100" w:beforeAutospacing="1" w:after="100" w:afterAutospacing="1"/>
    </w:pPr>
    <w:rPr>
      <w:rFonts w:ascii="Times New Roman" w:eastAsia="Times New Roman" w:hAnsi="Times New Roman" w:cs="Times New Roman"/>
    </w:rPr>
  </w:style>
  <w:style w:type="paragraph" w:customStyle="1" w:styleId="thirdlevel">
    <w:name w:val="thirdlevel"/>
    <w:basedOn w:val="Normal"/>
    <w:rsid w:val="00CA6980"/>
    <w:pPr>
      <w:spacing w:before="100" w:beforeAutospacing="1" w:after="100" w:afterAutospacing="1"/>
    </w:pPr>
    <w:rPr>
      <w:rFonts w:ascii="Times New Roman" w:eastAsia="Times New Roman" w:hAnsi="Times New Roman" w:cs="Times New Roman"/>
    </w:rPr>
  </w:style>
  <w:style w:type="paragraph" w:customStyle="1" w:styleId="fourthlevel">
    <w:name w:val="fourthlevel"/>
    <w:basedOn w:val="Normal"/>
    <w:rsid w:val="00CA6980"/>
    <w:pPr>
      <w:spacing w:before="100" w:beforeAutospacing="1" w:after="100" w:afterAutospacing="1"/>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5B6990"/>
    <w:rPr>
      <w:sz w:val="16"/>
      <w:szCs w:val="16"/>
    </w:rPr>
  </w:style>
  <w:style w:type="paragraph" w:styleId="CommentText">
    <w:name w:val="annotation text"/>
    <w:basedOn w:val="Normal"/>
    <w:link w:val="CommentTextChar"/>
    <w:uiPriority w:val="99"/>
    <w:semiHidden/>
    <w:unhideWhenUsed/>
    <w:rsid w:val="005B6990"/>
    <w:rPr>
      <w:sz w:val="20"/>
      <w:szCs w:val="20"/>
    </w:rPr>
  </w:style>
  <w:style w:type="character" w:customStyle="1" w:styleId="CommentTextChar">
    <w:name w:val="Comment Text Char"/>
    <w:basedOn w:val="DefaultParagraphFont"/>
    <w:link w:val="CommentText"/>
    <w:uiPriority w:val="99"/>
    <w:semiHidden/>
    <w:rsid w:val="005B6990"/>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5B6990"/>
    <w:rPr>
      <w:b/>
      <w:bCs/>
    </w:rPr>
  </w:style>
  <w:style w:type="character" w:customStyle="1" w:styleId="CommentSubjectChar">
    <w:name w:val="Comment Subject Char"/>
    <w:basedOn w:val="CommentTextChar"/>
    <w:link w:val="CommentSubject"/>
    <w:uiPriority w:val="99"/>
    <w:semiHidden/>
    <w:rsid w:val="005B6990"/>
    <w:rPr>
      <w:rFonts w:eastAsiaTheme="minorEastAsia"/>
      <w:b/>
      <w:bCs/>
      <w:sz w:val="20"/>
      <w:szCs w:val="20"/>
    </w:rPr>
  </w:style>
  <w:style w:type="paragraph" w:customStyle="1" w:styleId="definition-inner-item">
    <w:name w:val="definition-inner-item"/>
    <w:basedOn w:val="Normal"/>
    <w:rsid w:val="00BB28B0"/>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BB28B0"/>
    <w:rPr>
      <w:i/>
      <w:iCs/>
    </w:rPr>
  </w:style>
  <w:style w:type="character" w:customStyle="1" w:styleId="intro-colon">
    <w:name w:val="intro-colon"/>
    <w:basedOn w:val="DefaultParagraphFont"/>
    <w:rsid w:val="00BB28B0"/>
  </w:style>
  <w:style w:type="character" w:customStyle="1" w:styleId="oneclick-link">
    <w:name w:val="oneclick-link"/>
    <w:basedOn w:val="DefaultParagraphFont"/>
    <w:rsid w:val="00BB28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921655">
      <w:bodyDiv w:val="1"/>
      <w:marLeft w:val="0"/>
      <w:marRight w:val="0"/>
      <w:marTop w:val="0"/>
      <w:marBottom w:val="0"/>
      <w:divBdr>
        <w:top w:val="none" w:sz="0" w:space="0" w:color="auto"/>
        <w:left w:val="none" w:sz="0" w:space="0" w:color="auto"/>
        <w:bottom w:val="none" w:sz="0" w:space="0" w:color="auto"/>
        <w:right w:val="none" w:sz="0" w:space="0" w:color="auto"/>
      </w:divBdr>
    </w:div>
    <w:div w:id="192115452">
      <w:bodyDiv w:val="1"/>
      <w:marLeft w:val="0"/>
      <w:marRight w:val="0"/>
      <w:marTop w:val="0"/>
      <w:marBottom w:val="0"/>
      <w:divBdr>
        <w:top w:val="none" w:sz="0" w:space="0" w:color="auto"/>
        <w:left w:val="none" w:sz="0" w:space="0" w:color="auto"/>
        <w:bottom w:val="none" w:sz="0" w:space="0" w:color="auto"/>
        <w:right w:val="none" w:sz="0" w:space="0" w:color="auto"/>
      </w:divBdr>
    </w:div>
    <w:div w:id="343945474">
      <w:bodyDiv w:val="1"/>
      <w:marLeft w:val="0"/>
      <w:marRight w:val="0"/>
      <w:marTop w:val="0"/>
      <w:marBottom w:val="0"/>
      <w:divBdr>
        <w:top w:val="none" w:sz="0" w:space="0" w:color="auto"/>
        <w:left w:val="none" w:sz="0" w:space="0" w:color="auto"/>
        <w:bottom w:val="none" w:sz="0" w:space="0" w:color="auto"/>
        <w:right w:val="none" w:sz="0" w:space="0" w:color="auto"/>
      </w:divBdr>
    </w:div>
    <w:div w:id="822503310">
      <w:bodyDiv w:val="1"/>
      <w:marLeft w:val="0"/>
      <w:marRight w:val="0"/>
      <w:marTop w:val="0"/>
      <w:marBottom w:val="0"/>
      <w:divBdr>
        <w:top w:val="none" w:sz="0" w:space="0" w:color="auto"/>
        <w:left w:val="none" w:sz="0" w:space="0" w:color="auto"/>
        <w:bottom w:val="none" w:sz="0" w:space="0" w:color="auto"/>
        <w:right w:val="none" w:sz="0" w:space="0" w:color="auto"/>
      </w:divBdr>
    </w:div>
    <w:div w:id="1475564654">
      <w:bodyDiv w:val="1"/>
      <w:marLeft w:val="0"/>
      <w:marRight w:val="0"/>
      <w:marTop w:val="0"/>
      <w:marBottom w:val="0"/>
      <w:divBdr>
        <w:top w:val="none" w:sz="0" w:space="0" w:color="auto"/>
        <w:left w:val="none" w:sz="0" w:space="0" w:color="auto"/>
        <w:bottom w:val="none" w:sz="0" w:space="0" w:color="auto"/>
        <w:right w:val="none" w:sz="0" w:space="0" w:color="auto"/>
      </w:divBdr>
    </w:div>
    <w:div w:id="1565943247">
      <w:bodyDiv w:val="1"/>
      <w:marLeft w:val="0"/>
      <w:marRight w:val="0"/>
      <w:marTop w:val="0"/>
      <w:marBottom w:val="0"/>
      <w:divBdr>
        <w:top w:val="none" w:sz="0" w:space="0" w:color="auto"/>
        <w:left w:val="none" w:sz="0" w:space="0" w:color="auto"/>
        <w:bottom w:val="none" w:sz="0" w:space="0" w:color="auto"/>
        <w:right w:val="none" w:sz="0" w:space="0" w:color="auto"/>
      </w:divBdr>
    </w:div>
    <w:div w:id="1632592605">
      <w:bodyDiv w:val="1"/>
      <w:marLeft w:val="0"/>
      <w:marRight w:val="0"/>
      <w:marTop w:val="0"/>
      <w:marBottom w:val="0"/>
      <w:divBdr>
        <w:top w:val="none" w:sz="0" w:space="0" w:color="auto"/>
        <w:left w:val="none" w:sz="0" w:space="0" w:color="auto"/>
        <w:bottom w:val="none" w:sz="0" w:space="0" w:color="auto"/>
        <w:right w:val="none" w:sz="0" w:space="0" w:color="auto"/>
      </w:divBdr>
    </w:div>
    <w:div w:id="1766883164">
      <w:bodyDiv w:val="1"/>
      <w:marLeft w:val="0"/>
      <w:marRight w:val="0"/>
      <w:marTop w:val="0"/>
      <w:marBottom w:val="0"/>
      <w:divBdr>
        <w:top w:val="none" w:sz="0" w:space="0" w:color="auto"/>
        <w:left w:val="none" w:sz="0" w:space="0" w:color="auto"/>
        <w:bottom w:val="none" w:sz="0" w:space="0" w:color="auto"/>
        <w:right w:val="none" w:sz="0" w:space="0" w:color="auto"/>
      </w:divBdr>
      <w:divsChild>
        <w:div w:id="1217161337">
          <w:marLeft w:val="0"/>
          <w:marRight w:val="0"/>
          <w:marTop w:val="0"/>
          <w:marBottom w:val="0"/>
          <w:divBdr>
            <w:top w:val="none" w:sz="0" w:space="0" w:color="auto"/>
            <w:left w:val="none" w:sz="0" w:space="0" w:color="auto"/>
            <w:bottom w:val="none" w:sz="0" w:space="0" w:color="auto"/>
            <w:right w:val="none" w:sz="0" w:space="0" w:color="auto"/>
          </w:divBdr>
        </w:div>
        <w:div w:id="55209755">
          <w:marLeft w:val="0"/>
          <w:marRight w:val="0"/>
          <w:marTop w:val="0"/>
          <w:marBottom w:val="0"/>
          <w:divBdr>
            <w:top w:val="none" w:sz="0" w:space="0" w:color="auto"/>
            <w:left w:val="none" w:sz="0" w:space="0" w:color="auto"/>
            <w:bottom w:val="none" w:sz="0" w:space="0" w:color="auto"/>
            <w:right w:val="none" w:sz="0" w:space="0" w:color="auto"/>
          </w:divBdr>
        </w:div>
        <w:div w:id="352846019">
          <w:marLeft w:val="0"/>
          <w:marRight w:val="0"/>
          <w:marTop w:val="0"/>
          <w:marBottom w:val="0"/>
          <w:divBdr>
            <w:top w:val="none" w:sz="0" w:space="0" w:color="auto"/>
            <w:left w:val="none" w:sz="0" w:space="0" w:color="auto"/>
            <w:bottom w:val="none" w:sz="0" w:space="0" w:color="auto"/>
            <w:right w:val="none" w:sz="0" w:space="0" w:color="auto"/>
          </w:divBdr>
        </w:div>
        <w:div w:id="1409693172">
          <w:marLeft w:val="0"/>
          <w:marRight w:val="0"/>
          <w:marTop w:val="0"/>
          <w:marBottom w:val="0"/>
          <w:divBdr>
            <w:top w:val="none" w:sz="0" w:space="0" w:color="auto"/>
            <w:left w:val="none" w:sz="0" w:space="0" w:color="auto"/>
            <w:bottom w:val="none" w:sz="0" w:space="0" w:color="auto"/>
            <w:right w:val="none" w:sz="0" w:space="0" w:color="auto"/>
          </w:divBdr>
        </w:div>
        <w:div w:id="1895507602">
          <w:marLeft w:val="0"/>
          <w:marRight w:val="0"/>
          <w:marTop w:val="0"/>
          <w:marBottom w:val="0"/>
          <w:divBdr>
            <w:top w:val="none" w:sz="0" w:space="0" w:color="auto"/>
            <w:left w:val="none" w:sz="0" w:space="0" w:color="auto"/>
            <w:bottom w:val="none" w:sz="0" w:space="0" w:color="auto"/>
            <w:right w:val="none" w:sz="0" w:space="0" w:color="auto"/>
          </w:divBdr>
        </w:div>
        <w:div w:id="1027684019">
          <w:marLeft w:val="0"/>
          <w:marRight w:val="0"/>
          <w:marTop w:val="0"/>
          <w:marBottom w:val="0"/>
          <w:divBdr>
            <w:top w:val="none" w:sz="0" w:space="0" w:color="auto"/>
            <w:left w:val="none" w:sz="0" w:space="0" w:color="auto"/>
            <w:bottom w:val="none" w:sz="0" w:space="0" w:color="auto"/>
            <w:right w:val="none" w:sz="0" w:space="0" w:color="auto"/>
          </w:divBdr>
        </w:div>
        <w:div w:id="426191610">
          <w:marLeft w:val="0"/>
          <w:marRight w:val="0"/>
          <w:marTop w:val="0"/>
          <w:marBottom w:val="0"/>
          <w:divBdr>
            <w:top w:val="none" w:sz="0" w:space="0" w:color="auto"/>
            <w:left w:val="none" w:sz="0" w:space="0" w:color="auto"/>
            <w:bottom w:val="none" w:sz="0" w:space="0" w:color="auto"/>
            <w:right w:val="none" w:sz="0" w:space="0" w:color="auto"/>
          </w:divBdr>
        </w:div>
        <w:div w:id="1391071944">
          <w:marLeft w:val="0"/>
          <w:marRight w:val="0"/>
          <w:marTop w:val="0"/>
          <w:marBottom w:val="0"/>
          <w:divBdr>
            <w:top w:val="none" w:sz="0" w:space="0" w:color="auto"/>
            <w:left w:val="none" w:sz="0" w:space="0" w:color="auto"/>
            <w:bottom w:val="none" w:sz="0" w:space="0" w:color="auto"/>
            <w:right w:val="none" w:sz="0" w:space="0" w:color="auto"/>
          </w:divBdr>
        </w:div>
        <w:div w:id="2124225927">
          <w:marLeft w:val="0"/>
          <w:marRight w:val="0"/>
          <w:marTop w:val="0"/>
          <w:marBottom w:val="0"/>
          <w:divBdr>
            <w:top w:val="none" w:sz="0" w:space="0" w:color="auto"/>
            <w:left w:val="none" w:sz="0" w:space="0" w:color="auto"/>
            <w:bottom w:val="none" w:sz="0" w:space="0" w:color="auto"/>
            <w:right w:val="none" w:sz="0" w:space="0" w:color="auto"/>
          </w:divBdr>
        </w:div>
        <w:div w:id="1518957942">
          <w:marLeft w:val="0"/>
          <w:marRight w:val="0"/>
          <w:marTop w:val="0"/>
          <w:marBottom w:val="0"/>
          <w:divBdr>
            <w:top w:val="none" w:sz="0" w:space="0" w:color="auto"/>
            <w:left w:val="none" w:sz="0" w:space="0" w:color="auto"/>
            <w:bottom w:val="none" w:sz="0" w:space="0" w:color="auto"/>
            <w:right w:val="none" w:sz="0" w:space="0" w:color="auto"/>
          </w:divBdr>
        </w:div>
        <w:div w:id="1823698730">
          <w:marLeft w:val="0"/>
          <w:marRight w:val="0"/>
          <w:marTop w:val="0"/>
          <w:marBottom w:val="0"/>
          <w:divBdr>
            <w:top w:val="none" w:sz="0" w:space="0" w:color="auto"/>
            <w:left w:val="none" w:sz="0" w:space="0" w:color="auto"/>
            <w:bottom w:val="none" w:sz="0" w:space="0" w:color="auto"/>
            <w:right w:val="none" w:sz="0" w:space="0" w:color="auto"/>
          </w:divBdr>
        </w:div>
        <w:div w:id="1185050366">
          <w:marLeft w:val="0"/>
          <w:marRight w:val="0"/>
          <w:marTop w:val="0"/>
          <w:marBottom w:val="0"/>
          <w:divBdr>
            <w:top w:val="none" w:sz="0" w:space="0" w:color="auto"/>
            <w:left w:val="none" w:sz="0" w:space="0" w:color="auto"/>
            <w:bottom w:val="none" w:sz="0" w:space="0" w:color="auto"/>
            <w:right w:val="none" w:sz="0" w:space="0" w:color="auto"/>
          </w:divBdr>
        </w:div>
        <w:div w:id="619803415">
          <w:marLeft w:val="0"/>
          <w:marRight w:val="0"/>
          <w:marTop w:val="0"/>
          <w:marBottom w:val="0"/>
          <w:divBdr>
            <w:top w:val="none" w:sz="0" w:space="0" w:color="auto"/>
            <w:left w:val="none" w:sz="0" w:space="0" w:color="auto"/>
            <w:bottom w:val="none" w:sz="0" w:space="0" w:color="auto"/>
            <w:right w:val="none" w:sz="0" w:space="0" w:color="auto"/>
          </w:divBdr>
        </w:div>
        <w:div w:id="1406144623">
          <w:marLeft w:val="0"/>
          <w:marRight w:val="0"/>
          <w:marTop w:val="0"/>
          <w:marBottom w:val="0"/>
          <w:divBdr>
            <w:top w:val="none" w:sz="0" w:space="0" w:color="auto"/>
            <w:left w:val="none" w:sz="0" w:space="0" w:color="auto"/>
            <w:bottom w:val="none" w:sz="0" w:space="0" w:color="auto"/>
            <w:right w:val="none" w:sz="0" w:space="0" w:color="auto"/>
          </w:divBdr>
        </w:div>
        <w:div w:id="2064913082">
          <w:marLeft w:val="0"/>
          <w:marRight w:val="0"/>
          <w:marTop w:val="0"/>
          <w:marBottom w:val="0"/>
          <w:divBdr>
            <w:top w:val="none" w:sz="0" w:space="0" w:color="auto"/>
            <w:left w:val="none" w:sz="0" w:space="0" w:color="auto"/>
            <w:bottom w:val="none" w:sz="0" w:space="0" w:color="auto"/>
            <w:right w:val="none" w:sz="0" w:space="0" w:color="auto"/>
          </w:divBdr>
        </w:div>
        <w:div w:id="1901362171">
          <w:marLeft w:val="0"/>
          <w:marRight w:val="0"/>
          <w:marTop w:val="0"/>
          <w:marBottom w:val="0"/>
          <w:divBdr>
            <w:top w:val="none" w:sz="0" w:space="0" w:color="auto"/>
            <w:left w:val="none" w:sz="0" w:space="0" w:color="auto"/>
            <w:bottom w:val="none" w:sz="0" w:space="0" w:color="auto"/>
            <w:right w:val="none" w:sz="0" w:space="0" w:color="auto"/>
          </w:divBdr>
        </w:div>
        <w:div w:id="93258067">
          <w:marLeft w:val="0"/>
          <w:marRight w:val="0"/>
          <w:marTop w:val="0"/>
          <w:marBottom w:val="0"/>
          <w:divBdr>
            <w:top w:val="none" w:sz="0" w:space="0" w:color="auto"/>
            <w:left w:val="none" w:sz="0" w:space="0" w:color="auto"/>
            <w:bottom w:val="none" w:sz="0" w:space="0" w:color="auto"/>
            <w:right w:val="none" w:sz="0" w:space="0" w:color="auto"/>
          </w:divBdr>
        </w:div>
        <w:div w:id="1711033767">
          <w:marLeft w:val="0"/>
          <w:marRight w:val="0"/>
          <w:marTop w:val="0"/>
          <w:marBottom w:val="0"/>
          <w:divBdr>
            <w:top w:val="none" w:sz="0" w:space="0" w:color="auto"/>
            <w:left w:val="none" w:sz="0" w:space="0" w:color="auto"/>
            <w:bottom w:val="none" w:sz="0" w:space="0" w:color="auto"/>
            <w:right w:val="none" w:sz="0" w:space="0" w:color="auto"/>
          </w:divBdr>
        </w:div>
        <w:div w:id="648561781">
          <w:marLeft w:val="0"/>
          <w:marRight w:val="0"/>
          <w:marTop w:val="0"/>
          <w:marBottom w:val="0"/>
          <w:divBdr>
            <w:top w:val="none" w:sz="0" w:space="0" w:color="auto"/>
            <w:left w:val="none" w:sz="0" w:space="0" w:color="auto"/>
            <w:bottom w:val="none" w:sz="0" w:space="0" w:color="auto"/>
            <w:right w:val="none" w:sz="0" w:space="0" w:color="auto"/>
          </w:divBdr>
        </w:div>
        <w:div w:id="1233849251">
          <w:marLeft w:val="0"/>
          <w:marRight w:val="0"/>
          <w:marTop w:val="0"/>
          <w:marBottom w:val="0"/>
          <w:divBdr>
            <w:top w:val="none" w:sz="0" w:space="0" w:color="auto"/>
            <w:left w:val="none" w:sz="0" w:space="0" w:color="auto"/>
            <w:bottom w:val="none" w:sz="0" w:space="0" w:color="auto"/>
            <w:right w:val="none" w:sz="0" w:space="0" w:color="auto"/>
          </w:divBdr>
        </w:div>
      </w:divsChild>
    </w:div>
    <w:div w:id="1771508993">
      <w:bodyDiv w:val="1"/>
      <w:marLeft w:val="0"/>
      <w:marRight w:val="0"/>
      <w:marTop w:val="0"/>
      <w:marBottom w:val="0"/>
      <w:divBdr>
        <w:top w:val="none" w:sz="0" w:space="0" w:color="auto"/>
        <w:left w:val="none" w:sz="0" w:space="0" w:color="auto"/>
        <w:bottom w:val="none" w:sz="0" w:space="0" w:color="auto"/>
        <w:right w:val="none" w:sz="0" w:space="0" w:color="auto"/>
      </w:divBdr>
    </w:div>
    <w:div w:id="1871065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s://ustr.gov/trade-agreements/free-trade-agreements/colombia-fta/final-text" TargetMode="External"/><Relationship Id="rId2" Type="http://schemas.openxmlformats.org/officeDocument/2006/relationships/hyperlink" Target="http://www.wipo.int/treaties/en/text.jsp?file_id=295578" TargetMode="External"/><Relationship Id="rId1" Type="http://schemas.openxmlformats.org/officeDocument/2006/relationships/hyperlink" Target="http://www.wipo.int/treaties/en/text.jsp?file_id=295166" TargetMode="External"/><Relationship Id="rId5" Type="http://schemas.openxmlformats.org/officeDocument/2006/relationships/hyperlink" Target="http://www.dictionary.com/browse/services" TargetMode="External"/><Relationship Id="rId4" Type="http://schemas.openxmlformats.org/officeDocument/2006/relationships/hyperlink" Target="http://www.merriam-webster.com/dictionary/serv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CBCD84-8B40-4AA7-AEC3-D292AC3500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1347</Words>
  <Characters>7684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Columbia University</Company>
  <LinksUpToDate>false</LinksUpToDate>
  <CharactersWithSpaces>9013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CLS Users</dc:creator>
  <cp:lastModifiedBy>CLS Users</cp:lastModifiedBy>
  <cp:revision>2</cp:revision>
  <cp:lastPrinted>2016-11-17T00:06:00Z</cp:lastPrinted>
  <dcterms:created xsi:type="dcterms:W3CDTF">2016-11-17T00:15:00Z</dcterms:created>
  <dcterms:modified xsi:type="dcterms:W3CDTF">2016-11-17T00:15:00Z</dcterms:modified>
</cp:coreProperties>
</file>