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Style w:val="Heading1Char"/>
          <w:rFonts w:cs="Times New Roman" w:ascii="Times New Roman" w:hAnsi="Times New Roman"/>
        </w:rPr>
        <w:t>CO-MOVE - Structure of the database (project)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Maxime Brami </w:t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Style w:val="Heading1Char"/>
          <w:rFonts w:cs="Times New Roman" w:ascii="Times New Roman" w:hAnsi="Times New Roman"/>
          <w:b/>
          <w:bCs/>
          <w:sz w:val="22"/>
          <w:szCs w:val="22"/>
        </w:rPr>
        <w:t>16.01.2023</w:t>
      </w:r>
      <w:r>
        <w:rPr>
          <w:rFonts w:cs="Times New Roman" w:ascii="Times New Roman" w:hAnsi="Times New Roman"/>
          <w:b/>
          <w:bCs/>
        </w:rPr>
        <w:t xml:space="preserve"> </w:t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Each ancient individual should occupy a separate line of the database: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  <w:b/>
          <w:b/>
          <w:bCs/>
          <w:color w:val="4472C4"/>
        </w:rPr>
      </w:pPr>
      <w:r>
        <w:rPr>
          <w:rFonts w:cs="Times New Roman" w:ascii="Times New Roman" w:hAnsi="Times New Roman"/>
          <w:b/>
          <w:bCs/>
          <w:color w:val="4472C4" w:themeColor="accent1"/>
        </w:rPr>
        <w:t>Own_ID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  <w:color w:val="4472C4" w:themeColor="accent1"/>
        </w:rPr>
        <w:t>Skeleton_ID</w:t>
      </w:r>
      <w:r>
        <w:rPr>
          <w:rFonts w:cs="Times New Roman" w:ascii="Times New Roman" w:hAnsi="Times New Roman"/>
          <w:color w:val="4472C4" w:themeColor="accent1"/>
        </w:rPr>
        <w:t xml:space="preserve"> </w:t>
      </w:r>
      <w:r>
        <w:rPr>
          <w:rFonts w:cs="Times New Roman" w:ascii="Times New Roman" w:hAnsi="Times New Roman"/>
        </w:rPr>
        <w:t>(usually the burial number, as given in the archaeology literature, NB: if multiple individuals are buried within the same burial, separate data entries should be created for each individual, e.g. “54b”, “54e”; the recording system for individual skeletons may vary a great deal from excavations to excavations – e.g. “ZHP”, “10986.X29”, “89D-17.1-07”)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  <w:color w:val="4472C4" w:themeColor="accent1"/>
        </w:rPr>
        <w:t xml:space="preserve">Mound_ID </w:t>
      </w:r>
      <w:r>
        <w:rPr>
          <w:rFonts w:cs="Times New Roman" w:ascii="Times New Roman" w:hAnsi="Times New Roman"/>
        </w:rPr>
        <w:t>(if relevant, e.g. “Barrow 5”, “Tumulus 1”)</w:t>
      </w:r>
    </w:p>
    <w:p>
      <w:pPr>
        <w:pStyle w:val="ListParagraph"/>
        <w:spacing w:lineRule="auto" w:line="240" w:before="0" w:after="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spacing w:lineRule="auto" w:line="240" w:before="0" w:after="0"/>
        <w:ind w:left="720" w:hanging="0"/>
        <w:contextualSpacing/>
        <w:jc w:val="both"/>
        <w:rPr/>
      </w:pPr>
      <w:r>
        <w:rPr/>
        <w:tab/>
      </w:r>
      <w:r>
        <w:rPr>
          <w:color w:val="C9211E"/>
        </w:rPr>
        <w:t>Mound</w:t>
      </w:r>
      <w:r>
        <w:rPr/>
        <w:t xml:space="preserve"> </w:t>
      </w:r>
    </w:p>
    <w:p>
      <w:pPr>
        <w:pStyle w:val="ListParagraph"/>
        <w:spacing w:lineRule="auto" w:line="240" w:before="0" w:after="0"/>
        <w:ind w:left="720" w:hanging="0"/>
        <w:contextualSpacing/>
        <w:jc w:val="both"/>
        <w:rPr/>
      </w:pPr>
      <w:r>
        <w:rPr/>
        <w:tab/>
        <w:tab/>
      </w:r>
      <w:r>
        <w:rPr>
          <w:color w:val="C9211E"/>
        </w:rPr>
        <w:t>width</w:t>
      </w:r>
    </w:p>
    <w:p>
      <w:pPr>
        <w:pStyle w:val="ListParagraph"/>
        <w:spacing w:lineRule="auto" w:line="240" w:before="0" w:after="0"/>
        <w:ind w:left="720" w:hanging="0"/>
        <w:contextualSpacing/>
        <w:jc w:val="both"/>
        <w:rPr>
          <w:color w:val="C9211E"/>
        </w:rPr>
      </w:pPr>
      <w:r>
        <w:rPr>
          <w:color w:val="C9211E"/>
        </w:rPr>
        <w:tab/>
        <w:tab/>
        <w:t>height</w:t>
      </w:r>
    </w:p>
    <w:p>
      <w:pPr>
        <w:pStyle w:val="ListParagraph"/>
        <w:spacing w:lineRule="auto" w:line="240" w:before="0" w:after="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  <w:b/>
          <w:b/>
          <w:bCs/>
          <w:color w:val="4472C4"/>
        </w:rPr>
      </w:pPr>
      <w:r>
        <w:rPr>
          <w:rFonts w:cs="Times New Roman" w:ascii="Times New Roman" w:hAnsi="Times New Roman"/>
          <w:b/>
          <w:bCs/>
          <w:color w:val="4472C4" w:themeColor="accent1"/>
        </w:rPr>
        <w:t>Geography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</w:rPr>
        <w:t>Locality</w:t>
      </w:r>
      <w:r>
        <w:rPr>
          <w:rFonts w:cs="Times New Roman" w:ascii="Times New Roman" w:hAnsi="Times New Roman"/>
        </w:rPr>
        <w:t xml:space="preserve"> (usually nearby village/town, e.g. “Altwies”, “Mogila”)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</w:rPr>
        <w:t>Site_Name</w:t>
      </w:r>
      <w:r>
        <w:rPr>
          <w:rFonts w:cs="Times New Roman" w:ascii="Times New Roman" w:hAnsi="Times New Roman"/>
        </w:rPr>
        <w:t xml:space="preserve"> (may be same as above or different, e.g. Altwies-“Op dem Boesch“; can also refer to one part of the general site e.g. “Çatalhöyük East”, “Çatalhöyük West”)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Site_code (I would suggest a three-letter code, e.g. “ALW” for Altwies, “LV_” for Lepenski Vir; can be harmonized later on)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</w:rPr>
        <w:t>Country_code</w:t>
      </w:r>
      <w:r>
        <w:rPr>
          <w:rFonts w:cs="Times New Roman" w:ascii="Times New Roman" w:hAnsi="Times New Roman"/>
        </w:rPr>
        <w:t xml:space="preserve"> (ISO2 should be fine, e.g. “FR” – France, “DE” – Germany)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</w:rPr>
        <w:t>Latitude</w:t>
      </w:r>
      <w:r>
        <w:rPr>
          <w:rFonts w:cs="Times New Roman" w:ascii="Times New Roman" w:hAnsi="Times New Roman"/>
        </w:rPr>
        <w:t xml:space="preserve"> (in decimal degrees with five decimal places, e.g. “48,58187”)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</w:rPr>
        <w:t>Longitude</w:t>
      </w:r>
      <w:r>
        <w:rPr>
          <w:rFonts w:cs="Times New Roman" w:ascii="Times New Roman" w:hAnsi="Times New Roman"/>
        </w:rPr>
        <w:t xml:space="preserve"> (same as above, e.g. “7,62651”)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  <w:color w:val="4472C4" w:themeColor="accent1"/>
        </w:rPr>
        <w:t>Chronology</w:t>
      </w:r>
      <w:r>
        <w:rPr>
          <w:rFonts w:cs="Times New Roman" w:ascii="Times New Roman" w:hAnsi="Times New Roman"/>
          <w:b/>
          <w:bCs/>
        </w:rPr>
        <w:t xml:space="preserve"> </w:t>
      </w:r>
      <w:r>
        <w:rPr>
          <w:rFonts w:cs="Times New Roman" w:ascii="Times New Roman" w:hAnsi="Times New Roman"/>
        </w:rPr>
        <w:t>(referring here to the chronology of the specific skeleton, not the overall tumulus/site)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</w:rPr>
        <w:t>Period</w:t>
      </w:r>
      <w:r>
        <w:rPr>
          <w:rFonts w:cs="Times New Roman" w:ascii="Times New Roman" w:hAnsi="Times New Roman"/>
        </w:rPr>
        <w:t xml:space="preserve"> (if available, as ascribed in the literature, e.g. “LN” – Late Neolithic, “EBA” – Early Bronze Age; can be harmonized later on)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</w:rPr>
        <w:t>Phase</w:t>
      </w:r>
      <w:r>
        <w:rPr>
          <w:rFonts w:cs="Times New Roman" w:ascii="Times New Roman" w:hAnsi="Times New Roman"/>
        </w:rPr>
        <w:t xml:space="preserve"> (if available, as ascribed in the literature, e.g. “A2”) –</w:t>
      </w:r>
      <w:r>
        <w:rPr>
          <w:rFonts w:cs="Times New Roman" w:ascii="Times New Roman" w:hAnsi="Times New Roman"/>
          <w:color w:val="C9211E"/>
        </w:rPr>
        <w:t xml:space="preserve"> not necessary, combined with period, complex to validate dependent columns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 xml:space="preserve">Context_Date </w:t>
      </w:r>
      <w:r>
        <w:rPr>
          <w:rFonts w:cs="Times New Roman" w:ascii="Times New Roman" w:hAnsi="Times New Roman"/>
        </w:rPr>
        <w:t xml:space="preserve">(if no 14C date is available, but a chronological assessment has been made based on material recovered inside the grave etc., an approximate date or range should be reported here in years BC, e.g. “2500-1700”; if a 14C date is available, leave blank?) </w:t>
      </w:r>
      <w:r>
        <w:rPr>
          <w:rFonts w:cs="Times New Roman" w:ascii="Times New Roman" w:hAnsi="Times New Roman"/>
          <w:b/>
          <w:bCs/>
          <w:color w:val="C9211E"/>
        </w:rPr>
        <w:t xml:space="preserve">- </w:t>
      </w:r>
      <w:r>
        <w:rPr>
          <w:rFonts w:cs="Times New Roman" w:ascii="Times New Roman" w:hAnsi="Times New Roman"/>
          <w:b w:val="false"/>
          <w:bCs w:val="false"/>
          <w:color w:val="C9211E"/>
        </w:rPr>
        <w:t>context_from and context_to, for single date, leave context_to empty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</w:rPr>
        <w:t xml:space="preserve">14C_Date </w:t>
      </w:r>
      <w:r>
        <w:rPr>
          <w:rFonts w:cs="Times New Roman" w:ascii="Times New Roman" w:hAnsi="Times New Roman"/>
        </w:rPr>
        <w:t xml:space="preserve">(if available, “Y” – yes, “N” – no, “..” – no data) </w:t>
      </w:r>
      <w:r>
        <w:rPr>
          <w:rFonts w:cs="Times New Roman" w:ascii="Times New Roman" w:hAnsi="Times New Roman"/>
          <w:color w:val="C9211E"/>
        </w:rPr>
        <w:t>– not necessary, oxcal_mu will be null or not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  <w:color w:val="C9211E"/>
        </w:rPr>
        <w:t>C14_Date</w:t>
      </w:r>
      <w:r>
        <w:rPr>
          <w:rFonts w:cs="Times New Roman" w:ascii="Times New Roman" w:hAnsi="Times New Roman"/>
          <w:b/>
          <w:bCs/>
        </w:rPr>
        <w:t xml:space="preserve"> </w:t>
      </w:r>
      <w:r>
        <w:rPr>
          <w:rFonts w:cs="Times New Roman" w:ascii="Times New Roman" w:hAnsi="Times New Roman"/>
        </w:rPr>
        <w:t>(the weighted mean / μ value of the calibrated radiocarbon interval in years BC, as provided by OxCal, e.g. “5888”; if several 14C dates are given, the μ value should be obtained using the Combine_ function in OxCal)</w:t>
      </w:r>
    </w:p>
    <w:p>
      <w:pPr>
        <w:pStyle w:val="ListParagraph"/>
        <w:numPr>
          <w:ilvl w:val="2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</w:rPr>
        <w:t>A_Date</w:t>
      </w:r>
    </w:p>
    <w:p>
      <w:pPr>
        <w:pStyle w:val="ListParagraph"/>
        <w:numPr>
          <w:ilvl w:val="3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 xml:space="preserve">14C_type </w:t>
      </w:r>
      <w:r>
        <w:rPr>
          <w:rFonts w:cs="Times New Roman" w:ascii="Times New Roman" w:hAnsi="Times New Roman"/>
        </w:rPr>
        <w:t>(if direct date from the skeleton, report as “direct”; if taken from material recovered in the grave, report as “indirect”)</w:t>
      </w:r>
    </w:p>
    <w:p>
      <w:pPr>
        <w:pStyle w:val="ListParagraph"/>
        <w:numPr>
          <w:ilvl w:val="3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 xml:space="preserve">Lab_ID </w:t>
      </w:r>
      <w:r>
        <w:rPr>
          <w:rFonts w:cs="Times New Roman" w:ascii="Times New Roman" w:hAnsi="Times New Roman"/>
        </w:rPr>
        <w:t>(the lab code, as reported, e.g. “OxA-25207”, “BRAMS-2564”)</w:t>
      </w:r>
    </w:p>
    <w:p>
      <w:pPr>
        <w:pStyle w:val="ListParagraph"/>
        <w:numPr>
          <w:ilvl w:val="3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 xml:space="preserve">Age_BP </w:t>
      </w:r>
      <w:r>
        <w:rPr>
          <w:rFonts w:cs="Times New Roman" w:ascii="Times New Roman" w:hAnsi="Times New Roman"/>
        </w:rPr>
        <w:t>(the uncalibrated BP age, as reported, e.g. “7757”)</w:t>
      </w:r>
    </w:p>
    <w:p>
      <w:pPr>
        <w:pStyle w:val="ListParagraph"/>
        <w:numPr>
          <w:ilvl w:val="3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 xml:space="preserve">Interval </w:t>
      </w:r>
      <w:r>
        <w:rPr>
          <w:rFonts w:cs="Times New Roman" w:ascii="Times New Roman" w:hAnsi="Times New Roman"/>
        </w:rPr>
        <w:t xml:space="preserve">(the interval of the uncalibrated BP date, e.g. “24”) </w:t>
      </w:r>
    </w:p>
    <w:p>
      <w:pPr>
        <w:pStyle w:val="ListParagraph"/>
        <w:numPr>
          <w:ilvl w:val="3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 xml:space="preserve">Material </w:t>
      </w:r>
      <w:r>
        <w:rPr>
          <w:rFonts w:cs="Times New Roman" w:ascii="Times New Roman" w:hAnsi="Times New Roman"/>
        </w:rPr>
        <w:t>(if the sample dated was taken directly from the human skeleton, this should be reported as “human bone” or actual body part e.g. “LPP” – left pars petrosa; if material from the grave fill, this should be reported as e.g. “charcoal”, “grain”, “animal bone”)</w:t>
      </w:r>
    </w:p>
    <w:p>
      <w:pPr>
        <w:pStyle w:val="ListParagraph"/>
        <w:numPr>
          <w:ilvl w:val="3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calBC_1sigma_Max </w:t>
      </w:r>
    </w:p>
    <w:p>
      <w:pPr>
        <w:pStyle w:val="ListParagraph"/>
        <w:numPr>
          <w:ilvl w:val="3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calBC_1sigma_Min</w:t>
      </w:r>
    </w:p>
    <w:p>
      <w:pPr>
        <w:pStyle w:val="ListParagraph"/>
        <w:numPr>
          <w:ilvl w:val="3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calBC_2sigma_Max</w:t>
      </w:r>
    </w:p>
    <w:p>
      <w:pPr>
        <w:pStyle w:val="ListParagraph"/>
        <w:numPr>
          <w:ilvl w:val="3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calBC_2sigma_Min</w:t>
      </w:r>
    </w:p>
    <w:p>
      <w:pPr>
        <w:pStyle w:val="ListParagraph"/>
        <w:numPr>
          <w:ilvl w:val="3"/>
          <w:numId w:val="1"/>
        </w:numPr>
        <w:spacing w:lineRule="auto" w:line="240" w:before="0" w:after="0"/>
        <w:contextualSpacing/>
        <w:jc w:val="both"/>
        <w:rPr>
          <w:color w:val="C9211E"/>
        </w:rPr>
      </w:pPr>
      <w:r>
        <w:rPr>
          <w:color w:val="C9211E"/>
        </w:rPr>
        <w:t>date_note</w:t>
      </w:r>
    </w:p>
    <w:p>
      <w:pPr>
        <w:pStyle w:val="ListParagraph"/>
        <w:numPr>
          <w:ilvl w:val="3"/>
          <w:numId w:val="1"/>
        </w:numPr>
        <w:spacing w:lineRule="auto" w:line="240" w:before="0" w:after="0"/>
        <w:contextualSpacing/>
        <w:jc w:val="both"/>
        <w:rPr>
          <w:color w:val="C9211E"/>
        </w:rPr>
      </w:pPr>
      <w:r>
        <w:rPr>
          <w:color w:val="C9211E"/>
        </w:rPr>
        <w:t>cal_method</w:t>
      </w:r>
    </w:p>
    <w:p>
      <w:pPr>
        <w:pStyle w:val="ListParagraph"/>
        <w:numPr>
          <w:ilvl w:val="3"/>
          <w:numId w:val="1"/>
        </w:numPr>
        <w:spacing w:lineRule="auto" w:line="240" w:before="0" w:after="0"/>
        <w:contextualSpacing/>
        <w:jc w:val="both"/>
        <w:rPr>
          <w:color w:val="C9211E"/>
        </w:rPr>
      </w:pPr>
      <w:r>
        <w:rPr>
          <w:color w:val="C9211E"/>
        </w:rPr>
        <w:t>ref_14c</w:t>
      </w:r>
    </w:p>
    <w:p>
      <w:pPr>
        <w:pStyle w:val="ListParagraph"/>
        <w:numPr>
          <w:ilvl w:val="2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B_Date</w:t>
      </w:r>
    </w:p>
    <w:p>
      <w:pPr>
        <w:pStyle w:val="ListParagraph"/>
        <w:numPr>
          <w:ilvl w:val="2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C_Date</w:t>
      </w:r>
    </w:p>
    <w:p>
      <w:pPr>
        <w:pStyle w:val="ListParagraph"/>
        <w:numPr>
          <w:ilvl w:val="2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…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 xml:space="preserve">Ref_14C </w:t>
      </w:r>
      <w:r>
        <w:rPr>
          <w:rFonts w:cs="Times New Roman" w:ascii="Times New Roman" w:hAnsi="Times New Roman"/>
        </w:rPr>
        <w:t>(usually the publication in which the 14C date was first reported; if multiple dates are reported, a list of those should be provided separated by a semi-colon, e.g. “Borić 2011; Borić and Price 2013; Bonsall et al. 2015”)</w:t>
      </w:r>
      <w:r>
        <w:rPr>
          <w:rFonts w:cs="Times New Roman" w:ascii="Times New Roman" w:hAnsi="Times New Roman"/>
          <w:b/>
          <w:bCs/>
        </w:rPr>
        <w:t xml:space="preserve"> –</w:t>
      </w:r>
      <w:r>
        <w:rPr>
          <w:rFonts w:cs="Times New Roman" w:ascii="Times New Roman" w:hAnsi="Times New Roman"/>
          <w:b/>
          <w:bCs/>
          <w:color w:val="C9211E"/>
        </w:rPr>
        <w:t xml:space="preserve"> should also be in C14_Date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 xml:space="preserve">Cal_method </w:t>
      </w:r>
      <w:r>
        <w:rPr>
          <w:rFonts w:cs="Times New Roman" w:ascii="Times New Roman" w:hAnsi="Times New Roman"/>
        </w:rPr>
        <w:t>(eventually should be the same for all samples, e.g.</w:t>
      </w:r>
      <w:r>
        <w:rPr>
          <w:rFonts w:eastAsia="Times New Roman" w:cs="Times New Roman" w:ascii="Times New Roman" w:hAnsi="Times New Roman"/>
          <w:lang w:eastAsia="en-GB"/>
        </w:rPr>
        <w:t xml:space="preserve"> OxCal 4.4.2 / IntCal20)</w:t>
      </w:r>
      <w:r>
        <w:rPr>
          <w:rFonts w:eastAsia="Times New Roman" w:cs="Times New Roman" w:ascii="Times New Roman" w:hAnsi="Times New Roman"/>
          <w:b/>
          <w:bCs/>
          <w:lang w:eastAsia="en-GB"/>
        </w:rPr>
        <w:t xml:space="preserve"> </w:t>
      </w:r>
      <w:r>
        <w:rPr>
          <w:rFonts w:eastAsia="Times New Roman" w:cs="Times New Roman" w:ascii="Times New Roman" w:hAnsi="Times New Roman"/>
          <w:b/>
          <w:bCs/>
          <w:color w:val="C9211E"/>
          <w:lang w:eastAsia="en-GB"/>
        </w:rPr>
        <w:t xml:space="preserve"> - should be contained in C14_Date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 xml:space="preserve">Date_Note </w:t>
      </w:r>
      <w:r>
        <w:rPr>
          <w:rFonts w:cs="Times New Roman" w:ascii="Times New Roman" w:hAnsi="Times New Roman"/>
        </w:rPr>
        <w:t>(an open field for important additional chronological information, e.g. “needs correction for freshwater reservoir effect”)</w:t>
      </w:r>
      <w:r>
        <w:rPr>
          <w:rFonts w:cs="Times New Roman" w:ascii="Times New Roman" w:hAnsi="Times New Roman"/>
          <w:b/>
          <w:bCs/>
        </w:rPr>
        <w:t xml:space="preserve"> - </w:t>
      </w:r>
      <w:r>
        <w:rPr>
          <w:rFonts w:eastAsia="Times New Roman" w:cs="Times New Roman" w:ascii="Times New Roman" w:hAnsi="Times New Roman"/>
          <w:b/>
          <w:bCs/>
          <w:color w:val="C9211E"/>
          <w:lang w:eastAsia="en-GB"/>
        </w:rPr>
        <w:t>should be contained in C14_Date</w:t>
      </w:r>
    </w:p>
    <w:p>
      <w:pPr>
        <w:pStyle w:val="ListParagraph"/>
        <w:spacing w:lineRule="auto" w:line="240" w:before="0" w:after="0"/>
        <w:ind w:left="1440" w:hanging="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  <w:b/>
          <w:b/>
          <w:bCs/>
          <w:color w:val="4472C4"/>
        </w:rPr>
      </w:pPr>
      <w:r>
        <w:rPr>
          <w:rFonts w:cs="Times New Roman" w:ascii="Times New Roman" w:hAnsi="Times New Roman"/>
          <w:b/>
          <w:bCs/>
          <w:color w:val="4472C4" w:themeColor="accent1"/>
        </w:rPr>
        <w:t>Taxonomy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</w:rPr>
        <w:t>Culture</w:t>
      </w:r>
      <w:r>
        <w:rPr>
          <w:rFonts w:cs="Times New Roman" w:ascii="Times New Roman" w:hAnsi="Times New Roman"/>
        </w:rPr>
        <w:t xml:space="preserve"> (first-level cultural attribution, as given in the literature, e.g. “LBK” – Linearbandkeramik, “Rössen”, “CW” – Corded Ware, “BB” – Bell Beaker, “GA” – Globular Amphora, “YA” – Yamnaya, “Proto-YA” – Proto-Yamnaya)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 xml:space="preserve">Culture_Note </w:t>
      </w:r>
      <w:r>
        <w:rPr>
          <w:rFonts w:cs="Times New Roman" w:ascii="Times New Roman" w:hAnsi="Times New Roman"/>
        </w:rPr>
        <w:t>(an open field to record second- or third-level cultural attribution or regional variant, e.g. “Eastern Baltic Corded Ware”,  “Złota Group”)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 xml:space="preserve">Culture_reference </w:t>
      </w:r>
      <w:r>
        <w:rPr>
          <w:rFonts w:cs="Times New Roman" w:ascii="Times New Roman" w:hAnsi="Times New Roman"/>
        </w:rPr>
        <w:t>(in effect the reference in which the cultural attribution was given, e.g. “Limbursky 2012”)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  <w:b/>
          <w:b/>
          <w:bCs/>
          <w:color w:val="4472C4"/>
        </w:rPr>
      </w:pPr>
      <w:r>
        <w:rPr>
          <w:rFonts w:cs="Times New Roman" w:ascii="Times New Roman" w:hAnsi="Times New Roman"/>
          <w:b/>
          <w:bCs/>
          <w:color w:val="4472C4" w:themeColor="accent1"/>
        </w:rPr>
        <w:t>Anthropology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Sex_Morph</w:t>
      </w:r>
      <w:r>
        <w:rPr>
          <w:rFonts w:cs="Times New Roman" w:ascii="Times New Roman" w:hAnsi="Times New Roman"/>
        </w:rPr>
        <w:t xml:space="preserve"> (morphological sex, as reported, in the format “f” – female, “m” – male, “u” – unclear, “..” – no data) 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Sex_Gen</w:t>
      </w:r>
      <w:r>
        <w:rPr>
          <w:rFonts w:cs="Times New Roman" w:ascii="Times New Roman" w:hAnsi="Times New Roman"/>
        </w:rPr>
        <w:t xml:space="preserve"> (genetic sex, as reported, in the format “XX” – female, “XY” – male, “U” – unclear, “..” – no data)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</w:rPr>
        <w:t>Sex_Consensus</w:t>
      </w:r>
      <w:r>
        <w:rPr>
          <w:rFonts w:cs="Times New Roman" w:ascii="Times New Roman" w:hAnsi="Times New Roman"/>
          <w:b/>
          <w:bCs/>
        </w:rPr>
        <w:t xml:space="preserve"> </w:t>
      </w:r>
      <w:r>
        <w:rPr>
          <w:rFonts w:cs="Times New Roman" w:ascii="Times New Roman" w:hAnsi="Times New Roman"/>
        </w:rPr>
        <w:t>(a consensus determination for the sex of the individual, based on the quality of the data, with genetic sex as major e.g. a ‘f’, ‘U’ burial would be a “f”; but a ‘f’, ‘XY’ would be a “XY”)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</w:rPr>
        <w:t>Age_as_reported</w:t>
      </w:r>
      <w:r>
        <w:rPr>
          <w:rFonts w:cs="Times New Roman" w:ascii="Times New Roman" w:hAnsi="Times New Roman"/>
        </w:rPr>
        <w:t xml:space="preserve"> (e.g. “35-45”, “mid-adult”, “maturus II”)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Age_Class (ideally should be harmonized, e.g. “neonate”, “child”, “young adult”; the estimated age could be given in brackets, e.g. “child (2-5)”) 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 xml:space="preserve">Height </w:t>
      </w:r>
      <w:r>
        <w:rPr>
          <w:rFonts w:cs="Times New Roman" w:ascii="Times New Roman" w:hAnsi="Times New Roman"/>
        </w:rPr>
        <w:t>(if available, in cm, e.g. “164,22”)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</w:rPr>
        <w:t>Pathologies</w:t>
      </w:r>
      <w:r>
        <w:rPr>
          <w:rFonts w:cs="Times New Roman" w:ascii="Times New Roman" w:hAnsi="Times New Roman"/>
        </w:rPr>
        <w:t xml:space="preserve"> (if available, “Y” – yes, “N” – no, “..” – no data)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 xml:space="preserve">Pathologies_type </w:t>
      </w:r>
      <w:r>
        <w:rPr>
          <w:rFonts w:cs="Times New Roman" w:ascii="Times New Roman" w:hAnsi="Times New Roman"/>
        </w:rPr>
        <w:t>(an open field, describing any relevant pathology observed on the skeleton, e.g. “Caries, osteoarthritis”)</w:t>
        <w:tab/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color w:val="C9211E"/>
        </w:rPr>
        <w:t>disturbed (contemporary, later, no, unclear)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jc w:val="both"/>
        <w:rPr>
          <w:color w:val="C9211E"/>
        </w:rPr>
      </w:pPr>
      <w:r>
        <w:rPr>
          <w:color w:val="C9211E"/>
        </w:rPr>
        <w:t>Species (Human, Cattle, Horse etc)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1440" w:hanging="0"/>
        <w:contextualSpacing/>
        <w:jc w:val="both"/>
        <w:rPr>
          <w:color w:val="C9211E"/>
        </w:rPr>
      </w:pPr>
      <w:r>
        <w:rPr>
          <w:color w:val="C9211E"/>
        </w:rPr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1440" w:hanging="0"/>
        <w:contextualSpacing/>
        <w:jc w:val="both"/>
        <w:rPr>
          <w:color w:val="C9211E"/>
        </w:rPr>
      </w:pPr>
      <w:r>
        <w:rPr>
          <w:color w:val="C9211E"/>
        </w:rPr>
        <w:t>Injuries</w:t>
      </w:r>
    </w:p>
    <w:p>
      <w:pPr>
        <w:pStyle w:val="ListParagraph"/>
        <w:numPr>
          <w:ilvl w:val="2"/>
          <w:numId w:val="1"/>
        </w:numPr>
        <w:spacing w:lineRule="auto" w:line="240" w:before="0" w:after="0"/>
        <w:contextualSpacing/>
        <w:jc w:val="both"/>
        <w:rPr>
          <w:color w:val="C9211E"/>
        </w:rPr>
      </w:pPr>
      <w:r>
        <w:rPr>
          <w:color w:val="C9211E"/>
        </w:rPr>
        <w:t>origin - inter human violence, accidents, sickness etc</w:t>
      </w:r>
    </w:p>
    <w:p>
      <w:pPr>
        <w:pStyle w:val="ListParagraph"/>
        <w:numPr>
          <w:ilvl w:val="2"/>
          <w:numId w:val="1"/>
        </w:numPr>
        <w:spacing w:lineRule="auto" w:line="240" w:before="0" w:after="0"/>
        <w:contextualSpacing/>
        <w:jc w:val="both"/>
        <w:rPr>
          <w:color w:val="C9211E"/>
        </w:rPr>
      </w:pPr>
      <w:r>
        <w:rPr>
          <w:color w:val="C9211E"/>
        </w:rPr>
        <w:t>position of the injury</w:t>
      </w:r>
    </w:p>
    <w:p>
      <w:pPr>
        <w:pStyle w:val="ListParagraph"/>
        <w:spacing w:lineRule="auto" w:line="240" w:before="0" w:after="0"/>
        <w:ind w:left="1440" w:hanging="0"/>
        <w:contextualSpacing/>
        <w:jc w:val="both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  <w:b/>
          <w:b/>
          <w:bCs/>
          <w:color w:val="4472C4"/>
        </w:rPr>
      </w:pPr>
      <w:r>
        <w:rPr>
          <w:rFonts w:cs="Times New Roman" w:ascii="Times New Roman" w:hAnsi="Times New Roman"/>
          <w:b/>
          <w:bCs/>
          <w:color w:val="4472C4" w:themeColor="accent1"/>
        </w:rPr>
        <w:t>Stable Isotopes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 xml:space="preserve">Delta_C_13 </w:t>
      </w:r>
      <w:r>
        <w:rPr>
          <w:rFonts w:cs="Times New Roman" w:ascii="Times New Roman" w:hAnsi="Times New Roman"/>
        </w:rPr>
        <w:t>(</w:t>
      </w:r>
      <w:r>
        <w:rPr>
          <w:rFonts w:cs="Times New Roman" w:ascii="Times New Roman" w:hAnsi="Times New Roman"/>
          <w:i/>
          <w:iCs/>
        </w:rPr>
        <w:t>δ</w:t>
      </w:r>
      <w:r>
        <w:rPr>
          <w:rFonts w:cs="Times New Roman" w:ascii="Times New Roman" w:hAnsi="Times New Roman"/>
          <w:vertAlign w:val="superscript"/>
        </w:rPr>
        <w:t>13</w:t>
      </w:r>
      <w:r>
        <w:rPr>
          <w:rFonts w:cs="Times New Roman" w:ascii="Times New Roman" w:hAnsi="Times New Roman"/>
        </w:rPr>
        <w:t xml:space="preserve">C value </w:t>
      </w:r>
      <w:r>
        <w:rPr>
          <w:rFonts w:cs="Times New Roman" w:ascii="Times New Roman" w:hAnsi="Times New Roman"/>
          <w:color w:val="202122"/>
          <w:shd w:fill="FFFFFF" w:val="clear"/>
        </w:rPr>
        <w:t>‰, if multiple values are given for the same individual, each value should be recorded separately)</w:t>
      </w:r>
    </w:p>
    <w:p>
      <w:pPr>
        <w:pStyle w:val="ListParagraph"/>
        <w:numPr>
          <w:ilvl w:val="2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 xml:space="preserve">A_Delta_C_13 </w:t>
      </w:r>
    </w:p>
    <w:p>
      <w:pPr>
        <w:pStyle w:val="ListParagraph"/>
        <w:numPr>
          <w:ilvl w:val="3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 xml:space="preserve">Iso_ID </w:t>
      </w:r>
      <w:r>
        <w:rPr>
          <w:rFonts w:cs="Times New Roman" w:ascii="Times New Roman" w:hAnsi="Times New Roman"/>
        </w:rPr>
        <w:t>(if available, the lab code of the stable isotope value, e.g. “AJ.13.b”)</w:t>
      </w:r>
    </w:p>
    <w:p>
      <w:pPr>
        <w:pStyle w:val="ListParagraph"/>
        <w:numPr>
          <w:ilvl w:val="3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</w:rPr>
        <w:t xml:space="preserve">Iso_bone </w:t>
      </w:r>
      <w:r>
        <w:rPr>
          <w:rFonts w:cs="Times New Roman" w:ascii="Times New Roman" w:hAnsi="Times New Roman"/>
        </w:rPr>
        <w:t>(the tooth/bone sampled, e.g. “PM2 right”)</w:t>
      </w:r>
    </w:p>
    <w:p>
      <w:pPr>
        <w:pStyle w:val="ListParagraph"/>
        <w:numPr>
          <w:ilvl w:val="3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 xml:space="preserve">Iso_value </w:t>
      </w:r>
      <w:r>
        <w:rPr>
          <w:rFonts w:cs="Times New Roman" w:ascii="Times New Roman" w:hAnsi="Times New Roman"/>
        </w:rPr>
        <w:t>(</w:t>
      </w:r>
      <w:r>
        <w:rPr>
          <w:rFonts w:cs="Times New Roman" w:ascii="Times New Roman" w:hAnsi="Times New Roman"/>
          <w:i/>
          <w:iCs/>
        </w:rPr>
        <w:t>δ</w:t>
      </w:r>
      <w:r>
        <w:rPr>
          <w:rFonts w:cs="Times New Roman" w:ascii="Times New Roman" w:hAnsi="Times New Roman"/>
          <w:vertAlign w:val="superscript"/>
        </w:rPr>
        <w:t>13</w:t>
      </w:r>
      <w:r>
        <w:rPr>
          <w:rFonts w:cs="Times New Roman" w:ascii="Times New Roman" w:hAnsi="Times New Roman"/>
        </w:rPr>
        <w:t xml:space="preserve">C value </w:t>
      </w:r>
      <w:r>
        <w:rPr>
          <w:rFonts w:cs="Times New Roman" w:ascii="Times New Roman" w:hAnsi="Times New Roman"/>
          <w:color w:val="202122"/>
          <w:shd w:fill="FFFFFF" w:val="clear"/>
        </w:rPr>
        <w:t>‰, e.g. “-19,80”)</w:t>
      </w:r>
    </w:p>
    <w:p>
      <w:pPr>
        <w:pStyle w:val="ListParagraph"/>
        <w:numPr>
          <w:ilvl w:val="3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 xml:space="preserve">Ref_Iso </w:t>
      </w:r>
      <w:r>
        <w:rPr>
          <w:rFonts w:cs="Times New Roman" w:ascii="Times New Roman" w:hAnsi="Times New Roman"/>
        </w:rPr>
        <w:t>(usually the publication in which the stable isotope value was first reported, e.g. “Borić and Price 2013”)</w:t>
      </w:r>
    </w:p>
    <w:p>
      <w:pPr>
        <w:pStyle w:val="ListParagraph"/>
        <w:numPr>
          <w:ilvl w:val="2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</w:rPr>
        <w:t>B_Delta_C_13</w:t>
      </w:r>
    </w:p>
    <w:p>
      <w:pPr>
        <w:pStyle w:val="ListParagraph"/>
        <w:numPr>
          <w:ilvl w:val="2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</w:rPr>
        <w:t>C_Delta_C_13</w:t>
      </w:r>
    </w:p>
    <w:p>
      <w:pPr>
        <w:pStyle w:val="ListParagraph"/>
        <w:numPr>
          <w:ilvl w:val="2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</w:rPr>
        <w:t>…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</w:rPr>
        <w:t>Delta_15_N</w:t>
      </w:r>
      <w:r>
        <w:rPr>
          <w:rFonts w:cs="Times New Roman" w:ascii="Times New Roman" w:hAnsi="Times New Roman"/>
        </w:rPr>
        <w:t xml:space="preserve"> (</w:t>
      </w:r>
      <w:r>
        <w:rPr>
          <w:rFonts w:cs="Times New Roman" w:ascii="Times New Roman" w:hAnsi="Times New Roman"/>
          <w:i/>
          <w:iCs/>
        </w:rPr>
        <w:t>δ</w:t>
      </w:r>
      <w:r>
        <w:rPr>
          <w:rFonts w:cs="Times New Roman" w:ascii="Times New Roman" w:hAnsi="Times New Roman"/>
          <w:vertAlign w:val="superscript"/>
        </w:rPr>
        <w:t>15</w:t>
      </w:r>
      <w:r>
        <w:rPr>
          <w:rFonts w:cs="Times New Roman" w:ascii="Times New Roman" w:hAnsi="Times New Roman"/>
        </w:rPr>
        <w:t xml:space="preserve">N value </w:t>
      </w:r>
      <w:r>
        <w:rPr>
          <w:rFonts w:cs="Times New Roman" w:ascii="Times New Roman" w:hAnsi="Times New Roman"/>
          <w:color w:val="202122"/>
          <w:shd w:fill="FFFFFF" w:val="clear"/>
        </w:rPr>
        <w:t>‰, if multiple values are given for the same individual, each value should be recorded separately)</w:t>
      </w:r>
    </w:p>
    <w:p>
      <w:pPr>
        <w:pStyle w:val="ListParagraph"/>
        <w:numPr>
          <w:ilvl w:val="2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 xml:space="preserve">A_Delta_15_N </w:t>
      </w:r>
    </w:p>
    <w:p>
      <w:pPr>
        <w:pStyle w:val="ListParagraph"/>
        <w:numPr>
          <w:ilvl w:val="3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 xml:space="preserve">Iso_ID </w:t>
      </w:r>
      <w:r>
        <w:rPr>
          <w:rFonts w:cs="Times New Roman" w:ascii="Times New Roman" w:hAnsi="Times New Roman"/>
        </w:rPr>
        <w:t>(if available, the lab code of the stable isotope value, e.g. “AJ.13.b”)</w:t>
      </w:r>
    </w:p>
    <w:p>
      <w:pPr>
        <w:pStyle w:val="ListParagraph"/>
        <w:numPr>
          <w:ilvl w:val="3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</w:rPr>
        <w:t xml:space="preserve">Iso_bone </w:t>
      </w:r>
      <w:r>
        <w:rPr>
          <w:rFonts w:cs="Times New Roman" w:ascii="Times New Roman" w:hAnsi="Times New Roman"/>
        </w:rPr>
        <w:t>(the tooth/bone sampled, e.g. “PM2 right”)</w:t>
      </w:r>
    </w:p>
    <w:p>
      <w:pPr>
        <w:pStyle w:val="ListParagraph"/>
        <w:numPr>
          <w:ilvl w:val="3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 xml:space="preserve">Iso_value </w:t>
      </w:r>
      <w:r>
        <w:rPr>
          <w:rFonts w:cs="Times New Roman" w:ascii="Times New Roman" w:hAnsi="Times New Roman"/>
        </w:rPr>
        <w:t>(</w:t>
      </w:r>
      <w:r>
        <w:rPr>
          <w:rFonts w:cs="Times New Roman" w:ascii="Times New Roman" w:hAnsi="Times New Roman"/>
          <w:i/>
          <w:iCs/>
        </w:rPr>
        <w:t>δ</w:t>
      </w:r>
      <w:r>
        <w:rPr>
          <w:rFonts w:cs="Times New Roman" w:ascii="Times New Roman" w:hAnsi="Times New Roman"/>
          <w:vertAlign w:val="superscript"/>
        </w:rPr>
        <w:t>15</w:t>
      </w:r>
      <w:r>
        <w:rPr>
          <w:rFonts w:cs="Times New Roman" w:ascii="Times New Roman" w:hAnsi="Times New Roman"/>
        </w:rPr>
        <w:t xml:space="preserve">N value </w:t>
      </w:r>
      <w:r>
        <w:rPr>
          <w:rFonts w:cs="Times New Roman" w:ascii="Times New Roman" w:hAnsi="Times New Roman"/>
          <w:color w:val="202122"/>
          <w:shd w:fill="FFFFFF" w:val="clear"/>
        </w:rPr>
        <w:t>‰, e.g. “8,71”)</w:t>
      </w:r>
    </w:p>
    <w:p>
      <w:pPr>
        <w:pStyle w:val="ListParagraph"/>
        <w:numPr>
          <w:ilvl w:val="3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 xml:space="preserve">Ref_Iso </w:t>
      </w:r>
      <w:r>
        <w:rPr>
          <w:rFonts w:cs="Times New Roman" w:ascii="Times New Roman" w:hAnsi="Times New Roman"/>
        </w:rPr>
        <w:t>(usually the publication in which the stable isotope value was first reported, e.g. “Borić and Price 2013”)</w:t>
      </w:r>
    </w:p>
    <w:p>
      <w:pPr>
        <w:pStyle w:val="ListParagraph"/>
        <w:numPr>
          <w:ilvl w:val="2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</w:rPr>
        <w:t>B_Delta_15_N</w:t>
      </w:r>
    </w:p>
    <w:p>
      <w:pPr>
        <w:pStyle w:val="ListParagraph"/>
        <w:numPr>
          <w:ilvl w:val="2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</w:rPr>
        <w:t>C_Delta_15_N</w:t>
      </w:r>
    </w:p>
    <w:p>
      <w:pPr>
        <w:pStyle w:val="ListParagraph"/>
        <w:numPr>
          <w:ilvl w:val="2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</w:rPr>
        <w:t>…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 xml:space="preserve">87Sr_86Sr </w:t>
      </w:r>
      <w:r>
        <w:rPr>
          <w:rFonts w:cs="Times New Roman" w:ascii="Times New Roman" w:hAnsi="Times New Roman"/>
        </w:rPr>
        <w:t xml:space="preserve">(87 Sr/86 Sr ratio, </w:t>
      </w:r>
      <w:r>
        <w:rPr>
          <w:rFonts w:cs="Times New Roman" w:ascii="Times New Roman" w:hAnsi="Times New Roman"/>
          <w:color w:val="202122"/>
          <w:shd w:fill="FFFFFF" w:val="clear"/>
        </w:rPr>
        <w:t>if multiple values are given for the same individual, each value should be recorded separately</w:t>
      </w:r>
    </w:p>
    <w:p>
      <w:pPr>
        <w:pStyle w:val="ListParagraph"/>
        <w:numPr>
          <w:ilvl w:val="2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 xml:space="preserve">A_87Sr_86Sr </w:t>
      </w:r>
    </w:p>
    <w:p>
      <w:pPr>
        <w:pStyle w:val="ListParagraph"/>
        <w:numPr>
          <w:ilvl w:val="3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 xml:space="preserve">Iso_ID </w:t>
      </w:r>
      <w:r>
        <w:rPr>
          <w:rFonts w:cs="Times New Roman" w:ascii="Times New Roman" w:hAnsi="Times New Roman"/>
        </w:rPr>
        <w:t>(if available, the lab code of the stable isotope value, e.g. “AJ.13.b”)</w:t>
      </w:r>
    </w:p>
    <w:p>
      <w:pPr>
        <w:pStyle w:val="ListParagraph"/>
        <w:numPr>
          <w:ilvl w:val="3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</w:rPr>
        <w:t xml:space="preserve">Iso_bone </w:t>
      </w:r>
      <w:r>
        <w:rPr>
          <w:rFonts w:cs="Times New Roman" w:ascii="Times New Roman" w:hAnsi="Times New Roman"/>
        </w:rPr>
        <w:t>(the tooth/bone sampled, e.g. “PM2 right”)</w:t>
      </w:r>
    </w:p>
    <w:p>
      <w:pPr>
        <w:pStyle w:val="ListParagraph"/>
        <w:numPr>
          <w:ilvl w:val="3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 xml:space="preserve">Iso_value </w:t>
      </w:r>
      <w:r>
        <w:rPr>
          <w:rFonts w:cs="Times New Roman" w:ascii="Times New Roman" w:hAnsi="Times New Roman"/>
        </w:rPr>
        <w:t>(87 Sr/86 Sr ratio, as reported</w:t>
      </w:r>
      <w:r>
        <w:rPr>
          <w:rFonts w:cs="Times New Roman" w:ascii="Times New Roman" w:hAnsi="Times New Roman"/>
          <w:color w:val="202122"/>
          <w:shd w:fill="FFFFFF" w:val="clear"/>
        </w:rPr>
        <w:t>, e.g. “</w:t>
      </w:r>
      <w:r>
        <w:rPr>
          <w:rFonts w:cs="Times New Roman" w:ascii="Times New Roman" w:hAnsi="Times New Roman"/>
        </w:rPr>
        <w:t>0,710942</w:t>
      </w:r>
      <w:r>
        <w:rPr>
          <w:rFonts w:cs="Times New Roman" w:ascii="Times New Roman" w:hAnsi="Times New Roman"/>
          <w:color w:val="202122"/>
          <w:shd w:fill="FFFFFF" w:val="clear"/>
        </w:rPr>
        <w:t>”)</w:t>
      </w:r>
    </w:p>
    <w:p>
      <w:pPr>
        <w:pStyle w:val="ListParagraph"/>
        <w:numPr>
          <w:ilvl w:val="3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 xml:space="preserve">Sr_baseline </w:t>
      </w:r>
      <w:r>
        <w:rPr>
          <w:rFonts w:cs="Times New Roman" w:ascii="Times New Roman" w:hAnsi="Times New Roman"/>
        </w:rPr>
        <w:t>(assessment based on the local baseline, either “local” or “non-local”)</w:t>
      </w:r>
    </w:p>
    <w:p>
      <w:pPr>
        <w:pStyle w:val="ListParagraph"/>
        <w:numPr>
          <w:ilvl w:val="3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 xml:space="preserve">Ref_Iso </w:t>
      </w:r>
      <w:r>
        <w:rPr>
          <w:rFonts w:cs="Times New Roman" w:ascii="Times New Roman" w:hAnsi="Times New Roman"/>
        </w:rPr>
        <w:t>(usually the publication in which the stable isotope value was first reported, e.g. “Borić and Price 2013”)</w:t>
      </w:r>
    </w:p>
    <w:p>
      <w:pPr>
        <w:pStyle w:val="ListParagraph"/>
        <w:numPr>
          <w:ilvl w:val="2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 xml:space="preserve">B_87Sr_86Sr </w:t>
      </w:r>
    </w:p>
    <w:p>
      <w:pPr>
        <w:pStyle w:val="ListParagraph"/>
        <w:numPr>
          <w:ilvl w:val="2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</w:rPr>
        <w:t>C_87Sr_86Sr</w:t>
      </w:r>
    </w:p>
    <w:p>
      <w:pPr>
        <w:pStyle w:val="ListParagraph"/>
        <w:numPr>
          <w:ilvl w:val="2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</w:rPr>
        <w:t>…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Delta_34_S</w:t>
      </w:r>
      <w:r>
        <w:rPr>
          <w:rFonts w:cs="Times New Roman" w:ascii="Times New Roman" w:hAnsi="Times New Roman"/>
        </w:rPr>
        <w:t xml:space="preserve"> (</w:t>
      </w:r>
      <w:r>
        <w:rPr>
          <w:rFonts w:cs="Times New Roman" w:ascii="Times New Roman" w:hAnsi="Times New Roman"/>
          <w:i/>
          <w:iCs/>
        </w:rPr>
        <w:t>δ</w:t>
      </w:r>
      <w:r>
        <w:rPr>
          <w:rFonts w:cs="Times New Roman" w:ascii="Times New Roman" w:hAnsi="Times New Roman"/>
          <w:vertAlign w:val="superscript"/>
        </w:rPr>
        <w:t>34</w:t>
      </w:r>
      <w:r>
        <w:rPr>
          <w:rFonts w:cs="Times New Roman" w:ascii="Times New Roman" w:hAnsi="Times New Roman"/>
        </w:rPr>
        <w:t xml:space="preserve">S value </w:t>
      </w:r>
      <w:r>
        <w:rPr>
          <w:rFonts w:cs="Times New Roman" w:ascii="Times New Roman" w:hAnsi="Times New Roman"/>
          <w:color w:val="202122"/>
          <w:shd w:fill="FFFFFF" w:val="clear"/>
        </w:rPr>
        <w:t>‰, if available, same as above)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…</w:t>
      </w:r>
    </w:p>
    <w:p>
      <w:pPr>
        <w:pStyle w:val="ListParagraph"/>
        <w:spacing w:lineRule="auto" w:line="240" w:before="0" w:after="0"/>
        <w:ind w:left="1440" w:hanging="0"/>
        <w:contextualSpacing/>
        <w:jc w:val="both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  <w:b/>
          <w:b/>
          <w:bCs/>
          <w:color w:val="4472C4"/>
        </w:rPr>
      </w:pPr>
      <w:r>
        <w:rPr>
          <w:rFonts w:cs="Times New Roman" w:ascii="Times New Roman" w:hAnsi="Times New Roman"/>
          <w:b/>
          <w:bCs/>
          <w:color w:val="4472C4" w:themeColor="accent1"/>
        </w:rPr>
        <w:t>Genetics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 xml:space="preserve">Genetic_ID </w:t>
      </w:r>
      <w:r>
        <w:rPr>
          <w:rFonts w:cs="Times New Roman" w:ascii="Times New Roman" w:hAnsi="Times New Roman"/>
        </w:rPr>
        <w:t>(The lab code, e.g. “I4688”; if the individual has been sampled multiple times for DNA analysis, each sample should be recorded separately)</w:t>
      </w:r>
    </w:p>
    <w:p>
      <w:pPr>
        <w:pStyle w:val="ListParagraph"/>
        <w:numPr>
          <w:ilvl w:val="2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 xml:space="preserve">A_Gen_ID </w:t>
      </w:r>
    </w:p>
    <w:p>
      <w:pPr>
        <w:pStyle w:val="ListParagraph"/>
        <w:numPr>
          <w:ilvl w:val="3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 xml:space="preserve">Data_type </w:t>
      </w:r>
      <w:r>
        <w:rPr>
          <w:rFonts w:cs="Times New Roman" w:ascii="Times New Roman" w:hAnsi="Times New Roman"/>
        </w:rPr>
        <w:t>(the quality of the DNA data, Reich data are typically “1240K.capture”; if a mitochondrial capture method was used, record as “mt.capture”; if the data has been shotgun sequenced, record as “shotgun”; if only screened for endogenous content, record as “screened”)</w:t>
      </w:r>
    </w:p>
    <w:p>
      <w:pPr>
        <w:pStyle w:val="ListParagraph"/>
        <w:numPr>
          <w:ilvl w:val="3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 xml:space="preserve">Endo_content </w:t>
      </w:r>
      <w:r>
        <w:rPr>
          <w:rFonts w:cs="Times New Roman" w:ascii="Times New Roman" w:hAnsi="Times New Roman"/>
        </w:rPr>
        <w:t>(endogenous DNA content, as reported in %, e.g. “42,80”)</w:t>
      </w:r>
    </w:p>
    <w:p>
      <w:pPr>
        <w:pStyle w:val="ListParagraph"/>
        <w:numPr>
          <w:ilvl w:val="3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 xml:space="preserve">Gen_bone </w:t>
      </w:r>
      <w:r>
        <w:rPr>
          <w:rFonts w:cs="Times New Roman" w:ascii="Times New Roman" w:hAnsi="Times New Roman"/>
        </w:rPr>
        <w:t>(the bone sampled for DNA, e.g. “PP” – pars petrosa, “L femur” – left femur)</w:t>
      </w:r>
    </w:p>
    <w:p>
      <w:pPr>
        <w:pStyle w:val="ListParagraph"/>
        <w:numPr>
          <w:ilvl w:val="3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mtDNA_haplo</w:t>
      </w:r>
      <w:r>
        <w:rPr>
          <w:rFonts w:cs="Times New Roman" w:ascii="Times New Roman" w:hAnsi="Times New Roman"/>
        </w:rPr>
        <w:t xml:space="preserve"> (the mitochondrial haplogroup, e.g. “T2a1b2b”)</w:t>
      </w:r>
    </w:p>
    <w:p>
      <w:pPr>
        <w:pStyle w:val="ListParagraph"/>
        <w:numPr>
          <w:ilvl w:val="3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 xml:space="preserve">Y_haplo </w:t>
      </w:r>
      <w:r>
        <w:rPr>
          <w:rFonts w:cs="Times New Roman" w:ascii="Times New Roman" w:hAnsi="Times New Roman"/>
        </w:rPr>
        <w:t>(the Y haplogroup, e.g. “G2a2b2a3”; if female, record as “n/a (female)”, if no data, record as “..”)</w:t>
      </w:r>
    </w:p>
    <w:p>
      <w:pPr>
        <w:pStyle w:val="ListParagraph"/>
        <w:numPr>
          <w:ilvl w:val="3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 xml:space="preserve">Ref_Gen </w:t>
      </w:r>
      <w:r>
        <w:rPr>
          <w:rFonts w:cs="Times New Roman" w:ascii="Times New Roman" w:hAnsi="Times New Roman"/>
        </w:rPr>
        <w:t>(usually the publication in which the genome was first reported, e.g. “Patterson et al. 2021”)</w:t>
      </w:r>
    </w:p>
    <w:p>
      <w:pPr>
        <w:pStyle w:val="ListParagraph"/>
        <w:numPr>
          <w:ilvl w:val="2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 xml:space="preserve">B_Gen_ID </w:t>
      </w:r>
    </w:p>
    <w:p>
      <w:pPr>
        <w:pStyle w:val="ListParagraph"/>
        <w:numPr>
          <w:ilvl w:val="2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 xml:space="preserve">C_Gen_ID </w:t>
      </w:r>
    </w:p>
    <w:p>
      <w:pPr>
        <w:pStyle w:val="ListParagraph"/>
        <w:numPr>
          <w:ilvl w:val="2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…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  <w:b/>
          <w:b/>
          <w:bCs/>
          <w:color w:val="4472C4"/>
        </w:rPr>
      </w:pPr>
      <w:r>
        <w:rPr>
          <w:rFonts w:cs="Times New Roman" w:ascii="Times New Roman" w:hAnsi="Times New Roman"/>
          <w:b/>
          <w:bCs/>
          <w:color w:val="4472C4" w:themeColor="accent1"/>
        </w:rPr>
        <w:t>Archaeology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</w:rPr>
        <w:t xml:space="preserve">Research_year </w:t>
      </w:r>
      <w:r>
        <w:rPr>
          <w:rFonts w:cs="Times New Roman" w:ascii="Times New Roman" w:hAnsi="Times New Roman"/>
        </w:rPr>
        <w:t xml:space="preserve">(the year(s) in which the site was excavated) 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 xml:space="preserve">Research_type </w:t>
      </w:r>
      <w:r>
        <w:rPr>
          <w:rFonts w:cs="Times New Roman" w:ascii="Times New Roman" w:hAnsi="Times New Roman"/>
        </w:rPr>
        <w:t>(typically “systematic excavation” if the site was systematically excavated for research purposes; “restricted excavation” if only a section of the site was excavated; “rescue excavations”; “accidental find”; “..” if no data available)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Barrow_info</w:t>
      </w:r>
    </w:p>
    <w:p>
      <w:pPr>
        <w:pStyle w:val="ListParagraph"/>
        <w:numPr>
          <w:ilvl w:val="2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 xml:space="preserve">Position_in_mound </w:t>
      </w:r>
      <w:r>
        <w:rPr>
          <w:rFonts w:cs="Times New Roman" w:ascii="Times New Roman" w:hAnsi="Times New Roman"/>
        </w:rPr>
        <w:t>(typically “central/close to centre”, “periphery”, “..”)</w:t>
      </w:r>
    </w:p>
    <w:p>
      <w:pPr>
        <w:pStyle w:val="ListParagraph"/>
        <w:numPr>
          <w:ilvl w:val="2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  <w:b/>
          <w:b/>
          <w:bCs/>
          <w:highlight w:val="yellow"/>
        </w:rPr>
      </w:pPr>
      <w:r>
        <w:rPr>
          <w:rFonts w:cs="Times New Roman" w:ascii="Times New Roman" w:hAnsi="Times New Roman"/>
          <w:b/>
          <w:bCs/>
          <w:highlight w:val="yellow"/>
        </w:rPr>
        <w:t>Burial_type</w:t>
      </w:r>
    </w:p>
    <w:p>
      <w:pPr>
        <w:pStyle w:val="ListParagraph"/>
        <w:numPr>
          <w:ilvl w:val="2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  <w:b/>
          <w:b/>
          <w:bCs/>
          <w:highlight w:val="yellow"/>
        </w:rPr>
      </w:pPr>
      <w:r>
        <w:rPr>
          <w:rFonts w:cs="Times New Roman" w:ascii="Times New Roman" w:hAnsi="Times New Roman"/>
          <w:b/>
          <w:bCs/>
          <w:highlight w:val="yellow"/>
        </w:rPr>
        <w:t>No_inhumations</w:t>
      </w:r>
    </w:p>
    <w:p>
      <w:pPr>
        <w:pStyle w:val="ListParagraph"/>
        <w:numPr>
          <w:ilvl w:val="2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  <w:b/>
          <w:b/>
          <w:bCs/>
          <w:highlight w:val="yellow"/>
        </w:rPr>
      </w:pPr>
      <w:r>
        <w:rPr>
          <w:rFonts w:cs="Times New Roman" w:ascii="Times New Roman" w:hAnsi="Times New Roman"/>
          <w:b/>
          <w:bCs/>
          <w:highlight w:val="yellow"/>
        </w:rPr>
        <w:t>Pit_length</w:t>
      </w:r>
    </w:p>
    <w:p>
      <w:pPr>
        <w:pStyle w:val="ListParagraph"/>
        <w:numPr>
          <w:ilvl w:val="2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  <w:b/>
          <w:b/>
          <w:bCs/>
          <w:highlight w:val="yellow"/>
        </w:rPr>
      </w:pPr>
      <w:r>
        <w:rPr>
          <w:rFonts w:cs="Times New Roman" w:ascii="Times New Roman" w:hAnsi="Times New Roman"/>
          <w:b/>
          <w:bCs/>
          <w:highlight w:val="yellow"/>
        </w:rPr>
        <w:t>Pit_width</w:t>
      </w:r>
    </w:p>
    <w:p>
      <w:pPr>
        <w:pStyle w:val="ListParagraph"/>
        <w:numPr>
          <w:ilvl w:val="2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  <w:b/>
          <w:b/>
          <w:bCs/>
          <w:highlight w:val="yellow"/>
        </w:rPr>
      </w:pPr>
      <w:r>
        <w:rPr>
          <w:rFonts w:cs="Times New Roman" w:ascii="Times New Roman" w:hAnsi="Times New Roman"/>
          <w:b/>
          <w:bCs/>
          <w:highlight w:val="yellow"/>
        </w:rPr>
        <w:t xml:space="preserve">Pit_depth </w:t>
      </w:r>
    </w:p>
    <w:p>
      <w:pPr>
        <w:pStyle w:val="ListParagraph"/>
        <w:numPr>
          <w:ilvl w:val="2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  <w:b/>
          <w:b/>
          <w:bCs/>
          <w:highlight w:val="yellow"/>
        </w:rPr>
      </w:pPr>
      <w:r>
        <w:rPr>
          <w:rFonts w:cs="Times New Roman" w:ascii="Times New Roman" w:hAnsi="Times New Roman"/>
          <w:b/>
          <w:bCs/>
          <w:highlight w:val="yellow"/>
        </w:rPr>
        <w:t>Pit_shape</w:t>
      </w:r>
    </w:p>
    <w:p>
      <w:pPr>
        <w:pStyle w:val="ListParagraph"/>
        <w:numPr>
          <w:ilvl w:val="2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  <w:b/>
          <w:b/>
          <w:bCs/>
          <w:highlight w:val="yellow"/>
        </w:rPr>
      </w:pPr>
      <w:r>
        <w:rPr>
          <w:rFonts w:cs="Times New Roman" w:ascii="Times New Roman" w:hAnsi="Times New Roman"/>
          <w:b/>
          <w:bCs/>
          <w:highlight w:val="yellow"/>
        </w:rPr>
        <w:t>Pit_type</w:t>
      </w:r>
    </w:p>
    <w:p>
      <w:pPr>
        <w:pStyle w:val="ListParagraph"/>
        <w:numPr>
          <w:ilvl w:val="2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  <w:b/>
          <w:b/>
          <w:bCs/>
          <w:highlight w:val="yellow"/>
        </w:rPr>
      </w:pPr>
      <w:r>
        <w:rPr>
          <w:rFonts w:cs="Times New Roman" w:ascii="Times New Roman" w:hAnsi="Times New Roman"/>
          <w:b/>
          <w:bCs/>
          <w:highlight w:val="yellow"/>
        </w:rPr>
        <w:t>Pit_construction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Body_info</w:t>
      </w:r>
    </w:p>
    <w:p>
      <w:pPr>
        <w:pStyle w:val="ListParagraph"/>
        <w:numPr>
          <w:ilvl w:val="2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  <w:b/>
          <w:b/>
          <w:bCs/>
          <w:highlight w:val="yellow"/>
        </w:rPr>
      </w:pPr>
      <w:r>
        <w:rPr>
          <w:rFonts w:cs="Times New Roman" w:ascii="Times New Roman" w:hAnsi="Times New Roman"/>
          <w:b/>
          <w:bCs/>
          <w:highlight w:val="yellow"/>
        </w:rPr>
        <w:t xml:space="preserve">Funerary_practice </w:t>
      </w:r>
      <w:r>
        <w:rPr>
          <w:rFonts w:cs="Times New Roman" w:ascii="Times New Roman" w:hAnsi="Times New Roman"/>
          <w:highlight w:val="yellow"/>
        </w:rPr>
        <w:t>(typically “inhumation”, “cremation”)</w:t>
      </w:r>
    </w:p>
    <w:p>
      <w:pPr>
        <w:pStyle w:val="ListParagraph"/>
        <w:numPr>
          <w:ilvl w:val="2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  <w:b/>
          <w:b/>
          <w:bCs/>
          <w:highlight w:val="yellow"/>
        </w:rPr>
      </w:pPr>
      <w:r>
        <w:rPr>
          <w:rFonts w:cs="Times New Roman" w:ascii="Times New Roman" w:hAnsi="Times New Roman"/>
          <w:b/>
          <w:bCs/>
          <w:highlight w:val="yellow"/>
        </w:rPr>
        <w:t xml:space="preserve">Inhumation_type </w:t>
      </w:r>
      <w:r>
        <w:rPr>
          <w:rFonts w:cs="Times New Roman" w:ascii="Times New Roman" w:hAnsi="Times New Roman"/>
          <w:highlight w:val="yellow"/>
        </w:rPr>
        <w:t xml:space="preserve">(typically “primary” for an articulated skeleton, or “secondary” if disarticulated) </w:t>
      </w:r>
    </w:p>
    <w:p>
      <w:pPr>
        <w:pStyle w:val="ListParagraph"/>
        <w:numPr>
          <w:ilvl w:val="2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  <w:highlight w:val="yellow"/>
        </w:rPr>
      </w:pPr>
      <w:r>
        <w:rPr>
          <w:rFonts w:cs="Times New Roman" w:ascii="Times New Roman" w:hAnsi="Times New Roman"/>
          <w:b/>
          <w:bCs/>
          <w:highlight w:val="yellow"/>
        </w:rPr>
        <w:t>Anatomical_connection</w:t>
      </w:r>
    </w:p>
    <w:p>
      <w:pPr>
        <w:pStyle w:val="ListParagraph"/>
        <w:numPr>
          <w:ilvl w:val="2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  <w:highlight w:val="yellow"/>
        </w:rPr>
      </w:pPr>
      <w:r>
        <w:rPr>
          <w:rFonts w:cs="Times New Roman" w:ascii="Times New Roman" w:hAnsi="Times New Roman"/>
          <w:b/>
          <w:bCs/>
          <w:highlight w:val="yellow"/>
        </w:rPr>
        <w:t xml:space="preserve">Body_position </w:t>
      </w:r>
      <w:r>
        <w:rPr>
          <w:rFonts w:cs="Times New Roman" w:ascii="Times New Roman" w:hAnsi="Times New Roman"/>
          <w:highlight w:val="yellow"/>
        </w:rPr>
        <w:t>(typically “crouched on the left”, “crouched on the right”, “extended supine” if the entire skeleton lays on its back, or “supine” if only the upper body lay on its back; “prone” if buried face down;  “scattered bones” if bones are disarticulated or only lie in partial anatomical connection, without the possibility to infer burial type; “..” – no data)</w:t>
      </w:r>
    </w:p>
    <w:p>
      <w:pPr>
        <w:pStyle w:val="ListParagraph"/>
        <w:numPr>
          <w:ilvl w:val="2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  <w:highlight w:val="yellow"/>
        </w:rPr>
      </w:pPr>
      <w:r>
        <w:rPr>
          <w:rFonts w:cs="Times New Roman" w:ascii="Times New Roman" w:hAnsi="Times New Roman"/>
          <w:b/>
          <w:bCs/>
          <w:highlight w:val="yellow"/>
        </w:rPr>
        <w:t>Crouching_type</w:t>
      </w:r>
      <w:r>
        <w:rPr>
          <w:rFonts w:cs="Times New Roman" w:ascii="Times New Roman" w:hAnsi="Times New Roman"/>
          <w:highlight w:val="yellow"/>
        </w:rPr>
        <w:t xml:space="preserve"> (“contracted” when the legs are drawn up to the chin and have an angle of 90° or less with the spinal column, “flexed” if the angle is more than right angle [Heise 2016, 96; after Childe 1947, 346])</w:t>
      </w:r>
    </w:p>
    <w:p>
      <w:pPr>
        <w:pStyle w:val="ListParagraph"/>
        <w:numPr>
          <w:ilvl w:val="2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  <w:highlight w:val="yellow"/>
        </w:rPr>
      </w:pPr>
      <w:r>
        <w:rPr>
          <w:rFonts w:cs="Times New Roman" w:ascii="Times New Roman" w:hAnsi="Times New Roman"/>
          <w:b/>
          <w:bCs/>
          <w:highlight w:val="yellow"/>
        </w:rPr>
        <w:t>Arms_position</w:t>
      </w:r>
    </w:p>
    <w:p>
      <w:pPr>
        <w:pStyle w:val="ListParagraph"/>
        <w:numPr>
          <w:ilvl w:val="2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  <w:highlight w:val="yellow"/>
        </w:rPr>
      </w:pPr>
      <w:r>
        <w:rPr>
          <w:rFonts w:cs="Times New Roman" w:ascii="Times New Roman" w:hAnsi="Times New Roman"/>
          <w:b/>
          <w:bCs/>
          <w:highlight w:val="yellow"/>
        </w:rPr>
        <w:t>Legs_position</w:t>
      </w:r>
    </w:p>
    <w:p>
      <w:pPr>
        <w:pStyle w:val="ListParagraph"/>
        <w:numPr>
          <w:ilvl w:val="2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  <w:highlight w:val="yellow"/>
        </w:rPr>
      </w:pPr>
      <w:r>
        <w:rPr>
          <w:rFonts w:cs="Times New Roman" w:ascii="Times New Roman" w:hAnsi="Times New Roman"/>
          <w:b/>
          <w:bCs/>
          <w:highlight w:val="yellow"/>
        </w:rPr>
        <w:t xml:space="preserve">Head_orientation </w:t>
      </w:r>
    </w:p>
    <w:p>
      <w:pPr>
        <w:pStyle w:val="ListParagraph"/>
        <w:numPr>
          <w:ilvl w:val="2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  <w:highlight w:val="yellow"/>
        </w:rPr>
      </w:pPr>
      <w:r>
        <w:rPr>
          <w:rFonts w:cs="Times New Roman" w:ascii="Times New Roman" w:hAnsi="Times New Roman"/>
          <w:b/>
          <w:bCs/>
          <w:highlight w:val="yellow"/>
        </w:rPr>
        <w:t>Head_facing</w:t>
      </w:r>
    </w:p>
    <w:p>
      <w:pPr>
        <w:pStyle w:val="ListParagraph"/>
        <w:numPr>
          <w:ilvl w:val="2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  <w:highlight w:val="yellow"/>
        </w:rPr>
      </w:pPr>
      <w:r>
        <w:rPr>
          <w:rFonts w:cs="Times New Roman" w:ascii="Times New Roman" w:hAnsi="Times New Roman"/>
          <w:b/>
          <w:bCs/>
          <w:highlight w:val="yellow"/>
        </w:rPr>
        <w:t xml:space="preserve">Ochre </w:t>
      </w:r>
      <w:r>
        <w:rPr>
          <w:rFonts w:cs="Times New Roman" w:ascii="Times New Roman" w:hAnsi="Times New Roman"/>
          <w:highlight w:val="yellow"/>
        </w:rPr>
        <w:t>(if available, “Y” – yes, “N” – no, “..” – no data)</w:t>
      </w:r>
    </w:p>
    <w:p>
      <w:pPr>
        <w:pStyle w:val="ListParagraph"/>
        <w:numPr>
          <w:ilvl w:val="2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  <w:highlight w:val="yellow"/>
        </w:rPr>
      </w:pPr>
      <w:r>
        <w:rPr>
          <w:rFonts w:cs="Times New Roman" w:ascii="Times New Roman" w:hAnsi="Times New Roman"/>
          <w:b/>
          <w:bCs/>
          <w:highlight w:val="yellow"/>
        </w:rPr>
        <w:t xml:space="preserve">Ochre_position </w:t>
      </w:r>
      <w:r>
        <w:rPr>
          <w:rFonts w:cs="Times New Roman" w:ascii="Times New Roman" w:hAnsi="Times New Roman"/>
          <w:highlight w:val="yellow"/>
        </w:rPr>
        <w:t>(in relation to the body)</w:t>
      </w:r>
    </w:p>
    <w:p>
      <w:pPr>
        <w:pStyle w:val="ListParagraph"/>
        <w:numPr>
          <w:ilvl w:val="2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  <w:highlight w:val="yellow"/>
        </w:rPr>
      </w:pPr>
      <w:r>
        <w:rPr>
          <w:rFonts w:cs="Times New Roman" w:ascii="Times New Roman" w:hAnsi="Times New Roman"/>
          <w:b/>
          <w:bCs/>
          <w:highlight w:val="yellow"/>
        </w:rPr>
        <w:t xml:space="preserve">Other </w:t>
      </w:r>
      <w:r>
        <w:rPr>
          <w:rFonts w:cs="Times New Roman" w:ascii="Times New Roman" w:hAnsi="Times New Roman"/>
          <w:highlight w:val="yellow"/>
        </w:rPr>
        <w:t>(an open field, to record any other important attribute, e.g. “phytolith layer” suggesting the presence of a mat or rug)</w:t>
      </w:r>
    </w:p>
    <w:p>
      <w:pPr>
        <w:pStyle w:val="ListParagraph"/>
        <w:spacing w:lineRule="auto" w:line="240" w:before="0" w:after="0"/>
        <w:ind w:hanging="0"/>
        <w:contextualSpacing/>
        <w:jc w:val="both"/>
        <w:rPr>
          <w:rFonts w:ascii="Times New Roman" w:hAnsi="Times New Roman" w:cs="Times New Roman"/>
          <w:highlight w:val="yellow"/>
        </w:rPr>
      </w:pPr>
      <w:r>
        <w:rPr>
          <w:rFonts w:cs="Times New Roman" w:ascii="Times New Roman" w:hAnsi="Times New Roman"/>
          <w:highlight w:val="yellow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highlight w:val="yellow"/>
        </w:rPr>
      </w:pPr>
      <w:r>
        <w:rPr>
          <w:rFonts w:cs="Times New Roman" w:ascii="Times New Roman" w:hAnsi="Times New Roman"/>
          <w:highlight w:val="yellow"/>
        </w:rPr>
      </w:r>
    </w:p>
    <w:p>
      <w:pPr>
        <w:pStyle w:val="Normal"/>
        <w:spacing w:lineRule="auto" w:line="276" w:before="0" w:after="0"/>
        <w:rPr>
          <w:color w:val="C9211E"/>
        </w:rPr>
      </w:pPr>
      <w:r>
        <w:rPr>
          <w:color w:val="C9211E"/>
        </w:rPr>
      </w:r>
    </w:p>
    <w:p>
      <w:pPr>
        <w:pStyle w:val="Normal"/>
        <w:spacing w:lineRule="auto" w:line="276" w:before="0" w:after="0"/>
        <w:rPr>
          <w:color w:val="C9211E"/>
        </w:rPr>
      </w:pPr>
      <w:r>
        <w:rPr>
          <w:color w:val="C9211E"/>
        </w:rPr>
      </w:r>
    </w:p>
    <w:p>
      <w:pPr>
        <w:pStyle w:val="Normal"/>
        <w:spacing w:lineRule="auto" w:line="276" w:before="0" w:after="0"/>
        <w:rPr>
          <w:color w:val="C9211E"/>
        </w:rPr>
      </w:pPr>
      <w:r>
        <w:rPr>
          <w:color w:val="C9211E"/>
        </w:rPr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  <w:color w:val="C9211E"/>
        </w:rPr>
        <w:t>Grave_goods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  <w:color w:val="C9211E"/>
        </w:rPr>
        <w:tab/>
        <w:t>grave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  <w:color w:val="C9211E"/>
        </w:rPr>
        <w:tab/>
        <w:t>skeleton</w:t>
      </w:r>
    </w:p>
    <w:p>
      <w:pPr>
        <w:pStyle w:val="Normal"/>
        <w:spacing w:lineRule="auto" w:line="276" w:before="0" w:after="0"/>
        <w:rPr>
          <w:color w:val="C9211E"/>
        </w:rPr>
      </w:pPr>
      <w:r>
        <w:rPr>
          <w:rFonts w:cs="Times New Roman" w:ascii="Times New Roman" w:hAnsi="Times New Roman"/>
          <w:b/>
          <w:bCs/>
          <w:color w:val="C9211E"/>
          <w:shd w:fill="auto" w:val="clear"/>
        </w:rPr>
        <w:tab/>
        <w:t>type</w:t>
      </w:r>
      <w:r>
        <w:rPr>
          <w:rFonts w:cs="Times New Roman" w:ascii="Times New Roman" w:hAnsi="Times New Roman"/>
          <w:b w:val="false"/>
          <w:bCs w:val="false"/>
          <w:color w:val="C9211E"/>
          <w:shd w:fill="auto" w:val="clear"/>
        </w:rPr>
        <w:t xml:space="preserve">  - shaft axe, amber, pot, etc</w:t>
      </w:r>
    </w:p>
    <w:p>
      <w:pPr>
        <w:pStyle w:val="Normal"/>
        <w:spacing w:lineRule="auto" w:line="276" w:before="0" w:after="0"/>
        <w:rPr>
          <w:color w:val="C9211E"/>
        </w:rPr>
      </w:pPr>
      <w:r>
        <w:rPr>
          <w:color w:val="C9211E"/>
        </w:rPr>
        <w:tab/>
        <w:t>closest_bone (when skeleton)</w:t>
      </w:r>
    </w:p>
    <w:p>
      <w:pPr>
        <w:pStyle w:val="Normal"/>
        <w:spacing w:lineRule="auto" w:line="276" w:before="0" w:after="0"/>
        <w:rPr>
          <w:color w:val="C9211E"/>
        </w:rPr>
      </w:pPr>
      <w:r>
        <w:rPr>
          <w:color w:val="C9211E"/>
        </w:rPr>
        <w:tab/>
        <w:t>bounding box (x1, y1, x2, y2)</w:t>
      </w:r>
    </w:p>
    <w:p>
      <w:pPr>
        <w:pStyle w:val="Normal"/>
        <w:spacing w:lineRule="auto" w:line="276" w:before="0" w:after="0"/>
        <w:rPr>
          <w:color w:val="C9211E"/>
        </w:rPr>
      </w:pPr>
      <w:r>
        <w:rPr>
          <w:color w:val="C9211E"/>
        </w:rPr>
        <w:tab/>
      </w:r>
    </w:p>
    <w:p>
      <w:pPr>
        <w:pStyle w:val="Normal"/>
        <w:spacing w:lineRule="auto" w:line="276" w:before="0" w:after="0"/>
        <w:rPr>
          <w:color w:val="C9211E"/>
        </w:rPr>
      </w:pPr>
      <w:r>
        <w:rPr>
          <w:color w:val="C9211E"/>
        </w:rPr>
        <w:tab/>
      </w:r>
    </w:p>
    <w:p>
      <w:pPr>
        <w:pStyle w:val="Normal"/>
        <w:spacing w:lineRule="auto" w:line="276" w:before="0" w:after="0"/>
        <w:rPr>
          <w:color w:val="C9211E"/>
        </w:rPr>
      </w:pPr>
      <w:r>
        <w:rPr>
          <w:color w:val="C9211E"/>
        </w:rPr>
        <w:t>Grave</w:t>
      </w:r>
    </w:p>
    <w:p>
      <w:pPr>
        <w:pStyle w:val="Normal"/>
        <w:spacing w:lineRule="auto" w:line="276" w:before="0" w:after="0"/>
        <w:rPr>
          <w:color w:val="C9211E"/>
        </w:rPr>
      </w:pPr>
      <w:r>
        <w:rPr>
          <w:color w:val="C9211E"/>
        </w:rPr>
        <w:tab/>
        <w:t>general type (kurgan, megalithic, stone cyst, pit,  etc)</w:t>
      </w:r>
    </w:p>
    <w:p>
      <w:pPr>
        <w:pStyle w:val="Normal"/>
        <w:spacing w:lineRule="auto" w:line="276" w:before="0" w:after="0"/>
        <w:rPr>
          <w:color w:val="C9211E"/>
        </w:rPr>
      </w:pPr>
      <w:r>
        <w:rPr>
          <w:color w:val="C9211E"/>
        </w:rPr>
        <w:tab/>
      </w:r>
      <w:r>
        <w:rPr>
          <w:color w:val="C9211E"/>
          <w:u w:val="none"/>
        </w:rPr>
        <w:t>area</w:t>
      </w:r>
    </w:p>
    <w:p>
      <w:pPr>
        <w:pStyle w:val="Normal"/>
        <w:spacing w:lineRule="auto" w:line="276" w:before="0" w:after="0"/>
        <w:rPr>
          <w:color w:val="C9211E"/>
        </w:rPr>
      </w:pPr>
      <w:r>
        <w:rPr>
          <w:color w:val="C9211E"/>
        </w:rPr>
        <w:tab/>
        <w:t>arc_length</w:t>
      </w:r>
    </w:p>
    <w:p>
      <w:pPr>
        <w:pStyle w:val="Normal"/>
        <w:spacing w:lineRule="auto" w:line="276" w:before="0" w:after="0"/>
        <w:rPr>
          <w:color w:val="C9211E"/>
        </w:rPr>
      </w:pPr>
      <w:r>
        <w:rPr>
          <w:color w:val="C9211E"/>
        </w:rPr>
        <w:tab/>
        <w:t>depth</w:t>
      </w:r>
    </w:p>
    <w:p>
      <w:pPr>
        <w:pStyle w:val="Normal"/>
        <w:spacing w:lineRule="auto" w:line="276" w:before="0" w:after="0"/>
        <w:rPr>
          <w:color w:val="C9211E"/>
        </w:rPr>
      </w:pPr>
      <w:r>
        <w:rPr>
          <w:color w:val="C9211E"/>
        </w:rPr>
        <w:tab/>
      </w:r>
    </w:p>
    <w:p>
      <w:pPr>
        <w:pStyle w:val="Normal"/>
        <w:spacing w:lineRule="auto" w:line="276" w:before="0" w:after="0"/>
        <w:rPr>
          <w:color w:val="C9211E"/>
        </w:rPr>
      </w:pPr>
      <w:r>
        <w:rPr>
          <w:color w:val="C9211E"/>
        </w:rPr>
        <w:tab/>
      </w:r>
    </w:p>
    <w:p>
      <w:pPr>
        <w:pStyle w:val="Normal"/>
        <w:spacing w:lineRule="auto" w:line="276" w:before="0" w:after="0"/>
        <w:rPr>
          <w:color w:val="C9211E"/>
        </w:rPr>
      </w:pPr>
      <w:r>
        <w:rPr>
          <w:color w:val="C9211E"/>
        </w:rPr>
        <w:tab/>
      </w:r>
    </w:p>
    <w:p>
      <w:pPr>
        <w:pStyle w:val="Normal"/>
        <w:spacing w:lineRule="auto" w:line="276" w:before="0" w:after="0"/>
        <w:rPr/>
      </w:pPr>
      <w:r>
        <w:rPr>
          <w:color w:val="C9211E"/>
        </w:rPr>
        <w:tab/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b w:val="false"/>
          <w:b w:val="false"/>
          <w:bCs w:val="false"/>
          <w:highlight w:val="none"/>
          <w:shd w:fill="auto" w:val="clear"/>
        </w:rPr>
      </w:pPr>
      <w:r>
        <w:rPr>
          <w:color w:val="C9211E"/>
        </w:rPr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b w:val="false"/>
          <w:b w:val="false"/>
          <w:bCs w:val="false"/>
          <w:highlight w:val="none"/>
          <w:shd w:fill="auto" w:val="clear"/>
        </w:rPr>
      </w:pPr>
      <w:r>
        <w:rPr>
          <w:rFonts w:cs="Times New Roman" w:ascii="Times New Roman" w:hAnsi="Times New Roman"/>
          <w:b w:val="false"/>
          <w:bCs w:val="false"/>
          <w:color w:val="C9211E"/>
          <w:shd w:fill="auto" w:val="clear"/>
        </w:rPr>
        <w:tab/>
        <w:tab/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hanging="0"/>
        <w:contextualSpacing/>
        <w:jc w:val="both"/>
        <w:rPr>
          <w:rFonts w:ascii="Times New Roman" w:hAnsi="Times New Roman" w:cs="Times New Roman"/>
        </w:rPr>
      </w:pPr>
      <w:r>
        <w:rPr>
          <w:rFonts w:asciiTheme="minorHAnsi" w:cstheme="minorBidi" w:eastAsiaTheme="minorHAnsi" w:hAnsiTheme="minorHAnsi"/>
          <w:color w:val="C9211E"/>
          <w:shd w:fill="auto" w:val="clear"/>
        </w:rPr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hanging="0"/>
        <w:contextualSpacing/>
        <w:jc w:val="both"/>
        <w:rPr>
          <w:color w:val="C9211E"/>
          <w:highlight w:val="none"/>
          <w:shd w:fill="auto" w:val="clear"/>
        </w:rPr>
      </w:pPr>
      <w:r>
        <w:rPr>
          <w:rFonts w:asciiTheme="minorHAnsi" w:cstheme="minorBidi" w:eastAsiaTheme="minorHAnsi" w:hAnsiTheme="minorHAnsi"/>
          <w:color w:val="C9211E"/>
          <w:shd w:fill="auto" w:val="clear"/>
        </w:rPr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color w:val="C9211E"/>
          <w:highlight w:val="yellow"/>
        </w:rPr>
      </w:pPr>
      <w:r>
        <w:rPr>
          <w:rFonts w:cs="Times New Roman" w:ascii="Times New Roman" w:hAnsi="Times New Roman"/>
          <w:color w:val="C9211E"/>
          <w:highlight w:val="yellow"/>
        </w:rPr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2d3b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0d2d3b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4467cc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78CB43-E427-4E8A-8D7E-F1FB672C5C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727</TotalTime>
  <Application>LibreOffice/7.4.4.2$Windows_X86_64 LibreOffice_project/85569322deea74ec9134968a29af2df5663baa21</Application>
  <AppVersion>15.0000</AppVersion>
  <Pages>5</Pages>
  <Words>1473</Words>
  <Characters>7897</Characters>
  <CharactersWithSpaces>9187</CharactersWithSpaces>
  <Paragraphs>151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2023-01-13T14:50:00Z</dcterms:created>
  <dc:creator>Brami, Maxime</dc:creator>
  <dc:description/>
  <dc:language>en-US</dc:language>
  <cp:lastModifiedBy/>
  <dcterms:modified xsi:type="dcterms:W3CDTF">2023-01-22T19:48:33Z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