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C41AB" w14:textId="77777777" w:rsidR="00F87E5F" w:rsidRPr="00F87E5F" w:rsidRDefault="00F87E5F" w:rsidP="00F87E5F">
      <w:pPr>
        <w:pStyle w:val="a7"/>
        <w:numPr>
          <w:ilvl w:val="0"/>
          <w:numId w:val="1"/>
        </w:numPr>
        <w:spacing w:line="276" w:lineRule="auto"/>
        <w:ind w:firstLineChars="0"/>
      </w:pPr>
      <w:r>
        <w:rPr>
          <w:rFonts w:ascii="Calibri" w:eastAsia="宋体" w:hAnsi="Calibri" w:cs="Times New Roman" w:hint="eastAsia"/>
        </w:rPr>
        <w:t>信息安全</w:t>
      </w:r>
      <w:r>
        <w:rPr>
          <w:rFonts w:hint="eastAsia"/>
        </w:rPr>
        <w:t>：</w:t>
      </w:r>
      <w:r w:rsidRPr="00F87E5F">
        <w:rPr>
          <w:rFonts w:ascii="宋体" w:eastAsia="宋体" w:hAnsi="Calibri" w:cs="Times New Roman" w:hint="eastAsia"/>
          <w:kern w:val="0"/>
          <w:szCs w:val="21"/>
        </w:rPr>
        <w:t>就是要保护信息免受威胁的影响，从而确保业务的连续性，缩减业务风险，最大化投资收益并充分把握业务机会</w:t>
      </w:r>
      <w:r w:rsidRPr="00F87E5F">
        <w:rPr>
          <w:rFonts w:ascii="宋体" w:hint="eastAsia"/>
          <w:kern w:val="0"/>
          <w:szCs w:val="21"/>
        </w:rPr>
        <w:t>。</w:t>
      </w:r>
    </w:p>
    <w:p w14:paraId="6C700D4B" w14:textId="77777777" w:rsidR="00F87E5F" w:rsidRPr="00F87E5F" w:rsidRDefault="00F87E5F" w:rsidP="00F87E5F">
      <w:pPr>
        <w:pStyle w:val="a7"/>
        <w:numPr>
          <w:ilvl w:val="0"/>
          <w:numId w:val="1"/>
        </w:numPr>
        <w:spacing w:line="276" w:lineRule="auto"/>
        <w:ind w:firstLineChars="0"/>
      </w:pPr>
      <w:r>
        <w:rPr>
          <w:rFonts w:ascii="黑体" w:eastAsia="宋体" w:hAnsi="Calibri" w:cs="Times New Roman" w:hint="eastAsia"/>
          <w:kern w:val="0"/>
        </w:rPr>
        <w:t>信息安全事件</w:t>
      </w:r>
      <w:r>
        <w:rPr>
          <w:rFonts w:ascii="黑体" w:hint="eastAsia"/>
          <w:kern w:val="0"/>
        </w:rPr>
        <w:t>：</w:t>
      </w:r>
      <w:r>
        <w:rPr>
          <w:rFonts w:ascii="宋体" w:eastAsia="宋体" w:hAnsi="Calibri" w:cs="Times New Roman" w:hint="eastAsia"/>
          <w:color w:val="000000"/>
          <w:kern w:val="0"/>
          <w:szCs w:val="21"/>
        </w:rPr>
        <w:t>是指系统、服务或网络的一种可识别的状态的发生，它可能是对信息安全策略的违反或防护措施的失效，或是和安全关联的一个先前未知的状态</w:t>
      </w:r>
      <w:r>
        <w:rPr>
          <w:rFonts w:ascii="宋体" w:hint="eastAsia"/>
          <w:color w:val="000000"/>
          <w:kern w:val="0"/>
          <w:szCs w:val="21"/>
        </w:rPr>
        <w:t>。</w:t>
      </w:r>
    </w:p>
    <w:p w14:paraId="21BADDB9" w14:textId="77777777" w:rsidR="00F87E5F" w:rsidRPr="00F87E5F" w:rsidRDefault="00F87E5F" w:rsidP="00F87E5F">
      <w:pPr>
        <w:pStyle w:val="a7"/>
        <w:numPr>
          <w:ilvl w:val="0"/>
          <w:numId w:val="1"/>
        </w:numPr>
        <w:spacing w:line="276" w:lineRule="auto"/>
        <w:ind w:firstLineChars="0"/>
      </w:pPr>
      <w:r>
        <w:rPr>
          <w:rFonts w:ascii="黑体" w:eastAsia="宋体" w:hAnsi="Calibri" w:cs="Times New Roman" w:hint="eastAsia"/>
          <w:kern w:val="0"/>
        </w:rPr>
        <w:t>信息安全事故</w:t>
      </w:r>
      <w:r>
        <w:rPr>
          <w:rFonts w:ascii="黑体" w:hint="eastAsia"/>
          <w:kern w:val="0"/>
        </w:rPr>
        <w:t>：</w:t>
      </w:r>
      <w:r>
        <w:rPr>
          <w:rFonts w:ascii="宋体" w:eastAsia="宋体" w:hAnsi="Arial-BoldMT" w:cs="Times New Roman" w:hint="eastAsia"/>
          <w:kern w:val="0"/>
          <w:szCs w:val="21"/>
        </w:rPr>
        <w:t>一个信息安全事故由单个的或一系列的有害或意外信息安全事件组成，它们具有损害业务运作和威胁信息安全的极大的可能性。</w:t>
      </w:r>
    </w:p>
    <w:p w14:paraId="18D8D634" w14:textId="77777777" w:rsidR="00F87E5F" w:rsidRPr="00F87E5F" w:rsidRDefault="00F87E5F" w:rsidP="00F87E5F">
      <w:pPr>
        <w:pStyle w:val="a7"/>
        <w:numPr>
          <w:ilvl w:val="0"/>
          <w:numId w:val="1"/>
        </w:numPr>
        <w:spacing w:line="276" w:lineRule="auto"/>
        <w:ind w:firstLineChars="0"/>
      </w:pPr>
      <w:r>
        <w:rPr>
          <w:rFonts w:hint="eastAsia"/>
        </w:rPr>
        <w:t>方针：</w:t>
      </w:r>
      <w:r>
        <w:rPr>
          <w:rFonts w:ascii="宋体" w:eastAsia="宋体" w:hAnsi="Arial-BoldMT" w:cs="Times New Roman" w:hint="eastAsia"/>
          <w:kern w:val="0"/>
          <w:szCs w:val="21"/>
        </w:rPr>
        <w:t>管理层正式发布的总体意图与方向</w:t>
      </w:r>
      <w:r>
        <w:rPr>
          <w:rFonts w:ascii="宋体" w:hAnsi="Arial-BoldMT" w:hint="eastAsia"/>
          <w:kern w:val="0"/>
          <w:szCs w:val="21"/>
        </w:rPr>
        <w:t>。</w:t>
      </w:r>
    </w:p>
    <w:p w14:paraId="519E541E" w14:textId="77777777" w:rsidR="00F87E5F" w:rsidRPr="00F87E5F" w:rsidRDefault="00F87E5F" w:rsidP="00F87E5F">
      <w:pPr>
        <w:pStyle w:val="a7"/>
        <w:numPr>
          <w:ilvl w:val="0"/>
          <w:numId w:val="1"/>
        </w:numPr>
        <w:spacing w:line="276" w:lineRule="auto"/>
        <w:ind w:firstLineChars="0"/>
      </w:pPr>
      <w:r>
        <w:rPr>
          <w:rFonts w:ascii="黑体" w:eastAsia="宋体" w:hAnsi="Calibri" w:cs="Times New Roman" w:hint="eastAsia"/>
          <w:kern w:val="0"/>
        </w:rPr>
        <w:t>风险</w:t>
      </w:r>
      <w:r>
        <w:rPr>
          <w:rFonts w:ascii="黑体" w:hint="eastAsia"/>
          <w:kern w:val="0"/>
        </w:rPr>
        <w:t>：</w:t>
      </w:r>
      <w:r w:rsidR="001D0F67" w:rsidRPr="001D0F67">
        <w:rPr>
          <w:rFonts w:ascii="宋体" w:eastAsia="宋体" w:hAnsi="Arial-BoldMT" w:cs="Times New Roman" w:hint="eastAsia"/>
          <w:kern w:val="0"/>
          <w:szCs w:val="21"/>
        </w:rPr>
        <w:t>就是指信息资产遭受损坏并给企业带来负面影响的潜在可能性</w:t>
      </w:r>
      <w:r>
        <w:rPr>
          <w:rFonts w:ascii="宋体" w:hAnsi="Arial-BoldMT" w:hint="eastAsia"/>
          <w:kern w:val="0"/>
          <w:szCs w:val="21"/>
        </w:rPr>
        <w:t>。</w:t>
      </w:r>
    </w:p>
    <w:p w14:paraId="420DEAD3" w14:textId="77777777" w:rsidR="00F87E5F" w:rsidRPr="00F87E5F" w:rsidRDefault="00F87E5F" w:rsidP="00F87E5F">
      <w:pPr>
        <w:pStyle w:val="a7"/>
        <w:numPr>
          <w:ilvl w:val="0"/>
          <w:numId w:val="1"/>
        </w:numPr>
        <w:spacing w:line="276" w:lineRule="auto"/>
        <w:ind w:firstLineChars="0"/>
      </w:pPr>
      <w:r>
        <w:rPr>
          <w:rFonts w:ascii="黑体" w:eastAsia="宋体" w:hAnsi="Calibri" w:cs="Times New Roman" w:hint="eastAsia"/>
          <w:kern w:val="0"/>
        </w:rPr>
        <w:t>风险分析</w:t>
      </w:r>
      <w:r>
        <w:rPr>
          <w:rFonts w:ascii="黑体" w:hint="eastAsia"/>
          <w:kern w:val="0"/>
        </w:rPr>
        <w:t>：</w:t>
      </w:r>
      <w:r>
        <w:rPr>
          <w:rFonts w:ascii="宋体" w:eastAsia="宋体" w:hAnsi="Arial-BoldMT" w:cs="Times New Roman" w:hint="eastAsia"/>
          <w:kern w:val="0"/>
          <w:szCs w:val="21"/>
        </w:rPr>
        <w:t>系统地使用信息以识别来源和估计风险</w:t>
      </w:r>
      <w:r>
        <w:rPr>
          <w:rFonts w:ascii="宋体" w:hAnsi="Arial-BoldMT" w:hint="eastAsia"/>
          <w:kern w:val="0"/>
          <w:szCs w:val="21"/>
        </w:rPr>
        <w:t>。</w:t>
      </w:r>
    </w:p>
    <w:p w14:paraId="2AF67805" w14:textId="77777777" w:rsidR="00F87E5F" w:rsidRPr="00F87E5F" w:rsidRDefault="00F87E5F" w:rsidP="00F87E5F">
      <w:pPr>
        <w:pStyle w:val="a7"/>
        <w:numPr>
          <w:ilvl w:val="0"/>
          <w:numId w:val="1"/>
        </w:numPr>
        <w:spacing w:line="276" w:lineRule="auto"/>
        <w:ind w:firstLineChars="0"/>
      </w:pPr>
      <w:r>
        <w:rPr>
          <w:rFonts w:ascii="黑体" w:eastAsia="宋体" w:hAnsi="Calibri" w:cs="Times New Roman" w:hint="eastAsia"/>
          <w:kern w:val="0"/>
        </w:rPr>
        <w:t>风险评价</w:t>
      </w:r>
      <w:r>
        <w:rPr>
          <w:rFonts w:ascii="黑体" w:hint="eastAsia"/>
          <w:kern w:val="0"/>
        </w:rPr>
        <w:t>：</w:t>
      </w:r>
      <w:r>
        <w:rPr>
          <w:rFonts w:ascii="宋体" w:eastAsia="宋体" w:hAnsi="Arial-BoldMT" w:cs="Times New Roman" w:hint="eastAsia"/>
          <w:kern w:val="0"/>
          <w:szCs w:val="21"/>
        </w:rPr>
        <w:t>将估计的风险与既定的风险准则进行比较以确定重要风险的过程</w:t>
      </w:r>
      <w:r>
        <w:rPr>
          <w:rFonts w:ascii="宋体" w:hAnsi="Arial-BoldMT" w:hint="eastAsia"/>
          <w:kern w:val="0"/>
          <w:szCs w:val="21"/>
        </w:rPr>
        <w:t>。</w:t>
      </w:r>
    </w:p>
    <w:p w14:paraId="4C6729B6" w14:textId="77777777" w:rsidR="00F87E5F" w:rsidRPr="00F87E5F" w:rsidRDefault="00F87E5F" w:rsidP="00F87E5F">
      <w:pPr>
        <w:pStyle w:val="a7"/>
        <w:numPr>
          <w:ilvl w:val="0"/>
          <w:numId w:val="1"/>
        </w:numPr>
        <w:spacing w:line="276" w:lineRule="auto"/>
        <w:ind w:firstLineChars="0"/>
      </w:pPr>
      <w:r>
        <w:rPr>
          <w:rFonts w:ascii="黑体" w:eastAsia="宋体" w:hAnsi="Calibri" w:cs="Times New Roman" w:hint="eastAsia"/>
          <w:kern w:val="0"/>
        </w:rPr>
        <w:t>风险评估</w:t>
      </w:r>
      <w:r>
        <w:rPr>
          <w:rFonts w:ascii="黑体" w:hint="eastAsia"/>
          <w:kern w:val="0"/>
        </w:rPr>
        <w:t>：</w:t>
      </w:r>
      <w:r>
        <w:rPr>
          <w:rFonts w:ascii="宋体" w:eastAsia="宋体" w:hAnsi="Arial-BoldMT" w:cs="Times New Roman" w:hint="eastAsia"/>
          <w:kern w:val="0"/>
          <w:szCs w:val="21"/>
        </w:rPr>
        <w:t>风险分析和风险评价的全过程</w:t>
      </w:r>
      <w:r>
        <w:rPr>
          <w:rFonts w:ascii="宋体" w:hAnsi="Arial-BoldMT" w:hint="eastAsia"/>
          <w:kern w:val="0"/>
          <w:szCs w:val="21"/>
        </w:rPr>
        <w:t>。</w:t>
      </w:r>
    </w:p>
    <w:p w14:paraId="2CB8196A" w14:textId="77777777" w:rsidR="00F87E5F" w:rsidRPr="00F87E5F" w:rsidRDefault="00F87E5F" w:rsidP="00F87E5F">
      <w:pPr>
        <w:pStyle w:val="a7"/>
        <w:numPr>
          <w:ilvl w:val="0"/>
          <w:numId w:val="1"/>
        </w:numPr>
        <w:spacing w:line="276" w:lineRule="auto"/>
        <w:ind w:firstLineChars="0"/>
      </w:pPr>
      <w:r>
        <w:rPr>
          <w:rFonts w:ascii="宋体" w:hAnsi="Arial-BoldMT" w:hint="eastAsia"/>
          <w:kern w:val="0"/>
          <w:szCs w:val="21"/>
        </w:rPr>
        <w:t>风险管理：</w:t>
      </w:r>
      <w:r>
        <w:rPr>
          <w:rFonts w:ascii="宋体" w:eastAsia="宋体" w:hAnsi="Arial-BoldMT" w:cs="Times New Roman" w:hint="eastAsia"/>
          <w:kern w:val="0"/>
          <w:szCs w:val="21"/>
        </w:rPr>
        <w:t>指导和控制一个组织的风险的协调的活动</w:t>
      </w:r>
      <w:r>
        <w:rPr>
          <w:rFonts w:ascii="宋体" w:hAnsi="Arial-BoldMT" w:hint="eastAsia"/>
          <w:kern w:val="0"/>
          <w:szCs w:val="21"/>
        </w:rPr>
        <w:t>。</w:t>
      </w:r>
    </w:p>
    <w:p w14:paraId="2DB3B95F" w14:textId="77777777" w:rsidR="00F87E5F" w:rsidRPr="00CC0EF8" w:rsidRDefault="00F87E5F" w:rsidP="00F87E5F">
      <w:pPr>
        <w:pStyle w:val="a7"/>
        <w:numPr>
          <w:ilvl w:val="0"/>
          <w:numId w:val="1"/>
        </w:numPr>
        <w:spacing w:line="276" w:lineRule="auto"/>
        <w:ind w:firstLineChars="0"/>
      </w:pPr>
      <w:r>
        <w:rPr>
          <w:rFonts w:hint="eastAsia"/>
        </w:rPr>
        <w:t>风险处置：</w:t>
      </w:r>
      <w:r>
        <w:rPr>
          <w:rFonts w:ascii="宋体" w:eastAsia="宋体" w:hAnsi="Arial-BoldMT" w:cs="Times New Roman" w:hint="eastAsia"/>
          <w:kern w:val="0"/>
          <w:szCs w:val="21"/>
        </w:rPr>
        <w:t>选择和实施措施以改变风险的过程</w:t>
      </w:r>
      <w:r>
        <w:rPr>
          <w:rFonts w:ascii="宋体" w:hAnsi="Arial-BoldMT" w:hint="eastAsia"/>
          <w:kern w:val="0"/>
          <w:szCs w:val="21"/>
        </w:rPr>
        <w:t>。</w:t>
      </w:r>
    </w:p>
    <w:p w14:paraId="62DB3E63" w14:textId="77777777" w:rsidR="00CC0EF8" w:rsidRPr="00626BC7" w:rsidRDefault="00CC0EF8" w:rsidP="00CC0EF8">
      <w:pPr>
        <w:pStyle w:val="a7"/>
        <w:numPr>
          <w:ilvl w:val="0"/>
          <w:numId w:val="1"/>
        </w:numPr>
        <w:spacing w:line="276" w:lineRule="auto"/>
        <w:ind w:firstLineChars="0"/>
      </w:pPr>
      <w:r w:rsidRPr="00CC0EF8">
        <w:rPr>
          <w:rFonts w:hint="eastAsia"/>
        </w:rPr>
        <w:t>风险管理</w:t>
      </w:r>
      <w:r>
        <w:rPr>
          <w:rFonts w:hint="eastAsia"/>
        </w:rPr>
        <w:t>：</w:t>
      </w:r>
      <w:r w:rsidRPr="00CC0EF8">
        <w:rPr>
          <w:rFonts w:hint="eastAsia"/>
        </w:rPr>
        <w:t>以可接受的代价，识别、控制、减少或消除可能影响信息系统的安全风险的过程</w:t>
      </w:r>
      <w:r>
        <w:rPr>
          <w:rFonts w:hint="eastAsia"/>
        </w:rPr>
        <w:t>。</w:t>
      </w:r>
    </w:p>
    <w:p w14:paraId="0FF543BE" w14:textId="77777777" w:rsidR="00626BC7" w:rsidRDefault="00626BC7" w:rsidP="00F87E5F">
      <w:pPr>
        <w:pStyle w:val="a7"/>
        <w:numPr>
          <w:ilvl w:val="0"/>
          <w:numId w:val="1"/>
        </w:numPr>
        <w:spacing w:line="276" w:lineRule="auto"/>
        <w:ind w:firstLineChars="0"/>
      </w:pPr>
      <w:r w:rsidRPr="00626BC7">
        <w:rPr>
          <w:rFonts w:hint="eastAsia"/>
        </w:rPr>
        <w:t>资产</w:t>
      </w:r>
      <w:r>
        <w:rPr>
          <w:rFonts w:hint="eastAsia"/>
        </w:rPr>
        <w:t>：</w:t>
      </w:r>
      <w:r w:rsidRPr="00626BC7">
        <w:rPr>
          <w:rFonts w:hint="eastAsia"/>
        </w:rPr>
        <w:t>任何对组织具有价值的东西，包括计算机硬件、通信设施、建筑物、数据库、文档信息、软件、信息服务和人员等</w:t>
      </w:r>
      <w:r>
        <w:rPr>
          <w:rFonts w:hint="eastAsia"/>
        </w:rPr>
        <w:t>。</w:t>
      </w:r>
    </w:p>
    <w:p w14:paraId="4F349974" w14:textId="77777777" w:rsidR="00626BC7" w:rsidRPr="00F87E5F" w:rsidRDefault="00626BC7" w:rsidP="00F87E5F">
      <w:pPr>
        <w:pStyle w:val="a7"/>
        <w:numPr>
          <w:ilvl w:val="0"/>
          <w:numId w:val="1"/>
        </w:numPr>
        <w:spacing w:line="276" w:lineRule="auto"/>
        <w:ind w:firstLineChars="0"/>
      </w:pPr>
      <w:r w:rsidRPr="00626BC7">
        <w:rPr>
          <w:rFonts w:hint="eastAsia"/>
        </w:rPr>
        <w:t>弱点</w:t>
      </w:r>
      <w:r>
        <w:rPr>
          <w:rFonts w:hint="eastAsia"/>
        </w:rPr>
        <w:t>：</w:t>
      </w:r>
      <w:r w:rsidRPr="00626BC7">
        <w:rPr>
          <w:rFonts w:hint="eastAsia"/>
        </w:rPr>
        <w:t>也被称作漏洞或脆弱性，即资产或资产组中存在的可被威胁利用的缺点，弱点一旦被利用，就可能对资产造成损害</w:t>
      </w:r>
      <w:r>
        <w:rPr>
          <w:rFonts w:hint="eastAsia"/>
        </w:rPr>
        <w:t>。</w:t>
      </w:r>
    </w:p>
    <w:p w14:paraId="2FEFD148" w14:textId="77777777" w:rsidR="00F87E5F" w:rsidRPr="00F87E5F" w:rsidRDefault="00F87E5F" w:rsidP="00F87E5F">
      <w:pPr>
        <w:pStyle w:val="a7"/>
        <w:numPr>
          <w:ilvl w:val="0"/>
          <w:numId w:val="1"/>
        </w:numPr>
        <w:spacing w:line="276" w:lineRule="auto"/>
        <w:ind w:firstLineChars="0"/>
      </w:pPr>
      <w:r>
        <w:rPr>
          <w:rFonts w:ascii="宋体" w:hAnsi="Arial-BoldMT" w:hint="eastAsia"/>
          <w:kern w:val="0"/>
          <w:szCs w:val="21"/>
        </w:rPr>
        <w:t>威胁：</w:t>
      </w:r>
      <w:r>
        <w:rPr>
          <w:rFonts w:ascii="宋体" w:eastAsia="宋体" w:hAnsi="Arial-BoldMT" w:cs="Times New Roman" w:hint="eastAsia"/>
          <w:kern w:val="0"/>
          <w:szCs w:val="21"/>
        </w:rPr>
        <w:t>非预期事件地潜在原因，这些事件可能对系统或组织造成损害</w:t>
      </w:r>
      <w:r>
        <w:rPr>
          <w:rFonts w:ascii="宋体" w:hAnsi="Arial-BoldMT" w:hint="eastAsia"/>
          <w:kern w:val="0"/>
          <w:szCs w:val="21"/>
        </w:rPr>
        <w:t>。</w:t>
      </w:r>
    </w:p>
    <w:p w14:paraId="1E3C7E57" w14:textId="77777777" w:rsidR="00F87E5F" w:rsidRPr="00626BC7" w:rsidRDefault="00F87E5F" w:rsidP="00F87E5F">
      <w:pPr>
        <w:pStyle w:val="a7"/>
        <w:numPr>
          <w:ilvl w:val="0"/>
          <w:numId w:val="1"/>
        </w:numPr>
        <w:spacing w:line="276" w:lineRule="auto"/>
        <w:ind w:firstLineChars="0"/>
      </w:pPr>
      <w:r>
        <w:rPr>
          <w:rFonts w:hint="eastAsia"/>
        </w:rPr>
        <w:t>脆弱性：</w:t>
      </w:r>
      <w:r>
        <w:rPr>
          <w:rFonts w:ascii="宋体" w:eastAsia="宋体" w:hAnsi="Arial-BoldMT" w:cs="Times New Roman" w:hint="eastAsia"/>
          <w:kern w:val="0"/>
          <w:szCs w:val="21"/>
        </w:rPr>
        <w:t>可能被一个或多个威胁利用的一个或一组资产的弱点</w:t>
      </w:r>
      <w:r>
        <w:rPr>
          <w:rFonts w:ascii="宋体" w:hAnsi="Arial-BoldMT" w:hint="eastAsia"/>
          <w:kern w:val="0"/>
          <w:szCs w:val="21"/>
        </w:rPr>
        <w:t>。</w:t>
      </w:r>
    </w:p>
    <w:p w14:paraId="11C79884" w14:textId="77777777" w:rsidR="00626BC7" w:rsidRPr="00626BC7" w:rsidRDefault="00626BC7" w:rsidP="00F87E5F">
      <w:pPr>
        <w:pStyle w:val="a7"/>
        <w:numPr>
          <w:ilvl w:val="0"/>
          <w:numId w:val="1"/>
        </w:numPr>
        <w:spacing w:line="276" w:lineRule="auto"/>
        <w:ind w:firstLineChars="0"/>
      </w:pPr>
      <w:r w:rsidRPr="00626BC7">
        <w:rPr>
          <w:rFonts w:hint="eastAsia"/>
        </w:rPr>
        <w:t>可能性：对威胁发生几率（</w:t>
      </w:r>
      <w:r w:rsidRPr="00626BC7">
        <w:t>Probability</w:t>
      </w:r>
      <w:r w:rsidRPr="00626BC7">
        <w:rPr>
          <w:rFonts w:hint="eastAsia"/>
        </w:rPr>
        <w:t>）或频率（</w:t>
      </w:r>
      <w:r w:rsidRPr="00626BC7">
        <w:t>Frequency</w:t>
      </w:r>
      <w:r w:rsidRPr="00626BC7">
        <w:rPr>
          <w:rFonts w:hint="eastAsia"/>
        </w:rPr>
        <w:t>）的定性描述</w:t>
      </w:r>
    </w:p>
    <w:p w14:paraId="3132A951" w14:textId="77777777" w:rsidR="00626BC7" w:rsidRPr="00626BC7" w:rsidRDefault="00626BC7" w:rsidP="00F87E5F">
      <w:pPr>
        <w:pStyle w:val="a7"/>
        <w:numPr>
          <w:ilvl w:val="0"/>
          <w:numId w:val="1"/>
        </w:numPr>
        <w:spacing w:line="276" w:lineRule="auto"/>
        <w:ind w:firstLineChars="0"/>
      </w:pPr>
      <w:r w:rsidRPr="00626BC7">
        <w:rPr>
          <w:rFonts w:hint="eastAsia"/>
        </w:rPr>
        <w:t>影响：后果（</w:t>
      </w:r>
      <w:r w:rsidRPr="00626BC7">
        <w:t>Consequence</w:t>
      </w:r>
      <w:r w:rsidRPr="00626BC7">
        <w:rPr>
          <w:rFonts w:hint="eastAsia"/>
        </w:rPr>
        <w:t>），意外事件发生给组织带来的直接或间接的损失或伤害。</w:t>
      </w:r>
    </w:p>
    <w:p w14:paraId="7F964617" w14:textId="77777777" w:rsidR="00626BC7" w:rsidRPr="00626BC7" w:rsidRDefault="00626BC7" w:rsidP="00F87E5F">
      <w:pPr>
        <w:pStyle w:val="a7"/>
        <w:numPr>
          <w:ilvl w:val="0"/>
          <w:numId w:val="1"/>
        </w:numPr>
        <w:spacing w:line="276" w:lineRule="auto"/>
        <w:ind w:firstLineChars="0"/>
      </w:pPr>
      <w:r w:rsidRPr="00626BC7">
        <w:rPr>
          <w:rFonts w:hint="eastAsia"/>
        </w:rPr>
        <w:t>安全措施：控制措施（</w:t>
      </w:r>
      <w:r w:rsidRPr="00626BC7">
        <w:t>control</w:t>
      </w:r>
      <w:r w:rsidRPr="00626BC7">
        <w:rPr>
          <w:rFonts w:hint="eastAsia"/>
        </w:rPr>
        <w:t>）或对策（</w:t>
      </w:r>
      <w:r w:rsidRPr="00626BC7">
        <w:t>countermeasure</w:t>
      </w:r>
      <w:r w:rsidRPr="00626BC7">
        <w:rPr>
          <w:rFonts w:hint="eastAsia"/>
        </w:rPr>
        <w:t>），即通过防范威胁、减少弱点、限制意外事件带来影响等途径来消减风险的机制、方法和措施。</w:t>
      </w:r>
    </w:p>
    <w:p w14:paraId="430BCD00" w14:textId="77777777" w:rsidR="00626BC7" w:rsidRPr="007016FA" w:rsidRDefault="00626BC7" w:rsidP="00F87E5F">
      <w:pPr>
        <w:pStyle w:val="a7"/>
        <w:numPr>
          <w:ilvl w:val="0"/>
          <w:numId w:val="1"/>
        </w:numPr>
        <w:spacing w:line="276" w:lineRule="auto"/>
        <w:ind w:firstLineChars="0"/>
      </w:pPr>
      <w:r w:rsidRPr="00626BC7">
        <w:rPr>
          <w:rFonts w:hint="eastAsia"/>
        </w:rPr>
        <w:t>残留风险：在实施安全措施之后仍然存在的风险。</w:t>
      </w:r>
    </w:p>
    <w:p w14:paraId="36C46187" w14:textId="77777777" w:rsidR="007016FA" w:rsidRPr="001D0F67" w:rsidRDefault="007016FA" w:rsidP="00F87E5F">
      <w:pPr>
        <w:pStyle w:val="a7"/>
        <w:numPr>
          <w:ilvl w:val="0"/>
          <w:numId w:val="1"/>
        </w:numPr>
        <w:spacing w:line="276" w:lineRule="auto"/>
        <w:ind w:firstLineChars="0"/>
      </w:pPr>
      <w:r w:rsidRPr="007016FA">
        <w:rPr>
          <w:rFonts w:ascii="Calibri" w:eastAsia="宋体" w:hAnsi="Calibri" w:cs="Times New Roman" w:hint="eastAsia"/>
        </w:rPr>
        <w:t>安全保护能力</w:t>
      </w:r>
      <w:r>
        <w:rPr>
          <w:rFonts w:hint="eastAsia"/>
        </w:rPr>
        <w:t>：</w:t>
      </w:r>
      <w:r w:rsidRPr="00BF282F">
        <w:rPr>
          <w:rFonts w:ascii="Times New Roman" w:eastAsia="宋体" w:hAnsi="Calibri" w:cs="Times New Roman" w:hint="eastAsia"/>
        </w:rPr>
        <w:t>系统能够</w:t>
      </w:r>
      <w:r>
        <w:rPr>
          <w:rFonts w:ascii="Times New Roman" w:eastAsia="宋体" w:hAnsi="Calibri" w:cs="Times New Roman" w:hint="eastAsia"/>
        </w:rPr>
        <w:t>抵御威胁、发现安全事件以及在系统</w:t>
      </w:r>
      <w:r w:rsidRPr="00BF282F">
        <w:rPr>
          <w:rFonts w:ascii="Times New Roman" w:eastAsia="宋体" w:hAnsi="Calibri" w:cs="Times New Roman" w:hint="eastAsia"/>
        </w:rPr>
        <w:t>遭到</w:t>
      </w:r>
      <w:r>
        <w:rPr>
          <w:rFonts w:ascii="Times New Roman" w:eastAsia="宋体" w:hAnsi="Calibri" w:cs="Times New Roman" w:hint="eastAsia"/>
        </w:rPr>
        <w:t>损害</w:t>
      </w:r>
      <w:r w:rsidRPr="00BF282F">
        <w:rPr>
          <w:rFonts w:ascii="Times New Roman" w:eastAsia="宋体" w:hAnsi="Calibri" w:cs="Times New Roman" w:hint="eastAsia"/>
        </w:rPr>
        <w:t>后能够恢复</w:t>
      </w:r>
      <w:r>
        <w:rPr>
          <w:rFonts w:ascii="Times New Roman" w:eastAsia="宋体" w:hAnsi="Calibri" w:cs="Times New Roman" w:hint="eastAsia"/>
        </w:rPr>
        <w:t>先</w:t>
      </w:r>
      <w:r w:rsidRPr="00BF282F">
        <w:rPr>
          <w:rFonts w:ascii="Times New Roman" w:eastAsia="宋体" w:hAnsi="Calibri" w:cs="Times New Roman" w:hint="eastAsia"/>
        </w:rPr>
        <w:t>前状态</w:t>
      </w:r>
      <w:r>
        <w:rPr>
          <w:rFonts w:ascii="Times New Roman" w:eastAsia="宋体" w:hAnsi="Calibri" w:cs="Times New Roman" w:hint="eastAsia"/>
        </w:rPr>
        <w:t>等</w:t>
      </w:r>
      <w:r w:rsidRPr="00BF282F">
        <w:rPr>
          <w:rFonts w:ascii="Times New Roman" w:eastAsia="宋体" w:hAnsi="Calibri" w:cs="Times New Roman" w:hint="eastAsia"/>
        </w:rPr>
        <w:t>的程度</w:t>
      </w:r>
      <w:r>
        <w:rPr>
          <w:rFonts w:ascii="Times New Roman" w:hint="eastAsia"/>
        </w:rPr>
        <w:t>。</w:t>
      </w:r>
    </w:p>
    <w:p w14:paraId="26DE3A6E" w14:textId="77777777" w:rsidR="001D0F67" w:rsidRDefault="001D0F67" w:rsidP="00F87E5F">
      <w:pPr>
        <w:pStyle w:val="a7"/>
        <w:numPr>
          <w:ilvl w:val="0"/>
          <w:numId w:val="1"/>
        </w:numPr>
        <w:spacing w:line="276" w:lineRule="auto"/>
        <w:ind w:firstLineChars="0"/>
      </w:pPr>
      <w:r w:rsidRPr="001D0F67">
        <w:rPr>
          <w:rFonts w:hint="eastAsia"/>
        </w:rPr>
        <w:t>定量风险评估</w:t>
      </w:r>
      <w:r>
        <w:rPr>
          <w:rFonts w:hint="eastAsia"/>
        </w:rPr>
        <w:t>：</w:t>
      </w:r>
      <w:r w:rsidRPr="001D0F67">
        <w:rPr>
          <w:rFonts w:hint="eastAsia"/>
        </w:rPr>
        <w:t>试图从数字上对安全风险进行分析评估的一种方法</w:t>
      </w:r>
      <w:r>
        <w:rPr>
          <w:rFonts w:hint="eastAsia"/>
        </w:rPr>
        <w:t>。</w:t>
      </w:r>
    </w:p>
    <w:p w14:paraId="36746541" w14:textId="77777777" w:rsidR="001D0F67" w:rsidRDefault="001D0F67" w:rsidP="00F87E5F">
      <w:pPr>
        <w:pStyle w:val="a7"/>
        <w:numPr>
          <w:ilvl w:val="0"/>
          <w:numId w:val="1"/>
        </w:numPr>
        <w:spacing w:line="276" w:lineRule="auto"/>
        <w:ind w:firstLineChars="0"/>
      </w:pPr>
      <w:r w:rsidRPr="001D0F67">
        <w:rPr>
          <w:rFonts w:hint="eastAsia"/>
        </w:rPr>
        <w:t>定性风险评估：凭借分析者的经验和直觉，或者业界的标准和惯例，为风险管理诸要素的大小或高低程度定性分级。</w:t>
      </w:r>
    </w:p>
    <w:p w14:paraId="2A5D398B" w14:textId="77777777" w:rsidR="00722129" w:rsidRDefault="00F87E5F" w:rsidP="00F87E5F">
      <w:pPr>
        <w:pStyle w:val="a7"/>
        <w:numPr>
          <w:ilvl w:val="0"/>
          <w:numId w:val="1"/>
        </w:numPr>
        <w:spacing w:line="276" w:lineRule="auto"/>
        <w:ind w:firstLineChars="0"/>
      </w:pPr>
      <w:r w:rsidRPr="00F87E5F">
        <w:rPr>
          <w:rFonts w:hint="eastAsia"/>
        </w:rPr>
        <w:t>等级保护</w:t>
      </w:r>
      <w:r>
        <w:rPr>
          <w:rFonts w:hint="eastAsia"/>
        </w:rPr>
        <w:t>:</w:t>
      </w:r>
      <w:r w:rsidRPr="00F87E5F">
        <w:rPr>
          <w:rFonts w:hint="eastAsia"/>
        </w:rPr>
        <w:t>信息系统安全等级保护是指对信息安全实行等级化保护和等级化管理</w:t>
      </w:r>
      <w:r>
        <w:rPr>
          <w:rFonts w:hint="eastAsia"/>
        </w:rPr>
        <w:t>。</w:t>
      </w:r>
    </w:p>
    <w:p w14:paraId="5575558C" w14:textId="77777777" w:rsidR="007016FA" w:rsidRDefault="007016FA" w:rsidP="00F87E5F">
      <w:pPr>
        <w:pStyle w:val="a7"/>
        <w:numPr>
          <w:ilvl w:val="0"/>
          <w:numId w:val="1"/>
        </w:numPr>
        <w:spacing w:line="276" w:lineRule="auto"/>
        <w:ind w:firstLineChars="0"/>
      </w:pPr>
      <w:r>
        <w:rPr>
          <w:rFonts w:hint="eastAsia"/>
        </w:rPr>
        <w:t>COBIT</w:t>
      </w:r>
      <w:r>
        <w:rPr>
          <w:rFonts w:hint="eastAsia"/>
        </w:rPr>
        <w:t>：</w:t>
      </w:r>
      <w:r w:rsidRPr="007016FA">
        <w:rPr>
          <w:rFonts w:hint="eastAsia"/>
        </w:rPr>
        <w:t xml:space="preserve">(Control Objectives for Information and related Technology) </w:t>
      </w:r>
      <w:r w:rsidRPr="007016FA">
        <w:rPr>
          <w:rFonts w:hint="eastAsia"/>
        </w:rPr>
        <w:t>是目前国际上通用的信息系统审计的标准，由信息系统审计与控制协会在</w:t>
      </w:r>
      <w:r w:rsidRPr="007016FA">
        <w:rPr>
          <w:rFonts w:hint="eastAsia"/>
        </w:rPr>
        <w:t>1996</w:t>
      </w:r>
      <w:r w:rsidRPr="007016FA">
        <w:rPr>
          <w:rFonts w:hint="eastAsia"/>
        </w:rPr>
        <w:t>年公布。这是一个在国际上公认的、权威的安全与信息技术管理和控制的标准</w:t>
      </w:r>
      <w:r>
        <w:rPr>
          <w:rFonts w:hint="eastAsia"/>
        </w:rPr>
        <w:t>，</w:t>
      </w:r>
      <w:r w:rsidRPr="007016FA">
        <w:rPr>
          <w:rFonts w:hint="eastAsia"/>
        </w:rPr>
        <w:t>它在商业风险、控制需要和技术问题之间架起了一座桥梁，以满足管理的多方面需要</w:t>
      </w:r>
      <w:r>
        <w:rPr>
          <w:rFonts w:hint="eastAsia"/>
        </w:rPr>
        <w:t>。</w:t>
      </w:r>
    </w:p>
    <w:p w14:paraId="115FC3B7" w14:textId="77777777" w:rsidR="007016FA" w:rsidRDefault="00A97CCD" w:rsidP="00F87E5F">
      <w:pPr>
        <w:pStyle w:val="a7"/>
        <w:numPr>
          <w:ilvl w:val="0"/>
          <w:numId w:val="1"/>
        </w:numPr>
        <w:spacing w:line="276" w:lineRule="auto"/>
        <w:ind w:firstLineChars="0"/>
      </w:pPr>
      <w:r>
        <w:rPr>
          <w:rFonts w:hint="eastAsia"/>
        </w:rPr>
        <w:t>PDCA:</w:t>
      </w:r>
      <w:r>
        <w:rPr>
          <w:rFonts w:hint="eastAsia"/>
        </w:rPr>
        <w:t>分别为（</w:t>
      </w:r>
      <w:r>
        <w:rPr>
          <w:rFonts w:hint="eastAsia"/>
        </w:rPr>
        <w:t>plan</w:t>
      </w:r>
      <w:r>
        <w:rPr>
          <w:rFonts w:hint="eastAsia"/>
        </w:rPr>
        <w:t>、</w:t>
      </w:r>
      <w:r>
        <w:rPr>
          <w:rFonts w:hint="eastAsia"/>
        </w:rPr>
        <w:t>do</w:t>
      </w:r>
      <w:r>
        <w:rPr>
          <w:rFonts w:hint="eastAsia"/>
        </w:rPr>
        <w:t>、</w:t>
      </w:r>
      <w:r>
        <w:rPr>
          <w:rFonts w:hint="eastAsia"/>
        </w:rPr>
        <w:t>check</w:t>
      </w:r>
      <w:r>
        <w:rPr>
          <w:rFonts w:hint="eastAsia"/>
        </w:rPr>
        <w:t>、</w:t>
      </w:r>
      <w:r>
        <w:rPr>
          <w:rFonts w:hint="eastAsia"/>
        </w:rPr>
        <w:t>action</w:t>
      </w:r>
      <w:r>
        <w:rPr>
          <w:rFonts w:hint="eastAsia"/>
        </w:rPr>
        <w:t>）计划、实施、监控、改进。</w:t>
      </w:r>
    </w:p>
    <w:p w14:paraId="21E3ED84" w14:textId="77777777" w:rsidR="00A97CCD" w:rsidRDefault="00A97CCD" w:rsidP="00F87E5F">
      <w:pPr>
        <w:pStyle w:val="a7"/>
        <w:numPr>
          <w:ilvl w:val="0"/>
          <w:numId w:val="1"/>
        </w:numPr>
        <w:spacing w:line="276" w:lineRule="auto"/>
        <w:ind w:firstLineChars="0"/>
      </w:pPr>
      <w:r>
        <w:rPr>
          <w:rFonts w:hint="eastAsia"/>
        </w:rPr>
        <w:t>CIA:</w:t>
      </w:r>
      <w:r>
        <w:rPr>
          <w:rFonts w:hint="eastAsia"/>
        </w:rPr>
        <w:t>分别为（</w:t>
      </w:r>
      <w:r w:rsidR="00046226" w:rsidRPr="00046226">
        <w:t>Confidentiality</w:t>
      </w:r>
      <w:r w:rsidR="00046226">
        <w:rPr>
          <w:rFonts w:hint="eastAsia"/>
        </w:rPr>
        <w:t>、</w:t>
      </w:r>
      <w:r w:rsidR="00046226" w:rsidRPr="00046226">
        <w:t>Integrity</w:t>
      </w:r>
      <w:r w:rsidR="00046226">
        <w:rPr>
          <w:rFonts w:hint="eastAsia"/>
        </w:rPr>
        <w:t>、</w:t>
      </w:r>
      <w:r w:rsidR="00046226" w:rsidRPr="00046226">
        <w:t>Availability</w:t>
      </w:r>
      <w:r>
        <w:rPr>
          <w:rFonts w:hint="eastAsia"/>
        </w:rPr>
        <w:t>）</w:t>
      </w:r>
      <w:r w:rsidR="00046226">
        <w:rPr>
          <w:rFonts w:hint="eastAsia"/>
        </w:rPr>
        <w:t>保密性、完整性、可用性</w:t>
      </w:r>
    </w:p>
    <w:p w14:paraId="401BB6F9" w14:textId="77777777" w:rsidR="00046226" w:rsidRDefault="00046226" w:rsidP="00F87E5F">
      <w:pPr>
        <w:pStyle w:val="a7"/>
        <w:numPr>
          <w:ilvl w:val="0"/>
          <w:numId w:val="1"/>
        </w:numPr>
        <w:spacing w:line="276" w:lineRule="auto"/>
        <w:ind w:firstLineChars="0"/>
      </w:pPr>
      <w:r>
        <w:rPr>
          <w:rFonts w:hint="eastAsia"/>
        </w:rPr>
        <w:t>可用性：</w:t>
      </w:r>
      <w:r w:rsidRPr="00046226">
        <w:rPr>
          <w:rFonts w:hint="eastAsia"/>
        </w:rPr>
        <w:t>确保授权用户在需要时可以访问信息并使用相关信息资产</w:t>
      </w:r>
      <w:r>
        <w:rPr>
          <w:rFonts w:hint="eastAsia"/>
        </w:rPr>
        <w:t>。</w:t>
      </w:r>
    </w:p>
    <w:p w14:paraId="02473605" w14:textId="77777777" w:rsidR="00046226" w:rsidRDefault="00046226" w:rsidP="00F87E5F">
      <w:pPr>
        <w:pStyle w:val="a7"/>
        <w:numPr>
          <w:ilvl w:val="0"/>
          <w:numId w:val="1"/>
        </w:numPr>
        <w:spacing w:line="276" w:lineRule="auto"/>
        <w:ind w:firstLineChars="0"/>
      </w:pPr>
      <w:r>
        <w:rPr>
          <w:rFonts w:hint="eastAsia"/>
        </w:rPr>
        <w:lastRenderedPageBreak/>
        <w:t>完整性：</w:t>
      </w:r>
      <w:r w:rsidRPr="00046226">
        <w:rPr>
          <w:rFonts w:hint="eastAsia"/>
        </w:rPr>
        <w:t>保护信息和信息的处理方法准确而完整</w:t>
      </w:r>
      <w:r>
        <w:rPr>
          <w:rFonts w:hint="eastAsia"/>
        </w:rPr>
        <w:t>。</w:t>
      </w:r>
    </w:p>
    <w:p w14:paraId="00EFFCD7" w14:textId="77777777" w:rsidR="00046226" w:rsidRDefault="00046226" w:rsidP="00F87E5F">
      <w:pPr>
        <w:pStyle w:val="a7"/>
        <w:numPr>
          <w:ilvl w:val="0"/>
          <w:numId w:val="1"/>
        </w:numPr>
        <w:spacing w:line="276" w:lineRule="auto"/>
        <w:ind w:firstLineChars="0"/>
      </w:pPr>
      <w:r>
        <w:rPr>
          <w:rFonts w:hint="eastAsia"/>
        </w:rPr>
        <w:t>机密性：</w:t>
      </w:r>
      <w:r w:rsidRPr="00046226">
        <w:rPr>
          <w:rFonts w:hint="eastAsia"/>
        </w:rPr>
        <w:t>确保只有经过授权的人才能访问信息</w:t>
      </w:r>
      <w:r>
        <w:rPr>
          <w:rFonts w:hint="eastAsia"/>
        </w:rPr>
        <w:t>。</w:t>
      </w:r>
    </w:p>
    <w:p w14:paraId="11C37F3B" w14:textId="77777777" w:rsidR="0093373D" w:rsidRPr="0093373D" w:rsidRDefault="0093373D" w:rsidP="0093373D">
      <w:pPr>
        <w:pStyle w:val="a7"/>
        <w:numPr>
          <w:ilvl w:val="0"/>
          <w:numId w:val="1"/>
        </w:numPr>
        <w:spacing w:line="276" w:lineRule="auto"/>
        <w:ind w:firstLineChars="0"/>
      </w:pPr>
      <w:r>
        <w:rPr>
          <w:rFonts w:hint="eastAsia"/>
        </w:rPr>
        <w:t>业务连续性计划：</w:t>
      </w:r>
      <w:r w:rsidRPr="0093373D">
        <w:rPr>
          <w:rFonts w:hint="eastAsia"/>
        </w:rPr>
        <w:t>在业务中断后恢复业务流程所需步骤的计划</w:t>
      </w:r>
      <w:r>
        <w:rPr>
          <w:rFonts w:hint="eastAsia"/>
        </w:rPr>
        <w:t>。</w:t>
      </w:r>
    </w:p>
    <w:p w14:paraId="13F4AA9C" w14:textId="77777777" w:rsidR="0093373D" w:rsidRDefault="0093373D" w:rsidP="0093373D">
      <w:pPr>
        <w:pStyle w:val="a7"/>
        <w:numPr>
          <w:ilvl w:val="0"/>
          <w:numId w:val="1"/>
        </w:numPr>
        <w:spacing w:line="276" w:lineRule="auto"/>
        <w:ind w:firstLineChars="0"/>
      </w:pPr>
      <w:r w:rsidRPr="0093373D">
        <w:t>CMM</w:t>
      </w:r>
      <w:r w:rsidR="006750ED">
        <w:rPr>
          <w:rFonts w:hint="eastAsia"/>
        </w:rPr>
        <w:t>:</w:t>
      </w:r>
      <w:r w:rsidR="006750ED">
        <w:rPr>
          <w:rFonts w:hint="eastAsia"/>
        </w:rPr>
        <w:t>（</w:t>
      </w:r>
      <w:r w:rsidR="006750ED" w:rsidRPr="006750ED">
        <w:t>Capability Maturity Model</w:t>
      </w:r>
      <w:r w:rsidR="006750ED">
        <w:rPr>
          <w:rFonts w:hint="eastAsia"/>
        </w:rPr>
        <w:t>）</w:t>
      </w:r>
      <w:r w:rsidRPr="0093373D">
        <w:t>是指</w:t>
      </w:r>
      <w:r w:rsidRPr="0093373D">
        <w:t>“</w:t>
      </w:r>
      <w:r w:rsidRPr="0093373D">
        <w:t>能力成熟度模型</w:t>
      </w:r>
      <w:r w:rsidRPr="0093373D">
        <w:t>”</w:t>
      </w:r>
      <w:r w:rsidRPr="0093373D">
        <w:t>，是对于</w:t>
      </w:r>
      <w:r w:rsidR="00966002">
        <w:fldChar w:fldCharType="begin"/>
      </w:r>
      <w:r w:rsidR="00966002">
        <w:instrText xml:space="preserve"> HYPERLINK "http://baike.baidu.com/view/37.htm" \t "_blank" </w:instrText>
      </w:r>
      <w:r w:rsidR="00966002">
        <w:fldChar w:fldCharType="separate"/>
      </w:r>
      <w:r w:rsidRPr="0093373D">
        <w:t>软件</w:t>
      </w:r>
      <w:r w:rsidR="00966002">
        <w:fldChar w:fldCharType="end"/>
      </w:r>
      <w:r w:rsidRPr="0093373D">
        <w:t>组织在定义、实施、度量、控制和改善其</w:t>
      </w:r>
      <w:r w:rsidR="00966002">
        <w:fldChar w:fldCharType="begin"/>
      </w:r>
      <w:r w:rsidR="00966002">
        <w:instrText xml:space="preserve"> HYPERLINK "http://baike.baidu.com/view/2207.htm" \t "_blank" </w:instrText>
      </w:r>
      <w:r w:rsidR="00966002">
        <w:fldChar w:fldCharType="separate"/>
      </w:r>
      <w:r w:rsidRPr="0093373D">
        <w:t>软件过程</w:t>
      </w:r>
      <w:r w:rsidR="00966002">
        <w:fldChar w:fldCharType="end"/>
      </w:r>
      <w:r w:rsidRPr="0093373D">
        <w:t>的实践中各个发展阶段的描述</w:t>
      </w:r>
      <w:r w:rsidR="006750ED">
        <w:rPr>
          <w:rFonts w:hint="eastAsia"/>
        </w:rPr>
        <w:t>。</w:t>
      </w:r>
    </w:p>
    <w:p w14:paraId="2C41E185" w14:textId="77777777" w:rsidR="006750ED" w:rsidRDefault="00572E8D" w:rsidP="0093373D">
      <w:pPr>
        <w:pStyle w:val="a7"/>
        <w:numPr>
          <w:ilvl w:val="0"/>
          <w:numId w:val="1"/>
        </w:numPr>
        <w:spacing w:line="276" w:lineRule="auto"/>
        <w:ind w:firstLineChars="0"/>
      </w:pPr>
      <w:r w:rsidRPr="00572E8D">
        <w:rPr>
          <w:rFonts w:hint="eastAsia"/>
        </w:rPr>
        <w:t>IT</w:t>
      </w:r>
      <w:r w:rsidRPr="00572E8D">
        <w:rPr>
          <w:rFonts w:hint="eastAsia"/>
        </w:rPr>
        <w:t>服务管理</w:t>
      </w:r>
      <w:r>
        <w:rPr>
          <w:rFonts w:hint="eastAsia"/>
        </w:rPr>
        <w:t>：</w:t>
      </w:r>
      <w:r w:rsidRPr="00572E8D">
        <w:rPr>
          <w:rFonts w:hint="eastAsia"/>
        </w:rPr>
        <w:t>是一种以流程为导向、以客户为中心的方法。它通过整合</w:t>
      </w:r>
      <w:r w:rsidRPr="00572E8D">
        <w:rPr>
          <w:rFonts w:hint="eastAsia"/>
        </w:rPr>
        <w:t>IT</w:t>
      </w:r>
      <w:r w:rsidRPr="00572E8D">
        <w:rPr>
          <w:rFonts w:hint="eastAsia"/>
        </w:rPr>
        <w:t>服务与企业业务，提高了企业的</w:t>
      </w:r>
      <w:r w:rsidRPr="00572E8D">
        <w:rPr>
          <w:rFonts w:hint="eastAsia"/>
        </w:rPr>
        <w:t>IT</w:t>
      </w:r>
      <w:r w:rsidRPr="00572E8D">
        <w:rPr>
          <w:rFonts w:hint="eastAsia"/>
        </w:rPr>
        <w:t>服务提供和服务支持的能力和水平</w:t>
      </w:r>
      <w:r>
        <w:rPr>
          <w:rFonts w:hint="eastAsia"/>
        </w:rPr>
        <w:t>。</w:t>
      </w:r>
    </w:p>
    <w:p w14:paraId="767575D9" w14:textId="77777777" w:rsidR="00572E8D" w:rsidRDefault="00572E8D" w:rsidP="0093373D">
      <w:pPr>
        <w:pStyle w:val="a7"/>
        <w:numPr>
          <w:ilvl w:val="0"/>
          <w:numId w:val="1"/>
        </w:numPr>
        <w:spacing w:line="276" w:lineRule="auto"/>
        <w:ind w:firstLineChars="0"/>
      </w:pPr>
      <w:r>
        <w:rPr>
          <w:rFonts w:hint="eastAsia"/>
        </w:rPr>
        <w:t>ITIL:</w:t>
      </w:r>
      <w:r>
        <w:rPr>
          <w:rFonts w:hint="eastAsia"/>
        </w:rPr>
        <w:t>一套详细描述最佳</w:t>
      </w:r>
      <w:r>
        <w:rPr>
          <w:rFonts w:hint="eastAsia"/>
        </w:rPr>
        <w:t>IT</w:t>
      </w:r>
      <w:r>
        <w:rPr>
          <w:rFonts w:hint="eastAsia"/>
        </w:rPr>
        <w:t>服务管理的丛书，信息服务管理实施上的业界标准，可简单概括为六大模块、十个流程。</w:t>
      </w:r>
    </w:p>
    <w:p w14:paraId="133703A4" w14:textId="77777777" w:rsidR="00572E8D" w:rsidRPr="00626BC7" w:rsidRDefault="00626BC7" w:rsidP="0093373D">
      <w:pPr>
        <w:pStyle w:val="a7"/>
        <w:numPr>
          <w:ilvl w:val="0"/>
          <w:numId w:val="1"/>
        </w:numPr>
        <w:spacing w:line="276" w:lineRule="auto"/>
        <w:ind w:firstLineChars="0"/>
      </w:pPr>
      <w:r w:rsidRPr="00626BC7">
        <w:rPr>
          <w:rFonts w:hint="eastAsia"/>
        </w:rPr>
        <w:t>降低风险：实施有效控制，将风险降低到可接受的程度，实际上就是力图减小威胁发生的可能性和带来的影响。</w:t>
      </w:r>
    </w:p>
    <w:p w14:paraId="40935D28" w14:textId="77777777" w:rsidR="00626BC7" w:rsidRDefault="00626BC7" w:rsidP="0093373D">
      <w:pPr>
        <w:pStyle w:val="a7"/>
        <w:numPr>
          <w:ilvl w:val="0"/>
          <w:numId w:val="1"/>
        </w:numPr>
        <w:spacing w:line="276" w:lineRule="auto"/>
        <w:ind w:firstLineChars="0"/>
      </w:pPr>
      <w:r w:rsidRPr="00626BC7">
        <w:rPr>
          <w:rFonts w:hint="eastAsia"/>
        </w:rPr>
        <w:t>规避风险（</w:t>
      </w:r>
      <w:r w:rsidRPr="00626BC7">
        <w:t>Avoid Risk</w:t>
      </w:r>
      <w:r w:rsidRPr="00626BC7">
        <w:rPr>
          <w:rFonts w:hint="eastAsia"/>
        </w:rPr>
        <w:t>）</w:t>
      </w:r>
      <w:r>
        <w:rPr>
          <w:rFonts w:hint="eastAsia"/>
        </w:rPr>
        <w:t>：</w:t>
      </w:r>
      <w:r w:rsidRPr="00626BC7">
        <w:t xml:space="preserve"> </w:t>
      </w:r>
      <w:r w:rsidRPr="00626BC7">
        <w:rPr>
          <w:rFonts w:hint="eastAsia"/>
        </w:rPr>
        <w:t>或者</w:t>
      </w:r>
      <w:r w:rsidRPr="00626BC7">
        <w:t>Rejecting Risk</w:t>
      </w:r>
      <w:r w:rsidRPr="00626BC7">
        <w:rPr>
          <w:rFonts w:hint="eastAsia"/>
        </w:rPr>
        <w:t>。有时候，组织可以选择放弃某些可能引来风险的业务或资产，以此规避风险。例如，将重要的计算机系统与互联网隔离，使其免遭来自外部网络的攻击</w:t>
      </w:r>
      <w:r>
        <w:rPr>
          <w:rFonts w:hint="eastAsia"/>
        </w:rPr>
        <w:t>。</w:t>
      </w:r>
    </w:p>
    <w:p w14:paraId="7069924F" w14:textId="77777777" w:rsidR="00626BC7" w:rsidRDefault="00626BC7" w:rsidP="0093373D">
      <w:pPr>
        <w:pStyle w:val="a7"/>
        <w:numPr>
          <w:ilvl w:val="0"/>
          <w:numId w:val="1"/>
        </w:numPr>
        <w:spacing w:line="276" w:lineRule="auto"/>
        <w:ind w:firstLineChars="0"/>
      </w:pPr>
      <w:r w:rsidRPr="00626BC7">
        <w:rPr>
          <w:rFonts w:hint="eastAsia"/>
        </w:rPr>
        <w:t>转嫁风险（</w:t>
      </w:r>
      <w:r w:rsidRPr="00626BC7">
        <w:t>Transfer Risk</w:t>
      </w:r>
      <w:r w:rsidRPr="00626BC7">
        <w:rPr>
          <w:rFonts w:hint="eastAsia"/>
        </w:rPr>
        <w:t>）</w:t>
      </w:r>
      <w:r>
        <w:rPr>
          <w:rFonts w:hint="eastAsia"/>
        </w:rPr>
        <w:t>：</w:t>
      </w:r>
      <w:r w:rsidRPr="00626BC7">
        <w:rPr>
          <w:rFonts w:hint="eastAsia"/>
        </w:rPr>
        <w:t>也称作</w:t>
      </w:r>
      <w:r w:rsidRPr="00626BC7">
        <w:t>Risk Assignment</w:t>
      </w:r>
      <w:r w:rsidRPr="00626BC7">
        <w:rPr>
          <w:rFonts w:hint="eastAsia"/>
        </w:rPr>
        <w:t>。将风险全部或者部分地转移到其他责任方，例如购买商业保险</w:t>
      </w:r>
      <w:r>
        <w:rPr>
          <w:rFonts w:hint="eastAsia"/>
        </w:rPr>
        <w:t>。</w:t>
      </w:r>
    </w:p>
    <w:p w14:paraId="1D1EC52E" w14:textId="77777777" w:rsidR="00626BC7" w:rsidRDefault="00626BC7" w:rsidP="0093373D">
      <w:pPr>
        <w:pStyle w:val="a7"/>
        <w:numPr>
          <w:ilvl w:val="0"/>
          <w:numId w:val="1"/>
        </w:numPr>
        <w:spacing w:line="276" w:lineRule="auto"/>
        <w:ind w:firstLineChars="0"/>
      </w:pPr>
      <w:r w:rsidRPr="00626BC7">
        <w:rPr>
          <w:rFonts w:hint="eastAsia"/>
        </w:rPr>
        <w:t>接受风险（</w:t>
      </w:r>
      <w:r w:rsidRPr="00626BC7">
        <w:t>Accept Risk</w:t>
      </w:r>
      <w:r w:rsidRPr="00626BC7">
        <w:rPr>
          <w:rFonts w:hint="eastAsia"/>
        </w:rPr>
        <w:t>）</w:t>
      </w:r>
      <w:r>
        <w:rPr>
          <w:rFonts w:hint="eastAsia"/>
        </w:rPr>
        <w:t>：</w:t>
      </w:r>
      <w:r w:rsidRPr="00626BC7">
        <w:t xml:space="preserve"> </w:t>
      </w:r>
      <w:r w:rsidRPr="00626BC7">
        <w:rPr>
          <w:rFonts w:hint="eastAsia"/>
        </w:rPr>
        <w:t>在实施了其他风险应对措施之后，对于残留的风险，组织可以选择接受，即所谓的无作为</w:t>
      </w:r>
      <w:r>
        <w:rPr>
          <w:rFonts w:hint="eastAsia"/>
        </w:rPr>
        <w:t>。</w:t>
      </w:r>
    </w:p>
    <w:p w14:paraId="407F3F84" w14:textId="77777777" w:rsidR="00626BC7" w:rsidRDefault="00CC0EF8" w:rsidP="0093373D">
      <w:pPr>
        <w:pStyle w:val="a7"/>
        <w:numPr>
          <w:ilvl w:val="0"/>
          <w:numId w:val="1"/>
        </w:numPr>
        <w:spacing w:line="276" w:lineRule="auto"/>
        <w:ind w:firstLineChars="0"/>
      </w:pPr>
      <w:r w:rsidRPr="00CC0EF8">
        <w:rPr>
          <w:rFonts w:hint="eastAsia"/>
        </w:rPr>
        <w:t>审核：为获得审核证据并对体系进行客观评价，以确定满足审核准则的程度所进行的系统的、独立的并形成文件的检查过程。</w:t>
      </w:r>
    </w:p>
    <w:p w14:paraId="6CB48191" w14:textId="77777777" w:rsidR="00064569" w:rsidRDefault="00064569" w:rsidP="0093373D">
      <w:pPr>
        <w:pStyle w:val="a7"/>
        <w:numPr>
          <w:ilvl w:val="0"/>
          <w:numId w:val="1"/>
        </w:numPr>
        <w:spacing w:line="276" w:lineRule="auto"/>
        <w:ind w:firstLineChars="0"/>
      </w:pPr>
      <w:r>
        <w:rPr>
          <w:rFonts w:hint="eastAsia"/>
        </w:rPr>
        <w:t>PCI-DSS:</w:t>
      </w:r>
      <w:r w:rsidRPr="00064569">
        <w:t xml:space="preserve"> </w:t>
      </w:r>
      <w:r>
        <w:rPr>
          <w:rFonts w:hint="eastAsia"/>
        </w:rPr>
        <w:t>(</w:t>
      </w:r>
      <w:r w:rsidRPr="00064569">
        <w:t>Payment Card Industry (PCI) Data Security Standard</w:t>
      </w:r>
      <w:r>
        <w:rPr>
          <w:rFonts w:hint="eastAsia"/>
        </w:rPr>
        <w:t>),</w:t>
      </w:r>
      <w:r w:rsidRPr="00064569">
        <w:rPr>
          <w:rFonts w:hint="eastAsia"/>
        </w:rPr>
        <w:t xml:space="preserve"> </w:t>
      </w:r>
      <w:r w:rsidRPr="00064569">
        <w:rPr>
          <w:rFonts w:hint="eastAsia"/>
        </w:rPr>
        <w:t>第三方支付行业</w:t>
      </w:r>
      <w:r w:rsidRPr="00064569">
        <w:rPr>
          <w:rFonts w:hint="eastAsia"/>
        </w:rPr>
        <w:t>(</w:t>
      </w:r>
      <w:r w:rsidRPr="00064569">
        <w:rPr>
          <w:rFonts w:hint="eastAsia"/>
        </w:rPr>
        <w:t>支付卡行业</w:t>
      </w:r>
      <w:r w:rsidRPr="00064569">
        <w:rPr>
          <w:rFonts w:hint="eastAsia"/>
        </w:rPr>
        <w:t>PCI)</w:t>
      </w:r>
      <w:r w:rsidRPr="00064569">
        <w:rPr>
          <w:rFonts w:hint="eastAsia"/>
        </w:rPr>
        <w:t>数据安全标准</w:t>
      </w:r>
      <w:r>
        <w:rPr>
          <w:rFonts w:hint="eastAsia"/>
        </w:rPr>
        <w:t>，</w:t>
      </w:r>
      <w:r w:rsidRPr="00064569">
        <w:rPr>
          <w:rFonts w:hint="eastAsia"/>
        </w:rPr>
        <w:t>PCI DSS</w:t>
      </w:r>
      <w:r w:rsidRPr="00064569">
        <w:rPr>
          <w:rFonts w:hint="eastAsia"/>
        </w:rPr>
        <w:t>对于支付网关的安全方面作出</w:t>
      </w:r>
      <w:bookmarkStart w:id="0" w:name="_GoBack"/>
      <w:bookmarkEnd w:id="0"/>
      <w:r w:rsidRPr="00064569">
        <w:rPr>
          <w:rFonts w:hint="eastAsia"/>
        </w:rPr>
        <w:t>标准的要求，其中包括安全管理、策略、过程、网络体系结构、软件设计的要求的列表等，全面保障交易安全。</w:t>
      </w:r>
    </w:p>
    <w:p w14:paraId="63DB96FA" w14:textId="77777777" w:rsidR="001D0F67" w:rsidRPr="001D0F67" w:rsidRDefault="001D0F67" w:rsidP="0093373D">
      <w:pPr>
        <w:pStyle w:val="a7"/>
        <w:numPr>
          <w:ilvl w:val="0"/>
          <w:numId w:val="1"/>
        </w:numPr>
        <w:spacing w:line="276" w:lineRule="auto"/>
        <w:ind w:firstLineChars="0"/>
      </w:pPr>
      <w:r w:rsidRPr="001D0F67">
        <w:rPr>
          <w:rFonts w:hint="eastAsia"/>
        </w:rPr>
        <w:t>数据资产：存在于电子媒介中的各种数据和资料，包括源代码、数据文件、系统文件</w:t>
      </w:r>
      <w:r w:rsidRPr="001D0F67">
        <w:rPr>
          <w:rFonts w:hint="eastAsia"/>
        </w:rPr>
        <w:t xml:space="preserve"> </w:t>
      </w:r>
      <w:r w:rsidRPr="001D0F67">
        <w:rPr>
          <w:rFonts w:hint="eastAsia"/>
        </w:rPr>
        <w:t>等，也包括文档文件例如合同、策略方针、企业文件、重要商业结果。</w:t>
      </w:r>
    </w:p>
    <w:p w14:paraId="7A3BE609" w14:textId="77777777" w:rsidR="004317AE" w:rsidRPr="001D0F67" w:rsidRDefault="004E5E31" w:rsidP="001D0F67">
      <w:pPr>
        <w:pStyle w:val="a7"/>
        <w:numPr>
          <w:ilvl w:val="0"/>
          <w:numId w:val="1"/>
        </w:numPr>
        <w:spacing w:line="276" w:lineRule="auto"/>
        <w:ind w:firstLineChars="0"/>
      </w:pPr>
      <w:r w:rsidRPr="001D0F67">
        <w:rPr>
          <w:rFonts w:hint="eastAsia"/>
        </w:rPr>
        <w:t xml:space="preserve">  </w:t>
      </w:r>
      <w:r w:rsidRPr="001D0F67">
        <w:rPr>
          <w:rFonts w:hint="eastAsia"/>
        </w:rPr>
        <w:t>软件资产：应用软件，系统软件，开发工具，公用程序</w:t>
      </w:r>
    </w:p>
    <w:p w14:paraId="66F4D2B7" w14:textId="77777777" w:rsidR="004317AE" w:rsidRPr="001D0F67" w:rsidRDefault="004E5E31" w:rsidP="001D0F67">
      <w:pPr>
        <w:pStyle w:val="a7"/>
        <w:numPr>
          <w:ilvl w:val="0"/>
          <w:numId w:val="1"/>
        </w:numPr>
        <w:spacing w:line="276" w:lineRule="auto"/>
        <w:ind w:firstLineChars="0"/>
      </w:pPr>
      <w:r w:rsidRPr="001D0F67">
        <w:rPr>
          <w:rFonts w:hint="eastAsia"/>
        </w:rPr>
        <w:t xml:space="preserve">  </w:t>
      </w:r>
      <w:r w:rsidRPr="001D0F67">
        <w:rPr>
          <w:rFonts w:hint="eastAsia"/>
        </w:rPr>
        <w:t>实物资产：计算机和通信设备，磁介质，电源和空调等技术性设备，家具，场所</w:t>
      </w:r>
    </w:p>
    <w:p w14:paraId="5944A29A" w14:textId="77777777" w:rsidR="004317AE" w:rsidRPr="001D0F67" w:rsidRDefault="004E5E31" w:rsidP="001D0F67">
      <w:pPr>
        <w:pStyle w:val="a7"/>
        <w:numPr>
          <w:ilvl w:val="0"/>
          <w:numId w:val="1"/>
        </w:numPr>
        <w:spacing w:line="276" w:lineRule="auto"/>
        <w:ind w:firstLineChars="0"/>
      </w:pPr>
      <w:r w:rsidRPr="001D0F67">
        <w:rPr>
          <w:rFonts w:hint="eastAsia"/>
        </w:rPr>
        <w:t xml:space="preserve">  </w:t>
      </w:r>
      <w:r w:rsidRPr="001D0F67">
        <w:rPr>
          <w:rFonts w:hint="eastAsia"/>
        </w:rPr>
        <w:t>人员</w:t>
      </w:r>
      <w:r w:rsidR="001D0F67">
        <w:rPr>
          <w:rFonts w:hint="eastAsia"/>
        </w:rPr>
        <w:t>资产</w:t>
      </w:r>
      <w:r w:rsidRPr="001D0F67">
        <w:rPr>
          <w:rFonts w:hint="eastAsia"/>
        </w:rPr>
        <w:t>：承担特定职能和责任的人员</w:t>
      </w:r>
    </w:p>
    <w:p w14:paraId="391ECBE8" w14:textId="77777777" w:rsidR="004317AE" w:rsidRPr="001D0F67" w:rsidRDefault="004E5E31" w:rsidP="001D0F67">
      <w:pPr>
        <w:pStyle w:val="a7"/>
        <w:numPr>
          <w:ilvl w:val="0"/>
          <w:numId w:val="1"/>
        </w:numPr>
        <w:spacing w:line="276" w:lineRule="auto"/>
        <w:ind w:firstLineChars="0"/>
      </w:pPr>
      <w:r w:rsidRPr="001D0F67">
        <w:rPr>
          <w:rFonts w:hint="eastAsia"/>
        </w:rPr>
        <w:t xml:space="preserve">  </w:t>
      </w:r>
      <w:r w:rsidRPr="001D0F67">
        <w:rPr>
          <w:rFonts w:hint="eastAsia"/>
        </w:rPr>
        <w:t>服务</w:t>
      </w:r>
      <w:r w:rsidR="001D0F67">
        <w:rPr>
          <w:rFonts w:hint="eastAsia"/>
        </w:rPr>
        <w:t>资产</w:t>
      </w:r>
      <w:r w:rsidRPr="001D0F67">
        <w:rPr>
          <w:rFonts w:hint="eastAsia"/>
        </w:rPr>
        <w:t>：计算和通信服务，其他技术性服务，</w:t>
      </w:r>
      <w:r w:rsidRPr="001D0F67">
        <w:rPr>
          <w:rFonts w:hint="eastAsia"/>
        </w:rPr>
        <w:t xml:space="preserve"> </w:t>
      </w:r>
      <w:r w:rsidRPr="001D0F67">
        <w:rPr>
          <w:rFonts w:hint="eastAsia"/>
        </w:rPr>
        <w:t>例如供暖、照明、水电、</w:t>
      </w:r>
      <w:r w:rsidRPr="001D0F67">
        <w:rPr>
          <w:rFonts w:hint="eastAsia"/>
        </w:rPr>
        <w:t>UPS</w:t>
      </w:r>
      <w:r w:rsidRPr="001D0F67">
        <w:rPr>
          <w:rFonts w:hint="eastAsia"/>
        </w:rPr>
        <w:t>等</w:t>
      </w:r>
    </w:p>
    <w:p w14:paraId="6D815493" w14:textId="77777777" w:rsidR="004317AE" w:rsidRDefault="004E5E31" w:rsidP="001D0F67">
      <w:pPr>
        <w:pStyle w:val="a7"/>
        <w:numPr>
          <w:ilvl w:val="0"/>
          <w:numId w:val="1"/>
        </w:numPr>
        <w:spacing w:line="276" w:lineRule="auto"/>
        <w:ind w:firstLineChars="0"/>
        <w:rPr>
          <w:rFonts w:hint="eastAsia"/>
        </w:rPr>
      </w:pPr>
      <w:r w:rsidRPr="001D0F67">
        <w:rPr>
          <w:rFonts w:hint="eastAsia"/>
        </w:rPr>
        <w:t xml:space="preserve">  </w:t>
      </w:r>
      <w:r w:rsidRPr="001D0F67">
        <w:rPr>
          <w:rFonts w:hint="eastAsia"/>
        </w:rPr>
        <w:t>组织形象与声誉：企业形象，客户关系等，属于无形资产</w:t>
      </w:r>
    </w:p>
    <w:p w14:paraId="15968EAE" w14:textId="77777777" w:rsidR="00966002" w:rsidRDefault="00966002" w:rsidP="001D0F67">
      <w:pPr>
        <w:pStyle w:val="a7"/>
        <w:numPr>
          <w:ilvl w:val="0"/>
          <w:numId w:val="1"/>
        </w:numPr>
        <w:spacing w:line="276" w:lineRule="auto"/>
        <w:ind w:firstLineChars="0"/>
        <w:rPr>
          <w:rFonts w:hint="eastAsia"/>
        </w:rPr>
      </w:pPr>
      <w:r>
        <w:rPr>
          <w:rFonts w:hint="eastAsia"/>
        </w:rPr>
        <w:t>ISO</w:t>
      </w:r>
      <w:r w:rsidR="0009389F">
        <w:rPr>
          <w:rFonts w:hint="eastAsia"/>
        </w:rPr>
        <w:t>27001</w:t>
      </w:r>
      <w:r w:rsidR="0009389F">
        <w:rPr>
          <w:rFonts w:hint="eastAsia"/>
        </w:rPr>
        <w:t>认证过程</w:t>
      </w:r>
    </w:p>
    <w:p w14:paraId="4BEC65AD" w14:textId="77777777" w:rsidR="001D0F67" w:rsidRDefault="001D0F67" w:rsidP="00481784">
      <w:pPr>
        <w:spacing w:line="276" w:lineRule="auto"/>
      </w:pPr>
    </w:p>
    <w:p w14:paraId="47058E17" w14:textId="77777777" w:rsidR="00F87E5F" w:rsidRDefault="00F87E5F"/>
    <w:p w14:paraId="3B28E5F1" w14:textId="77777777" w:rsidR="00F87E5F" w:rsidRDefault="00F87E5F"/>
    <w:p w14:paraId="2B0A235F" w14:textId="77777777" w:rsidR="00F87E5F" w:rsidRDefault="00F87E5F"/>
    <w:p w14:paraId="3EFBBEAA" w14:textId="77777777" w:rsidR="00F87E5F" w:rsidRDefault="00F87E5F"/>
    <w:sectPr w:rsidR="00F87E5F" w:rsidSect="00722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7EFAA" w14:textId="77777777" w:rsidR="00966002" w:rsidRDefault="00966002" w:rsidP="00F87E5F">
      <w:r>
        <w:separator/>
      </w:r>
    </w:p>
  </w:endnote>
  <w:endnote w:type="continuationSeparator" w:id="0">
    <w:p w14:paraId="57F666DC" w14:textId="77777777" w:rsidR="00966002" w:rsidRDefault="00966002" w:rsidP="00F87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E60B7" w14:textId="77777777" w:rsidR="00966002" w:rsidRDefault="00966002" w:rsidP="00F87E5F">
      <w:r>
        <w:separator/>
      </w:r>
    </w:p>
  </w:footnote>
  <w:footnote w:type="continuationSeparator" w:id="0">
    <w:p w14:paraId="3C47269E" w14:textId="77777777" w:rsidR="00966002" w:rsidRDefault="00966002" w:rsidP="00F87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83A77"/>
    <w:multiLevelType w:val="hybridMultilevel"/>
    <w:tmpl w:val="679402C8"/>
    <w:lvl w:ilvl="0" w:tplc="09C64DDE">
      <w:start w:val="1"/>
      <w:numFmt w:val="bullet"/>
      <w:lvlText w:val=""/>
      <w:lvlJc w:val="left"/>
      <w:pPr>
        <w:tabs>
          <w:tab w:val="num" w:pos="720"/>
        </w:tabs>
        <w:ind w:left="720" w:hanging="360"/>
      </w:pPr>
      <w:rPr>
        <w:rFonts w:ascii="Wingdings" w:hAnsi="Wingdings" w:hint="default"/>
      </w:rPr>
    </w:lvl>
    <w:lvl w:ilvl="1" w:tplc="A824FDCE">
      <w:start w:val="1"/>
      <w:numFmt w:val="bullet"/>
      <w:lvlText w:val=""/>
      <w:lvlJc w:val="left"/>
      <w:pPr>
        <w:tabs>
          <w:tab w:val="num" w:pos="1440"/>
        </w:tabs>
        <w:ind w:left="1440" w:hanging="360"/>
      </w:pPr>
      <w:rPr>
        <w:rFonts w:ascii="Wingdings" w:hAnsi="Wingdings" w:hint="default"/>
      </w:rPr>
    </w:lvl>
    <w:lvl w:ilvl="2" w:tplc="922C1EA8" w:tentative="1">
      <w:start w:val="1"/>
      <w:numFmt w:val="bullet"/>
      <w:lvlText w:val=""/>
      <w:lvlJc w:val="left"/>
      <w:pPr>
        <w:tabs>
          <w:tab w:val="num" w:pos="2160"/>
        </w:tabs>
        <w:ind w:left="2160" w:hanging="360"/>
      </w:pPr>
      <w:rPr>
        <w:rFonts w:ascii="Wingdings" w:hAnsi="Wingdings" w:hint="default"/>
      </w:rPr>
    </w:lvl>
    <w:lvl w:ilvl="3" w:tplc="785E3B4A" w:tentative="1">
      <w:start w:val="1"/>
      <w:numFmt w:val="bullet"/>
      <w:lvlText w:val=""/>
      <w:lvlJc w:val="left"/>
      <w:pPr>
        <w:tabs>
          <w:tab w:val="num" w:pos="2880"/>
        </w:tabs>
        <w:ind w:left="2880" w:hanging="360"/>
      </w:pPr>
      <w:rPr>
        <w:rFonts w:ascii="Wingdings" w:hAnsi="Wingdings" w:hint="default"/>
      </w:rPr>
    </w:lvl>
    <w:lvl w:ilvl="4" w:tplc="DB981950" w:tentative="1">
      <w:start w:val="1"/>
      <w:numFmt w:val="bullet"/>
      <w:lvlText w:val=""/>
      <w:lvlJc w:val="left"/>
      <w:pPr>
        <w:tabs>
          <w:tab w:val="num" w:pos="3600"/>
        </w:tabs>
        <w:ind w:left="3600" w:hanging="360"/>
      </w:pPr>
      <w:rPr>
        <w:rFonts w:ascii="Wingdings" w:hAnsi="Wingdings" w:hint="default"/>
      </w:rPr>
    </w:lvl>
    <w:lvl w:ilvl="5" w:tplc="90349A42" w:tentative="1">
      <w:start w:val="1"/>
      <w:numFmt w:val="bullet"/>
      <w:lvlText w:val=""/>
      <w:lvlJc w:val="left"/>
      <w:pPr>
        <w:tabs>
          <w:tab w:val="num" w:pos="4320"/>
        </w:tabs>
        <w:ind w:left="4320" w:hanging="360"/>
      </w:pPr>
      <w:rPr>
        <w:rFonts w:ascii="Wingdings" w:hAnsi="Wingdings" w:hint="default"/>
      </w:rPr>
    </w:lvl>
    <w:lvl w:ilvl="6" w:tplc="5D8AD538" w:tentative="1">
      <w:start w:val="1"/>
      <w:numFmt w:val="bullet"/>
      <w:lvlText w:val=""/>
      <w:lvlJc w:val="left"/>
      <w:pPr>
        <w:tabs>
          <w:tab w:val="num" w:pos="5040"/>
        </w:tabs>
        <w:ind w:left="5040" w:hanging="360"/>
      </w:pPr>
      <w:rPr>
        <w:rFonts w:ascii="Wingdings" w:hAnsi="Wingdings" w:hint="default"/>
      </w:rPr>
    </w:lvl>
    <w:lvl w:ilvl="7" w:tplc="48F0A9B6" w:tentative="1">
      <w:start w:val="1"/>
      <w:numFmt w:val="bullet"/>
      <w:lvlText w:val=""/>
      <w:lvlJc w:val="left"/>
      <w:pPr>
        <w:tabs>
          <w:tab w:val="num" w:pos="5760"/>
        </w:tabs>
        <w:ind w:left="5760" w:hanging="360"/>
      </w:pPr>
      <w:rPr>
        <w:rFonts w:ascii="Wingdings" w:hAnsi="Wingdings" w:hint="default"/>
      </w:rPr>
    </w:lvl>
    <w:lvl w:ilvl="8" w:tplc="595EC234" w:tentative="1">
      <w:start w:val="1"/>
      <w:numFmt w:val="bullet"/>
      <w:lvlText w:val=""/>
      <w:lvlJc w:val="left"/>
      <w:pPr>
        <w:tabs>
          <w:tab w:val="num" w:pos="6480"/>
        </w:tabs>
        <w:ind w:left="6480" w:hanging="360"/>
      </w:pPr>
      <w:rPr>
        <w:rFonts w:ascii="Wingdings" w:hAnsi="Wingdings" w:hint="default"/>
      </w:rPr>
    </w:lvl>
  </w:abstractNum>
  <w:abstractNum w:abstractNumId="1">
    <w:nsid w:val="66E05E5B"/>
    <w:multiLevelType w:val="hybridMultilevel"/>
    <w:tmpl w:val="468CE726"/>
    <w:lvl w:ilvl="0" w:tplc="72A0E38A">
      <w:start w:val="1"/>
      <w:numFmt w:val="decimal"/>
      <w:lvlText w:val="%1."/>
      <w:lvlJc w:val="left"/>
      <w:pPr>
        <w:ind w:left="420" w:hanging="420"/>
      </w:pPr>
      <w:rPr>
        <w:rFonts w:hint="eastAsia"/>
        <w:b w:val="0"/>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7E5F"/>
    <w:rsid w:val="000377D9"/>
    <w:rsid w:val="00046226"/>
    <w:rsid w:val="00064569"/>
    <w:rsid w:val="0009389F"/>
    <w:rsid w:val="001D0F67"/>
    <w:rsid w:val="002671E0"/>
    <w:rsid w:val="002942E2"/>
    <w:rsid w:val="002962F0"/>
    <w:rsid w:val="002D6D19"/>
    <w:rsid w:val="00325AC8"/>
    <w:rsid w:val="0043037D"/>
    <w:rsid w:val="004317AE"/>
    <w:rsid w:val="0047651C"/>
    <w:rsid w:val="00481784"/>
    <w:rsid w:val="004E5E31"/>
    <w:rsid w:val="004E716F"/>
    <w:rsid w:val="00572E8D"/>
    <w:rsid w:val="00626BC7"/>
    <w:rsid w:val="006750ED"/>
    <w:rsid w:val="007016FA"/>
    <w:rsid w:val="00722129"/>
    <w:rsid w:val="00731D28"/>
    <w:rsid w:val="00876DF3"/>
    <w:rsid w:val="00885310"/>
    <w:rsid w:val="00927F3F"/>
    <w:rsid w:val="0093373D"/>
    <w:rsid w:val="00966002"/>
    <w:rsid w:val="00974BAE"/>
    <w:rsid w:val="00A97CCD"/>
    <w:rsid w:val="00B1237E"/>
    <w:rsid w:val="00B576EE"/>
    <w:rsid w:val="00B72C53"/>
    <w:rsid w:val="00B7620B"/>
    <w:rsid w:val="00BD4BA4"/>
    <w:rsid w:val="00BF3C7A"/>
    <w:rsid w:val="00C175FB"/>
    <w:rsid w:val="00C35A59"/>
    <w:rsid w:val="00CA5675"/>
    <w:rsid w:val="00CC0EF8"/>
    <w:rsid w:val="00DB79BE"/>
    <w:rsid w:val="00EE6C25"/>
    <w:rsid w:val="00F87E5F"/>
    <w:rsid w:val="00FE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38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1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87E5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87E5F"/>
    <w:rPr>
      <w:sz w:val="18"/>
      <w:szCs w:val="18"/>
    </w:rPr>
  </w:style>
  <w:style w:type="paragraph" w:styleId="a5">
    <w:name w:val="footer"/>
    <w:basedOn w:val="a"/>
    <w:link w:val="a6"/>
    <w:uiPriority w:val="99"/>
    <w:semiHidden/>
    <w:unhideWhenUsed/>
    <w:rsid w:val="00F87E5F"/>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87E5F"/>
    <w:rPr>
      <w:sz w:val="18"/>
      <w:szCs w:val="18"/>
    </w:rPr>
  </w:style>
  <w:style w:type="paragraph" w:styleId="a7">
    <w:name w:val="List Paragraph"/>
    <w:basedOn w:val="a"/>
    <w:uiPriority w:val="34"/>
    <w:qFormat/>
    <w:rsid w:val="00F87E5F"/>
    <w:pPr>
      <w:ind w:firstLineChars="200" w:firstLine="420"/>
    </w:pPr>
  </w:style>
  <w:style w:type="paragraph" w:customStyle="1" w:styleId="CharCharCharCharCharCharCharCharCharCharCharCharCharCharCharChar">
    <w:name w:val="Char Char Char Char Char Char Char Char Char Char Char Char Char Char Char Char"/>
    <w:basedOn w:val="a"/>
    <w:autoRedefine/>
    <w:rsid w:val="007016FA"/>
    <w:pPr>
      <w:tabs>
        <w:tab w:val="num" w:pos="360"/>
      </w:tabs>
    </w:pPr>
    <w:rPr>
      <w:rFonts w:ascii="Times New Roman" w:eastAsia="宋体" w:hAnsi="Times New Roman" w:cs="Times New Roman"/>
      <w:sz w:val="24"/>
      <w:szCs w:val="24"/>
    </w:rPr>
  </w:style>
  <w:style w:type="character" w:styleId="a8">
    <w:name w:val="Hyperlink"/>
    <w:basedOn w:val="a0"/>
    <w:uiPriority w:val="99"/>
    <w:semiHidden/>
    <w:unhideWhenUsed/>
    <w:rsid w:val="0093373D"/>
    <w:rPr>
      <w:color w:val="0000FF"/>
      <w:u w:val="single"/>
    </w:rPr>
  </w:style>
  <w:style w:type="paragraph" w:styleId="a9">
    <w:name w:val="Balloon Text"/>
    <w:basedOn w:val="a"/>
    <w:link w:val="aa"/>
    <w:uiPriority w:val="99"/>
    <w:semiHidden/>
    <w:unhideWhenUsed/>
    <w:rsid w:val="0093373D"/>
    <w:rPr>
      <w:sz w:val="18"/>
      <w:szCs w:val="18"/>
    </w:rPr>
  </w:style>
  <w:style w:type="character" w:customStyle="1" w:styleId="aa">
    <w:name w:val="批注框文本字符"/>
    <w:basedOn w:val="a0"/>
    <w:link w:val="a9"/>
    <w:uiPriority w:val="99"/>
    <w:semiHidden/>
    <w:rsid w:val="0093373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9308">
      <w:bodyDiv w:val="1"/>
      <w:marLeft w:val="0"/>
      <w:marRight w:val="0"/>
      <w:marTop w:val="0"/>
      <w:marBottom w:val="0"/>
      <w:divBdr>
        <w:top w:val="none" w:sz="0" w:space="0" w:color="auto"/>
        <w:left w:val="none" w:sz="0" w:space="0" w:color="auto"/>
        <w:bottom w:val="none" w:sz="0" w:space="0" w:color="auto"/>
        <w:right w:val="none" w:sz="0" w:space="0" w:color="auto"/>
      </w:divBdr>
      <w:divsChild>
        <w:div w:id="2022463346">
          <w:marLeft w:val="720"/>
          <w:marRight w:val="0"/>
          <w:marTop w:val="192"/>
          <w:marBottom w:val="0"/>
          <w:divBdr>
            <w:top w:val="none" w:sz="0" w:space="0" w:color="auto"/>
            <w:left w:val="none" w:sz="0" w:space="0" w:color="auto"/>
            <w:bottom w:val="none" w:sz="0" w:space="0" w:color="auto"/>
            <w:right w:val="none" w:sz="0" w:space="0" w:color="auto"/>
          </w:divBdr>
        </w:div>
        <w:div w:id="1506020383">
          <w:marLeft w:val="720"/>
          <w:marRight w:val="0"/>
          <w:marTop w:val="192"/>
          <w:marBottom w:val="0"/>
          <w:divBdr>
            <w:top w:val="none" w:sz="0" w:space="0" w:color="auto"/>
            <w:left w:val="none" w:sz="0" w:space="0" w:color="auto"/>
            <w:bottom w:val="none" w:sz="0" w:space="0" w:color="auto"/>
            <w:right w:val="none" w:sz="0" w:space="0" w:color="auto"/>
          </w:divBdr>
        </w:div>
        <w:div w:id="478574909">
          <w:marLeft w:val="720"/>
          <w:marRight w:val="0"/>
          <w:marTop w:val="192"/>
          <w:marBottom w:val="0"/>
          <w:divBdr>
            <w:top w:val="none" w:sz="0" w:space="0" w:color="auto"/>
            <w:left w:val="none" w:sz="0" w:space="0" w:color="auto"/>
            <w:bottom w:val="none" w:sz="0" w:space="0" w:color="auto"/>
            <w:right w:val="none" w:sz="0" w:space="0" w:color="auto"/>
          </w:divBdr>
        </w:div>
        <w:div w:id="1411004826">
          <w:marLeft w:val="720"/>
          <w:marRight w:val="0"/>
          <w:marTop w:val="192"/>
          <w:marBottom w:val="0"/>
          <w:divBdr>
            <w:top w:val="none" w:sz="0" w:space="0" w:color="auto"/>
            <w:left w:val="none" w:sz="0" w:space="0" w:color="auto"/>
            <w:bottom w:val="none" w:sz="0" w:space="0" w:color="auto"/>
            <w:right w:val="none" w:sz="0" w:space="0" w:color="auto"/>
          </w:divBdr>
        </w:div>
        <w:div w:id="1483351206">
          <w:marLeft w:val="720"/>
          <w:marRight w:val="0"/>
          <w:marTop w:val="192"/>
          <w:marBottom w:val="0"/>
          <w:divBdr>
            <w:top w:val="none" w:sz="0" w:space="0" w:color="auto"/>
            <w:left w:val="none" w:sz="0" w:space="0" w:color="auto"/>
            <w:bottom w:val="none" w:sz="0" w:space="0" w:color="auto"/>
            <w:right w:val="none" w:sz="0" w:space="0" w:color="auto"/>
          </w:divBdr>
        </w:div>
      </w:divsChild>
    </w:div>
    <w:div w:id="207186077">
      <w:bodyDiv w:val="1"/>
      <w:marLeft w:val="0"/>
      <w:marRight w:val="0"/>
      <w:marTop w:val="0"/>
      <w:marBottom w:val="0"/>
      <w:divBdr>
        <w:top w:val="none" w:sz="0" w:space="0" w:color="auto"/>
        <w:left w:val="none" w:sz="0" w:space="0" w:color="auto"/>
        <w:bottom w:val="none" w:sz="0" w:space="0" w:color="auto"/>
        <w:right w:val="none" w:sz="0" w:space="0" w:color="auto"/>
      </w:divBdr>
      <w:divsChild>
        <w:div w:id="793716799">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852064055">
      <w:bodyDiv w:val="1"/>
      <w:marLeft w:val="0"/>
      <w:marRight w:val="0"/>
      <w:marTop w:val="0"/>
      <w:marBottom w:val="0"/>
      <w:divBdr>
        <w:top w:val="none" w:sz="0" w:space="0" w:color="auto"/>
        <w:left w:val="none" w:sz="0" w:space="0" w:color="auto"/>
        <w:bottom w:val="none" w:sz="0" w:space="0" w:color="auto"/>
        <w:right w:val="none" w:sz="0" w:space="0" w:color="auto"/>
      </w:divBdr>
    </w:div>
    <w:div w:id="1081567389">
      <w:bodyDiv w:val="1"/>
      <w:marLeft w:val="0"/>
      <w:marRight w:val="0"/>
      <w:marTop w:val="0"/>
      <w:marBottom w:val="0"/>
      <w:divBdr>
        <w:top w:val="none" w:sz="0" w:space="0" w:color="auto"/>
        <w:left w:val="none" w:sz="0" w:space="0" w:color="auto"/>
        <w:bottom w:val="none" w:sz="0" w:space="0" w:color="auto"/>
        <w:right w:val="none" w:sz="0" w:space="0" w:color="auto"/>
      </w:divBdr>
    </w:div>
    <w:div w:id="1104232695">
      <w:bodyDiv w:val="1"/>
      <w:marLeft w:val="0"/>
      <w:marRight w:val="0"/>
      <w:marTop w:val="0"/>
      <w:marBottom w:val="0"/>
      <w:divBdr>
        <w:top w:val="none" w:sz="0" w:space="0" w:color="auto"/>
        <w:left w:val="none" w:sz="0" w:space="0" w:color="auto"/>
        <w:bottom w:val="none" w:sz="0" w:space="0" w:color="auto"/>
        <w:right w:val="none" w:sz="0" w:space="0" w:color="auto"/>
      </w:divBdr>
    </w:div>
    <w:div w:id="16449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357</Words>
  <Characters>2036</Characters>
  <Application>Microsoft Macintosh Word</Application>
  <DocSecurity>0</DocSecurity>
  <Lines>16</Lines>
  <Paragraphs>4</Paragraphs>
  <ScaleCrop>false</ScaleCrop>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lixia1987</dc:creator>
  <cp:keywords/>
  <dc:description/>
  <cp:lastModifiedBy>俊 李</cp:lastModifiedBy>
  <cp:revision>8</cp:revision>
  <dcterms:created xsi:type="dcterms:W3CDTF">2012-04-10T03:24:00Z</dcterms:created>
  <dcterms:modified xsi:type="dcterms:W3CDTF">2015-07-13T03:59:00Z</dcterms:modified>
</cp:coreProperties>
</file>