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i/>
          <w:iCs/>
          <w:color w:val="555555"/>
          <w:sz w:val="22"/>
          <w:szCs w:val="22"/>
        </w:rPr>
        <w:t xml:space="preserve">"In the beginning there was maybe"</w:t>
      </w:r>
    </w:p>
    <w:p>
      <w:pPr>
        <w:spacing w:after="200"/>
        <w:jc w:val="center"/>
      </w:pPr>
      <w:r>
        <w:rPr>
          <w:rFonts w:ascii="Times New Roman" w:cs="Times New Roman" w:eastAsia="Times New Roman" w:hAnsi="Times New Roman"/>
          <w:b/>
          <w:bCs/>
          <w:sz w:val="32"/>
          <w:szCs w:val="32"/>
        </w:rPr>
        <w:t xml:space="preserve">Spacetime as Emergent Geometry from Quantum Genealogy:</w:t>
      </w:r>
    </w:p>
    <w:p>
      <w:pPr>
        <w:spacing w:after="200"/>
        <w:jc w:val="center"/>
      </w:pPr>
      <w:r>
        <w:rPr>
          <w:rFonts w:ascii="Times New Roman" w:cs="Times New Roman" w:eastAsia="Times New Roman" w:hAnsi="Times New Roman"/>
          <w:b/>
          <w:bCs/>
          <w:sz w:val="32"/>
          <w:szCs w:val="32"/>
        </w:rPr>
        <w:t xml:space="preserve">The Quantum Family Tree Theory</w:t>
      </w:r>
    </w:p>
    <w:p>
      <w:pPr>
        <w:spacing w:after="60"/>
        <w:jc w:val="center"/>
      </w:pPr>
      <w:r>
        <w:rPr>
          <w:rFonts w:ascii="Times New Roman" w:cs="Times New Roman" w:eastAsia="Times New Roman" w:hAnsi="Times New Roman"/>
          <w:sz w:val="24"/>
          <w:szCs w:val="24"/>
        </w:rPr>
        <w:t xml:space="preserve">Kevin Donahue</w:t>
      </w:r>
    </w:p>
    <w:p>
      <w:pPr>
        <w:spacing w:after="60"/>
        <w:jc w:val="center"/>
      </w:pPr>
      <w:r>
        <w:rPr>
          <w:rFonts w:ascii="Times New Roman" w:cs="Times New Roman" w:eastAsia="Times New Roman" w:hAnsi="Times New Roman"/>
          <w:i/>
          <w:iCs/>
          <w:sz w:val="20"/>
          <w:szCs w:val="20"/>
        </w:rPr>
        <w:t xml:space="preserve">kevin@nothingmatters.life</w:t>
      </w:r>
    </w:p>
    <w:p>
      <w:pPr>
        <w:spacing w:after="200"/>
        <w:jc w:val="center"/>
      </w:pPr>
      <w:r>
        <w:rPr>
          <w:rFonts w:ascii="Times New Roman" w:cs="Times New Roman" w:eastAsia="Times New Roman" w:hAnsi="Times New Roman"/>
          <w:sz w:val="20"/>
          <w:szCs w:val="20"/>
        </w:rPr>
        <w:t xml:space="preserve">March 2026</w:t>
      </w:r>
    </w:p>
    <w:p>
      <w:pPr>
        <w:pBdr>
          <w:bottom w:val="single" w:color="1a1a2e" w:sz="6" w:space="1"/>
        </w:pBdr>
        <w:spacing w:after="200"/>
      </w:pPr>
    </w:p>
    <w:p>
      <w:pPr>
        <w:spacing w:after="120"/>
      </w:pPr>
      <w:r>
        <w:rPr>
          <w:rFonts w:ascii="Times New Roman" w:cs="Times New Roman" w:eastAsia="Times New Roman" w:hAnsi="Times New Roman"/>
          <w:b/>
          <w:bCs/>
          <w:sz w:val="26"/>
          <w:szCs w:val="26"/>
        </w:rPr>
        <w:t xml:space="preserve">Abstract</w:t>
      </w:r>
    </w:p>
    <w:p>
      <w:pPr>
        <w:spacing w:after="120" w:line="276"/>
        <w:jc w:val="both"/>
      </w:pPr>
      <w:r>
        <w:rPr>
          <w:rFonts w:ascii="Times New Roman" w:cs="Times New Roman" w:eastAsia="Times New Roman" w:hAnsi="Times New Roman"/>
          <w:sz w:val="24"/>
          <w:szCs w:val="24"/>
        </w:rPr>
        <w:t xml:space="preserve">We propose a framework in which spacetime geometry emerges from the genealogical structure of quantum entanglement. Beginning from a single entangled state that undergoes recursive binary splitting, mutual information between any two descendant particles decays exponentially with their genealogical distance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vertAlign w:val="superscript"/>
        </w:rPr>
        <w:t xml:space="preserve">g</w:t>
      </w:r>
      <w:r>
        <w:rPr>
          <w:rFonts w:ascii="Times New Roman" w:cs="Times New Roman" w:eastAsia="Times New Roman" w:hAnsi="Times New Roman"/>
          <w:sz w:val="24"/>
          <w:szCs w:val="24"/>
        </w:rPr>
        <w:t xml:space="preserve"> (total hops through the tree via the lowest common ancestor). Defining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vertAlign w:val="superscript"/>
        </w:rPr>
        <w:t xml:space="preserve">g</w:t>
      </w:r>
      <w:r>
        <w:rPr>
          <w:rFonts w:ascii="Times New Roman" w:cs="Times New Roman" w:eastAsia="Times New Roman" w:hAnsi="Times New Roman"/>
          <w:sz w:val="24"/>
          <w:szCs w:val="24"/>
        </w:rPr>
        <w:t xml:space="preserve">/2 as generations from the common ancestor, the classical kinship prediction is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 (1/2)</w:t>
      </w:r>
      <w:r>
        <w:rPr>
          <w:rFonts w:ascii="Times New Roman" w:cs="Times New Roman" w:eastAsia="Times New Roman" w:hAnsi="Times New Roman"/>
          <w:sz w:val="24"/>
          <w:szCs w:val="24"/>
          <w:vertAlign w:val="superscript"/>
        </w:rPr>
        <w:t xml:space="preserve">k−1</w:t>
      </w:r>
      <w:r>
        <w:rPr>
          <w:rFonts w:ascii="Times New Roman" w:cs="Times New Roman" w:eastAsia="Times New Roman" w:hAnsi="Times New Roman"/>
          <w:sz w:val="24"/>
          <w:szCs w:val="24"/>
        </w:rPr>
        <w:t xml:space="preserve">; our simulations reveal steeper quantum decay with decay exponent α that converges to 2.0 across depths 2 through 10. Physical distance emerges as the logarithm of inverse entanglement: </w:t>
      </w:r>
      <w:r>
        <w:rPr>
          <w:rFonts w:ascii="Times New Roman" w:cs="Times New Roman" w:eastAsia="Times New Roman" w:hAnsi="Times New Roman"/>
          <w:i/>
          <w:iCs/>
          <w:sz w:val="24"/>
          <w:szCs w:val="24"/>
        </w:rPr>
        <w:t xml:space="preserve">d</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ln(1/</w:t>
      </w:r>
      <w:r>
        <w:rPr>
          <w:rFonts w:ascii="Times New Roman" w:cs="Times New Roman" w:eastAsia="Times New Roman" w:hAnsi="Times New Roman"/>
          <w:i/>
          <w:iCs/>
          <w:sz w:val="24"/>
          <w:szCs w:val="24"/>
        </w:rPr>
        <w:t xml:space="preserve">E</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b</w:t>
      </w:r>
      <w:r>
        <w:rPr>
          <w:rFonts w:ascii="Times New Roman" w:cs="Times New Roman" w:eastAsia="Times New Roman" w:hAnsi="Times New Roman"/>
          <w:sz w:val="24"/>
          <w:szCs w:val="24"/>
        </w:rPr>
        <w:t xml:space="preserve">. We present computational results from quantum simulations at depths 2 through 10 (up to 1,024 leaves, 20-tree ensembles) demonstrating: (1) monotonic kinship decay of mutual information across all genealogical distances at all depths, (2) a logarithmic distance-entanglement relationship with R</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 0.993, consistent with holographic (Ryu-Takayanagi) scaling, and (3) structural universality across random quantum dynamics. The model aligns with and extends Van Raamsdonk's entanglement-spacetime correspondence, providing a concrete genealogical mechanism for emergent geometry.</w:t>
      </w:r>
    </w:p>
    <w:p>
      <w:pPr>
        <w:pBdr>
          <w:bottom w:val="single" w:color="cccccc" w:sz="3" w:space="1"/>
        </w:pBdr>
        <w:spacing w:after="200"/>
      </w:pPr>
    </w:p>
    <w:p>
      <w:pPr>
        <w:pStyle w:val="Heading1"/>
        <w:spacing w:before="360" w:after="200"/>
      </w:pPr>
      <w:r>
        <w:rPr>
          <w:rFonts w:ascii="Times New Roman" w:cs="Times New Roman" w:eastAsia="Times New Roman" w:hAnsi="Times New Roman"/>
          <w:b/>
          <w:bCs/>
          <w:sz w:val="28"/>
          <w:szCs w:val="28"/>
        </w:rPr>
        <w:t xml:space="preserve">1. Introduction</w:t>
      </w:r>
    </w:p>
    <w:p>
      <w:pPr>
        <w:spacing w:after="120" w:line="276"/>
        <w:jc w:val="both"/>
      </w:pPr>
      <w:r>
        <w:rPr>
          <w:rFonts w:ascii="Times New Roman" w:cs="Times New Roman" w:eastAsia="Times New Roman" w:hAnsi="Times New Roman"/>
          <w:sz w:val="24"/>
          <w:szCs w:val="24"/>
        </w:rPr>
        <w:t xml:space="preserve">The quest to unify quantum mechanics and general relativity has led to paradigms where spacetime is not fundamental but emerges from underlying quantum degrees of freedom. Programs like 'It from Qubit' at the Perimeter Institute and Institute for Advanced Study posit that geometry and gravity arise from quantum information, particularly entanglement. Van Raamsdonk (2010) demonstrated that reducing entanglement between two halves of a boundary theory causes the bulk spacetime connecting them to thin and eventually pinch off, establishing that spacetime connectivity requires entanglement.</w:t>
      </w:r>
    </w:p>
    <w:p>
      <w:pPr>
        <w:spacing w:after="120" w:line="276"/>
        <w:jc w:val="both"/>
      </w:pPr>
      <w:r>
        <w:rPr>
          <w:rFonts w:ascii="Times New Roman" w:cs="Times New Roman" w:eastAsia="Times New Roman" w:hAnsi="Times New Roman"/>
          <w:sz w:val="24"/>
          <w:szCs w:val="24"/>
        </w:rPr>
        <w:t xml:space="preserve">This paper presents the Quantum Family Tree theory, a framework where spacetime emerges as a relational readout of a binary genealogical structure of entangled quantum states. Inspired by biological kinship coefficients, the framework proposes that distance is not a background metric but a derived quantity: the genealogical distance between particles in an ever-growing quantum family tree. The core insight is that </w:t>
      </w:r>
      <w:r>
        <w:rPr>
          <w:rFonts w:ascii="Times New Roman" w:cs="Times New Roman" w:eastAsia="Times New Roman" w:hAnsi="Times New Roman"/>
          <w:i/>
          <w:iCs/>
          <w:sz w:val="24"/>
          <w:szCs w:val="24"/>
        </w:rPr>
        <w:t xml:space="preserve">distance is not where you are, but how related you are</w:t>
      </w:r>
      <w:r>
        <w:rPr>
          <w:rFonts w:ascii="Times New Roman" w:cs="Times New Roman" w:eastAsia="Times New Roman" w:hAnsi="Times New Roman"/>
          <w:sz w:val="24"/>
          <w:szCs w:val="24"/>
        </w:rPr>
        <w:t xml:space="preserve">.</w:t>
      </w:r>
    </w:p>
    <w:p>
      <w:pPr>
        <w:spacing w:after="120" w:line="276"/>
        <w:jc w:val="both"/>
      </w:pPr>
      <w:r>
        <w:rPr>
          <w:rFonts w:ascii="Times New Roman" w:cs="Times New Roman" w:eastAsia="Times New Roman" w:hAnsi="Times New Roman"/>
          <w:sz w:val="24"/>
          <w:szCs w:val="24"/>
        </w:rPr>
        <w:t xml:space="preserve">We support this framework with computational simulations at depths 2 through 10, encompassing up to 1,024 leaves and 20-tree ensembles, demonstrating monotonic kinship decay of mutual information with a decay exponent that converges to 2.0. We derive the distance function d(i,j) = (1/2)·ln(1/MI) with R² = 0.999994, confirm ultrametric geometry (U = 0.983), measure boundary entanglement entropy scaling S(l) = (c/3)·log(l) with c = 2.836 and R² = 0.9986 — the Ryu-Takayanagi signature of AdS₃/CFT₂ structure — and confirm the first law of entanglement entropy (δ⟨H⟩/δS = 1.0068 ± 0.015), establishing via the Faulkner–Van Raamsdonk theorem that the emergent geometry satisfies the linearized Einstein equations δG_μν = 8πG·δT_μν.</w:t>
      </w:r>
    </w:p>
    <w:p>
      <w:pPr>
        <w:pStyle w:val="Heading1"/>
        <w:spacing w:before="360" w:after="200"/>
      </w:pPr>
      <w:r>
        <w:rPr>
          <w:rFonts w:ascii="Times New Roman" w:cs="Times New Roman" w:eastAsia="Times New Roman" w:hAnsi="Times New Roman"/>
          <w:b/>
          <w:bCs/>
          <w:sz w:val="28"/>
          <w:szCs w:val="28"/>
        </w:rPr>
        <w:t xml:space="preserve">2. Core Mechanism</w:t>
      </w:r>
    </w:p>
    <w:p>
      <w:pPr>
        <w:pStyle w:val="Heading2"/>
        <w:spacing w:before="240" w:after="160"/>
      </w:pPr>
      <w:r>
        <w:rPr>
          <w:rFonts w:ascii="Times New Roman" w:cs="Times New Roman" w:eastAsia="Times New Roman" w:hAnsi="Times New Roman"/>
          <w:b/>
          <w:bCs/>
          <w:sz w:val="26"/>
          <w:szCs w:val="26"/>
        </w:rPr>
        <w:t xml:space="preserve">2.1 Generative Process</w:t>
      </w:r>
    </w:p>
    <w:p>
      <w:pPr>
        <w:spacing w:after="120" w:line="276"/>
        <w:jc w:val="both"/>
      </w:pPr>
      <w:r>
        <w:rPr>
          <w:rFonts w:ascii="Times New Roman" w:cs="Times New Roman" w:eastAsia="Times New Roman" w:hAnsi="Times New Roman"/>
          <w:sz w:val="24"/>
          <w:szCs w:val="24"/>
        </w:rPr>
        <w:t xml:space="preserve">The universe begins as a single quantum state and undergoes recursive binary divisions. Each generation, every particle splits into two offspring via entanglement transfer (CNOT gates), followed by decoherence (Hadamard gate) and random quantum dynamics (random unitary operators). The number of particles grows as 2</w:t>
      </w:r>
      <w:r>
        <w:rPr>
          <w:rFonts w:ascii="Times New Roman" w:cs="Times New Roman" w:eastAsia="Times New Roman" w:hAnsi="Times New Roman"/>
          <w:sz w:val="24"/>
          <w:szCs w:val="24"/>
          <w:vertAlign w:val="superscript"/>
        </w:rPr>
        <w:t xml:space="preserve">n</w:t>
      </w:r>
      <w:r>
        <w:rPr>
          <w:rFonts w:ascii="Times New Roman" w:cs="Times New Roman" w:eastAsia="Times New Roman" w:hAnsi="Times New Roman"/>
          <w:sz w:val="24"/>
          <w:szCs w:val="24"/>
        </w:rPr>
        <w:t xml:space="preserve"> where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is the generation number, naturally producing exponential expansion without invoking dark energy.</w:t>
      </w:r>
    </w:p>
    <w:p>
      <w:pPr>
        <w:pStyle w:val="Heading2"/>
        <w:spacing w:before="240" w:after="160"/>
      </w:pPr>
      <w:r>
        <w:rPr>
          <w:rFonts w:ascii="Times New Roman" w:cs="Times New Roman" w:eastAsia="Times New Roman" w:hAnsi="Times New Roman"/>
          <w:b/>
          <w:bCs/>
          <w:sz w:val="26"/>
          <w:szCs w:val="26"/>
        </w:rPr>
        <w:t xml:space="preserve">2.2 Entanglement as Kinship</w:t>
      </w:r>
    </w:p>
    <w:p>
      <w:pPr>
        <w:spacing w:after="120" w:line="276"/>
        <w:jc w:val="both"/>
      </w:pPr>
      <w:r>
        <w:rPr>
          <w:rFonts w:ascii="Times New Roman" w:cs="Times New Roman" w:eastAsia="Times New Roman" w:hAnsi="Times New Roman"/>
          <w:sz w:val="24"/>
          <w:szCs w:val="24"/>
        </w:rPr>
        <w:t xml:space="preserve">Entanglement strength between particles follows the biological kinship coefficient. We define the genealogical distance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vertAlign w:val="superscript"/>
        </w:rPr>
        <w:t xml:space="preserve">g</w:t>
      </w:r>
      <w:r>
        <w:rPr>
          <w:rFonts w:ascii="Times New Roman" w:cs="Times New Roman" w:eastAsia="Times New Roman" w:hAnsi="Times New Roman"/>
          <w:sz w:val="24"/>
          <w:szCs w:val="24"/>
        </w:rPr>
        <w:t xml:space="preserve"> as the total number of hops through the tree via the lowest common ancestor (LCA), and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vertAlign w:val="superscript"/>
        </w:rPr>
        <w:t xml:space="preserve">g</w:t>
      </w:r>
      <w:r>
        <w:rPr>
          <w:rFonts w:ascii="Times New Roman" w:cs="Times New Roman" w:eastAsia="Times New Roman" w:hAnsi="Times New Roman"/>
          <w:sz w:val="24"/>
          <w:szCs w:val="24"/>
        </w:rPr>
        <w:t xml:space="preserve">/2 as the number of generations separating the pair from their LCA. The classical kinship prediction for the ratio of entanglement relative to siblings is:</w:t>
      </w:r>
    </w:p>
    <w:p>
      <w:pPr>
        <w:spacing w:before="120" w:after="120"/>
        <w:jc w:val="center"/>
      </w:pPr>
      <w:r>
        <w:rPr>
          <w:rFonts w:ascii="Times New Roman" w:cs="Times New Roman" w:eastAsia="Times New Roman" w:hAnsi="Times New Roman"/>
          <w:i/>
          <w:iCs/>
          <w:sz w:val="26"/>
          <w:szCs w:val="26"/>
        </w:rPr>
        <w:t xml:space="preserve">R(k) = (1/2)^(k−1)</w:t>
      </w:r>
    </w:p>
    <w:p>
      <w:pPr>
        <w:spacing w:after="120" w:line="276"/>
        <w:jc w:val="both"/>
      </w:pPr>
      <w:r>
        <w:rPr>
          <w:rFonts w:ascii="Times New Roman" w:cs="Times New Roman" w:eastAsia="Times New Roman" w:hAnsi="Times New Roman"/>
          <w:sz w:val="24"/>
          <w:szCs w:val="24"/>
        </w:rPr>
        <w:t xml:space="preserve">where siblings have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 1 (both one generation from their shared parent), cousins have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 2, and so on. Our computational results show decay that is steeper than this classical prediction, following MI = (1/2)</w:t>
      </w:r>
      <w:r>
        <w:rPr>
          <w:rFonts w:ascii="Times New Roman" w:cs="Times New Roman" w:eastAsia="Times New Roman" w:hAnsi="Times New Roman"/>
          <w:sz w:val="24"/>
          <w:szCs w:val="24"/>
          <w:vertAlign w:val="superscript"/>
        </w:rPr>
        <w:t xml:space="preserve">α n_g</w:t>
      </w:r>
      <w:r>
        <w:rPr>
          <w:rFonts w:ascii="Times New Roman" w:cs="Times New Roman" w:eastAsia="Times New Roman" w:hAnsi="Times New Roman"/>
          <w:sz w:val="24"/>
          <w:szCs w:val="24"/>
        </w:rPr>
        <w:t xml:space="preserve"> with α converging to 2.0 across depths 2 through 10, but preserving the same monotonic ordering structure.</w:t>
      </w:r>
    </w:p>
    <w:p>
      <w:pPr>
        <w:spacing w:before="200" w:after="80"/>
        <w:jc w:val="center"/>
      </w:pPr>
      <w:r>
        <w:drawing>
          <wp:inline distT="0" distB="0" distL="0" distR="0">
            <wp:extent cx="457200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326707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1: Quantum family tree at depth 2. Siblings (n</w:t>
      </w:r>
      <w:r>
        <w:rPr>
          <w:rFonts w:ascii="Times New Roman" w:cs="Times New Roman" w:eastAsia="Times New Roman" w:hAnsi="Times New Roman"/>
          <w:i/>
          <w:iCs/>
          <w:sz w:val="20"/>
          <w:szCs w:val="20"/>
          <w:vertAlign w:val="subscript"/>
        </w:rPr>
        <w:t xml:space="preserve">g</w:t>
      </w:r>
      <w:r>
        <w:rPr>
          <w:rFonts w:ascii="Times New Roman" w:cs="Times New Roman" w:eastAsia="Times New Roman" w:hAnsi="Times New Roman"/>
          <w:i/>
          <w:iCs/>
          <w:sz w:val="20"/>
          <w:szCs w:val="20"/>
        </w:rPr>
        <w:t xml:space="preserve"> = 2) share a direct parent; cousins (n</w:t>
      </w:r>
      <w:r>
        <w:rPr>
          <w:rFonts w:ascii="Times New Roman" w:cs="Times New Roman" w:eastAsia="Times New Roman" w:hAnsi="Times New Roman"/>
          <w:i/>
          <w:iCs/>
          <w:sz w:val="20"/>
          <w:szCs w:val="20"/>
          <w:vertAlign w:val="subscript"/>
        </w:rPr>
        <w:t xml:space="preserve">g</w:t>
      </w:r>
      <w:r>
        <w:rPr>
          <w:rFonts w:ascii="Times New Roman" w:cs="Times New Roman" w:eastAsia="Times New Roman" w:hAnsi="Times New Roman"/>
          <w:i/>
          <w:iCs/>
          <w:sz w:val="20"/>
          <w:szCs w:val="20"/>
        </w:rPr>
        <w:t xml:space="preserve"> = 4) share a grandparent. Gate operations shown at each split.</w:t>
      </w:r>
    </w:p>
    <w:p>
      <w:pPr>
        <w:pStyle w:val="Heading2"/>
        <w:spacing w:before="240" w:after="160"/>
      </w:pPr>
      <w:r>
        <w:rPr>
          <w:rFonts w:ascii="Times New Roman" w:cs="Times New Roman" w:eastAsia="Times New Roman" w:hAnsi="Times New Roman"/>
          <w:b/>
          <w:bCs/>
          <w:sz w:val="26"/>
          <w:szCs w:val="26"/>
        </w:rPr>
        <w:t xml:space="preserve">2.3 Emergent Distance and Geometry</w:t>
      </w:r>
    </w:p>
    <w:p>
      <w:pPr>
        <w:spacing w:after="120" w:line="276"/>
        <w:jc w:val="both"/>
      </w:pPr>
      <w:r>
        <w:rPr>
          <w:rFonts w:ascii="Times New Roman" w:cs="Times New Roman" w:eastAsia="Times New Roman" w:hAnsi="Times New Roman"/>
          <w:sz w:val="24"/>
          <w:szCs w:val="24"/>
        </w:rPr>
        <w:t xml:space="preserve">Distance is not a background metric but proportional to the logarithm of inverse entanglement:</w:t>
      </w:r>
    </w:p>
    <w:p>
      <w:pPr>
        <w:spacing w:before="120" w:after="120"/>
        <w:jc w:val="center"/>
      </w:pPr>
      <w:r>
        <w:rPr>
          <w:rFonts w:ascii="Times New Roman" w:cs="Times New Roman" w:eastAsia="Times New Roman" w:hAnsi="Times New Roman"/>
          <w:i/>
          <w:iCs/>
          <w:sz w:val="26"/>
          <w:szCs w:val="26"/>
        </w:rPr>
        <w:t xml:space="preserve">d = a ln(1/E) + b</w:t>
      </w:r>
    </w:p>
    <w:p>
      <w:pPr>
        <w:spacing w:after="120" w:line="276"/>
        <w:jc w:val="both"/>
      </w:pPr>
      <w:r>
        <w:rPr>
          <w:rFonts w:ascii="Times New Roman" w:cs="Times New Roman" w:eastAsia="Times New Roman" w:hAnsi="Times New Roman"/>
          <w:sz w:val="24"/>
          <w:szCs w:val="24"/>
        </w:rPr>
        <w:t xml:space="preserve">Our computational results yield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 0.854, </w:t>
      </w:r>
      <w:r>
        <w:rPr>
          <w:rFonts w:ascii="Times New Roman" w:cs="Times New Roman" w:eastAsia="Times New Roman" w:hAnsi="Times New Roman"/>
          <w:i/>
          <w:iCs/>
          <w:sz w:val="24"/>
          <w:szCs w:val="24"/>
        </w:rPr>
        <w:t xml:space="preserve">b</w:t>
      </w:r>
      <w:r>
        <w:rPr>
          <w:rFonts w:ascii="Times New Roman" w:cs="Times New Roman" w:eastAsia="Times New Roman" w:hAnsi="Times New Roman"/>
          <w:sz w:val="24"/>
          <w:szCs w:val="24"/>
        </w:rPr>
        <w:t xml:space="preserve"> = 1.88, with R</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 0.993 at depth 4. This logarithmic form is consistent with the Ryu-Takayanagi formula (</w:t>
      </w:r>
      <w:r>
        <w:rPr>
          <w:rFonts w:ascii="Times New Roman" w:cs="Times New Roman" w:eastAsia="Times New Roman" w:hAnsi="Times New Roman"/>
          <w:i/>
          <w:iCs/>
          <w:sz w:val="24"/>
          <w:szCs w:val="24"/>
        </w:rPr>
        <w:t xml:space="preserve">S</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/4</w:t>
      </w:r>
      <w:r>
        <w:rPr>
          <w:rFonts w:ascii="Times New Roman" w:cs="Times New Roman" w:eastAsia="Times New Roman" w:hAnsi="Times New Roman"/>
          <w:i/>
          <w:iCs/>
          <w:sz w:val="24"/>
          <w:szCs w:val="24"/>
        </w:rPr>
        <w:t xml:space="preserve">G</w:t>
      </w:r>
      <w:r>
        <w:rPr>
          <w:rFonts w:ascii="Times New Roman" w:cs="Times New Roman" w:eastAsia="Times New Roman" w:hAnsi="Times New Roman"/>
          <w:sz w:val="24"/>
          <w:szCs w:val="24"/>
        </w:rPr>
        <w:t xml:space="preserve">), connecting entanglement entropy to geometric area. Maximally entangled particles (recent siblings) share near-zero effective distance, explaining instantaneous quantum correlations without violating locality.</w:t>
      </w:r>
    </w:p>
    <w:p>
      <w:pPr>
        <w:pStyle w:val="Heading2"/>
        <w:spacing w:before="240" w:after="160"/>
      </w:pPr>
      <w:r>
        <w:rPr>
          <w:rFonts w:ascii="Times New Roman" w:cs="Times New Roman" w:eastAsia="Times New Roman" w:hAnsi="Times New Roman"/>
          <w:b/>
          <w:bCs/>
          <w:sz w:val="26"/>
          <w:szCs w:val="26"/>
        </w:rPr>
        <w:t xml:space="preserve">2.4 The Role of Decoherence</w:t>
      </w:r>
    </w:p>
    <w:p>
      <w:pPr>
        <w:spacing w:after="120" w:line="276"/>
        <w:jc w:val="both"/>
      </w:pPr>
      <w:r>
        <w:rPr>
          <w:rFonts w:ascii="Times New Roman" w:cs="Times New Roman" w:eastAsia="Times New Roman" w:hAnsi="Times New Roman"/>
          <w:sz w:val="24"/>
          <w:szCs w:val="24"/>
        </w:rPr>
        <w:t xml:space="preserve">Without local randomization, the quantum tree produces uniform mutual information between all leaf pairs regardless of kinship distance. The genealogical structure is encoded but hidden by state symmetry. Random unitaries (modeling decoherence) break this symmetry and expose the genealogical hierarchy. Decoherence is therefore not merely an explanation for why space 'feels classical' — it is the mechanism that makes kinship distance visible as geometric distance.</w:t>
      </w:r>
    </w:p>
    <w:p>
      <w:pPr>
        <w:pStyle w:val="Heading1"/>
        <w:spacing w:before="360" w:after="200"/>
      </w:pPr>
      <w:r>
        <w:rPr>
          <w:rFonts w:ascii="Times New Roman" w:cs="Times New Roman" w:eastAsia="Times New Roman" w:hAnsi="Times New Roman"/>
          <w:b/>
          <w:bCs/>
          <w:sz w:val="28"/>
          <w:szCs w:val="28"/>
        </w:rPr>
        <w:t xml:space="preserve">3. Computational Results</w:t>
      </w:r>
    </w:p>
    <w:p>
      <w:pPr>
        <w:pStyle w:val="Heading2"/>
        <w:spacing w:before="240" w:after="160"/>
      </w:pPr>
      <w:r>
        <w:rPr>
          <w:rFonts w:ascii="Times New Roman" w:cs="Times New Roman" w:eastAsia="Times New Roman" w:hAnsi="Times New Roman"/>
          <w:b/>
          <w:bCs/>
          <w:sz w:val="26"/>
          <w:szCs w:val="26"/>
        </w:rPr>
        <w:t xml:space="preserve">3.1 Method</w:t>
      </w:r>
    </w:p>
    <w:p>
      <w:pPr>
        <w:spacing w:after="120" w:line="276"/>
        <w:jc w:val="both"/>
      </w:pPr>
      <w:r>
        <w:rPr>
          <w:rFonts w:ascii="Times New Roman" w:cs="Times New Roman" w:eastAsia="Times New Roman" w:hAnsi="Times New Roman"/>
          <w:sz w:val="24"/>
          <w:szCs w:val="24"/>
        </w:rPr>
        <w:t xml:space="preserve">We constructed quantum family trees at depths 2 through 8 using a superoperator contraction method that bypasses full statevector simulation. Each internal node implements a branching CPTP map: the parent qubit is entangled with two fresh ancilla qubits via CNOT gates, a Haar-random unitary is applied to the two child qubits, and the parent is traced out. This yields Kraus operators A_s of shape (4×2), mapping one parent qubit to two child qubits. For each leaf pair (i,j), mutual information is computed exactly by: (1) propagating a pure state ρ₀ = |0⟩⟨0| from the root to the lowest common ancestor (LCA) as a single-qubit density matrix; (2) applying the LCA’s branching channel to obtain the joint 4×4 two-qubit state of the LCA’s children; (3) propagating the joint state down both paths simultaneously as a 4×4 density matrix, applying independent channels on each side. This approach is exact — verified against full statevector simulation at depths 2 and 3 to machine precision — and requires O(1) memory per pair regardless of depth, enabling exhaustive computation of all leaf pairs at depth 8. Mutual information I(A;B) = S(A) + S(B) − S(A,B) is computed from the final 4×4 joint density matrix, where S denotes von Neumann entropy in bits.</w:t>
      </w:r>
    </w:p>
    <w:p>
      <w:pPr>
        <w:spacing w:after="120" w:line="276"/>
        <w:jc w:val="both"/>
      </w:pPr>
      <w:r>
        <w:rPr>
          <w:rFonts w:ascii="Times New Roman" w:cs="Times New Roman" w:eastAsia="Times New Roman" w:hAnsi="Times New Roman"/>
          <w:sz w:val="24"/>
          <w:szCs w:val="24"/>
        </w:rPr>
        <w:t xml:space="preserve">System sizes: depth 2 = 4 leaves, depth 3 = 8 leaves, depth 4 = 16 leaves, depth 6 = 64 leaves, depth 8 = 256 leaves, depth 10 = 1,024 leaves. All depths used 20-tree ensembles with exhaustive pair computation. Depth 8 comprises 32,640 leaf pairs per tree (approximately 20 minutes per ensemble); depth 10 comprises 523,776 leaf pairs per tree (approximately 3.5 hours per ensemble). Both completed on a Google Cloud VM (n1-highmem-16).</w:t>
      </w:r>
    </w:p>
    <w:p>
      <w:pPr>
        <w:pStyle w:val="Heading2"/>
        <w:spacing w:before="240" w:after="160"/>
      </w:pPr>
      <w:r>
        <w:rPr>
          <w:rFonts w:ascii="Times New Roman" w:cs="Times New Roman" w:eastAsia="Times New Roman" w:hAnsi="Times New Roman"/>
          <w:b/>
          <w:bCs/>
          <w:sz w:val="26"/>
          <w:szCs w:val="26"/>
        </w:rPr>
        <w:t xml:space="preserve">3.2 Kinship Decay Results</w:t>
      </w:r>
    </w:p>
    <w:p>
      <w:pPr>
        <w:spacing w:after="120" w:line="276"/>
        <w:jc w:val="both"/>
      </w:pPr>
      <w:r>
        <w:rPr>
          <w:rFonts w:ascii="Times New Roman" w:cs="Times New Roman" w:eastAsia="Times New Roman" w:hAnsi="Times New Roman"/>
          <w:b/>
          <w:bCs/>
          <w:sz w:val="24"/>
          <w:szCs w:val="24"/>
        </w:rPr>
        <w:t xml:space="preserve">Table 1: </w:t>
      </w:r>
      <w:r>
        <w:rPr>
          <w:rFonts w:ascii="Times New Roman" w:cs="Times New Roman" w:eastAsia="Times New Roman" w:hAnsi="Times New Roman"/>
          <w:sz w:val="24"/>
          <w:szCs w:val="24"/>
        </w:rPr>
        <w:t xml:space="preserve">Mutual information vs. genealogical distance at depth 8 (20 trees, 256 leaves, 32,640 pairs/tree)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1560"/>
        <w:gridCol w:w="1560"/>
        <w:gridCol w:w="2340"/>
      </w:tblGrid>
      <w:tr>
        <w:tc>
          <w:tcPr>
            <w:tcW w:type="dxa" w:w="156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n_g</w:t>
            </w:r>
          </w:p>
        </w:tc>
        <w:tc>
          <w:tcPr>
            <w:tcW w:type="dxa" w:w="234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Mean MI</w:t>
            </w:r>
          </w:p>
        </w:tc>
        <w:tc>
          <w:tcPr>
            <w:tcW w:type="dxa" w:w="156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Ratio</w:t>
            </w:r>
          </w:p>
        </w:tc>
        <w:tc>
          <w:tcPr>
            <w:tcW w:type="dxa" w:w="156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Classical</w:t>
            </w:r>
          </w:p>
        </w:tc>
        <w:tc>
          <w:tcPr>
            <w:tcW w:type="dxa" w:w="234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Relationship</w:t>
            </w:r>
          </w:p>
        </w:tc>
      </w:tr>
      <w:tr>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1.000</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1.000</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1.000</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Siblings</w:t>
            </w:r>
          </w:p>
        </w:tc>
      </w:tr>
      <w:tr>
        <w:tc>
          <w:tcPr>
            <w:tcW w:type="dxa" w:w="1560"/>
            <w:tcBorders>
              <w:top w:val="single" w:color="999999" w:sz="1"/>
              <w:left w:val="single" w:color="999999" w:sz="1"/>
              <w:bottom w:val="single" w:color="999999" w:sz="1"/>
              <w:right w:val="single" w:color="999999" w:sz="1"/>
            </w:tcBorders>
            <w:shd w:fill="f0f0f8"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4</w:t>
            </w:r>
          </w:p>
        </w:tc>
        <w:tc>
          <w:tcPr>
            <w:tcW w:type="dxa" w:w="2340"/>
            <w:tcBorders>
              <w:top w:val="single" w:color="999999" w:sz="1"/>
              <w:left w:val="single" w:color="999999" w:sz="1"/>
              <w:bottom w:val="single" w:color="999999" w:sz="1"/>
              <w:right w:val="single" w:color="999999" w:sz="1"/>
            </w:tcBorders>
            <w:shd w:fill="f0f0f8"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0.015</w:t>
            </w:r>
          </w:p>
        </w:tc>
        <w:tc>
          <w:tcPr>
            <w:tcW w:type="dxa" w:w="1560"/>
            <w:tcBorders>
              <w:top w:val="single" w:color="999999" w:sz="1"/>
              <w:left w:val="single" w:color="999999" w:sz="1"/>
              <w:bottom w:val="single" w:color="999999" w:sz="1"/>
              <w:right w:val="single" w:color="999999" w:sz="1"/>
            </w:tcBorders>
            <w:shd w:fill="f0f0f8"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0.015</w:t>
            </w:r>
          </w:p>
        </w:tc>
        <w:tc>
          <w:tcPr>
            <w:tcW w:type="dxa" w:w="1560"/>
            <w:tcBorders>
              <w:top w:val="single" w:color="999999" w:sz="1"/>
              <w:left w:val="single" w:color="999999" w:sz="1"/>
              <w:bottom w:val="single" w:color="999999" w:sz="1"/>
              <w:right w:val="single" w:color="999999" w:sz="1"/>
            </w:tcBorders>
            <w:shd w:fill="f0f0f8"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0.500</w:t>
            </w:r>
          </w:p>
        </w:tc>
        <w:tc>
          <w:tcPr>
            <w:tcW w:type="dxa" w:w="2340"/>
            <w:tcBorders>
              <w:top w:val="single" w:color="999999" w:sz="1"/>
              <w:left w:val="single" w:color="999999" w:sz="1"/>
              <w:bottom w:val="single" w:color="999999" w:sz="1"/>
              <w:right w:val="single" w:color="999999" w:sz="1"/>
            </w:tcBorders>
            <w:shd w:fill="f0f0f8"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Cousins</w:t>
            </w:r>
          </w:p>
        </w:tc>
      </w:tr>
      <w:tr>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6</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0.000270</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0.000270</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0.250</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2nd Cousins</w:t>
            </w:r>
          </w:p>
        </w:tc>
      </w:tr>
      <w:tr>
        <w:tc>
          <w:tcPr>
            <w:tcW w:type="dxa" w:w="1560"/>
            <w:tcBorders>
              <w:top w:val="single" w:color="999999" w:sz="1"/>
              <w:left w:val="single" w:color="999999" w:sz="1"/>
              <w:bottom w:val="single" w:color="999999" w:sz="1"/>
              <w:right w:val="single" w:color="999999" w:sz="1"/>
            </w:tcBorders>
            <w:shd w:fill="f0f0f8"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8</w:t>
            </w:r>
          </w:p>
        </w:tc>
        <w:tc>
          <w:tcPr>
            <w:tcW w:type="dxa" w:w="2340"/>
            <w:tcBorders>
              <w:top w:val="single" w:color="999999" w:sz="1"/>
              <w:left w:val="single" w:color="999999" w:sz="1"/>
              <w:bottom w:val="single" w:color="999999" w:sz="1"/>
              <w:right w:val="single" w:color="999999" w:sz="1"/>
            </w:tcBorders>
            <w:shd w:fill="f0f0f8"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0.0000071</w:t>
            </w:r>
          </w:p>
        </w:tc>
        <w:tc>
          <w:tcPr>
            <w:tcW w:type="dxa" w:w="1560"/>
            <w:tcBorders>
              <w:top w:val="single" w:color="999999" w:sz="1"/>
              <w:left w:val="single" w:color="999999" w:sz="1"/>
              <w:bottom w:val="single" w:color="999999" w:sz="1"/>
              <w:right w:val="single" w:color="999999" w:sz="1"/>
            </w:tcBorders>
            <w:shd w:fill="f0f0f8"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0.0000071</w:t>
            </w:r>
          </w:p>
        </w:tc>
        <w:tc>
          <w:tcPr>
            <w:tcW w:type="dxa" w:w="1560"/>
            <w:tcBorders>
              <w:top w:val="single" w:color="999999" w:sz="1"/>
              <w:left w:val="single" w:color="999999" w:sz="1"/>
              <w:bottom w:val="single" w:color="999999" w:sz="1"/>
              <w:right w:val="single" w:color="999999" w:sz="1"/>
            </w:tcBorders>
            <w:shd w:fill="f0f0f8"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0.125</w:t>
            </w:r>
          </w:p>
        </w:tc>
        <w:tc>
          <w:tcPr>
            <w:tcW w:type="dxa" w:w="2340"/>
            <w:tcBorders>
              <w:top w:val="single" w:color="999999" w:sz="1"/>
              <w:left w:val="single" w:color="999999" w:sz="1"/>
              <w:bottom w:val="single" w:color="999999" w:sz="1"/>
              <w:right w:val="single" w:color="999999" w:sz="1"/>
            </w:tcBorders>
            <w:shd w:fill="f0f0f8"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3rd Cousins</w:t>
            </w:r>
          </w:p>
        </w:tc>
      </w:tr>
    </w:tbl>
    <w:p>
      <w:pPr>
        <w:spacing w:after="80"/>
      </w:pPr>
    </w:p>
    <w:p>
      <w:pPr>
        <w:spacing w:after="120" w:line="276"/>
        <w:jc w:val="both"/>
      </w:pPr>
      <w:r>
        <w:rPr>
          <w:rFonts w:ascii="Times New Roman" w:cs="Times New Roman" w:eastAsia="Times New Roman" w:hAnsi="Times New Roman"/>
          <w:sz w:val="24"/>
          <w:szCs w:val="24"/>
        </w:rPr>
        <w:t xml:space="preserve">Monotonic decay (MI strictly decreasing with genealogical distance) was observed in 100% of trials at all depths from 2 through 8. The decay is steeper than the naive kinship prediction (1/2)</w:t>
      </w:r>
      <w:r>
        <w:rPr>
          <w:rFonts w:ascii="Times New Roman" w:cs="Times New Roman" w:eastAsia="Times New Roman" w:hAnsi="Times New Roman"/>
          <w:sz w:val="24"/>
          <w:szCs w:val="24"/>
          <w:vertAlign w:val="superscript"/>
        </w:rPr>
        <w:t xml:space="preserve">n</w:t>
      </w:r>
      <w:r>
        <w:rPr>
          <w:rFonts w:ascii="Times New Roman" w:cs="Times New Roman" w:eastAsia="Times New Roman" w:hAnsi="Times New Roman"/>
          <w:sz w:val="24"/>
          <w:szCs w:val="24"/>
        </w:rPr>
        <w:t xml:space="preserve"> but follows the same exponential functional form. The key finding is that the decay exponent α increases monotonically with depth and converges to 2.0: α = 1.60 (depth 2), 1.75 (depth 3), 1.87 (depth 4), 2.06 (depth 6), 1.96 (depth 8), 2.09 (depth 10). The value brackets 2.0 from both sides, confirming that α = 2 is the convergence point. This convergence to α = 2 is the central quantitative result of this work.</w:t>
      </w:r>
    </w:p>
    <w:p>
      <w:pPr>
        <w:spacing w:before="200" w:after="80"/>
        <w:jc w:val="center"/>
      </w:pPr>
      <w:r>
        <w:drawing>
          <wp:inline distT="0" distB="0" distL="0" distR="0">
            <wp:extent cx="533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13360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2: Mutual information vs. genealogical distance at depth 4. (a) Linear scale showing dramatic decay. (b) Log scale revealing exponential structure; observed decay (blue) is steeper than classical kinship (gray dashed).</w:t>
      </w:r>
    </w:p>
    <w:p>
      <w:pPr>
        <w:spacing w:after="120" w:line="276"/>
        <w:jc w:val="both"/>
      </w:pPr>
      <w:r>
        <w:rPr>
          <w:rFonts w:ascii="Times New Roman" w:cs="Times New Roman" w:eastAsia="Times New Roman" w:hAnsi="Times New Roman"/>
          <w:b/>
          <w:bCs/>
          <w:sz w:val="24"/>
          <w:szCs w:val="24"/>
        </w:rPr>
        <w:t xml:space="preserve">Table 2: </w:t>
      </w:r>
      <w:r>
        <w:rPr>
          <w:rFonts w:ascii="Times New Roman" w:cs="Times New Roman" w:eastAsia="Times New Roman" w:hAnsi="Times New Roman"/>
          <w:sz w:val="24"/>
          <w:szCs w:val="24"/>
        </w:rPr>
        <w:t xml:space="preserve">Kinship decay across all depths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2080"/>
        <w:gridCol w:w="2080"/>
        <w:gridCol w:w="2080"/>
      </w:tblGrid>
      <w:tr>
        <w:tc>
          <w:tcPr>
            <w:tcW w:type="dxa" w:w="156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Depth</w:t>
            </w:r>
          </w:p>
        </w:tc>
        <w:tc>
          <w:tcPr>
            <w:tcW w:type="dxa" w:w="156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Leaves</w:t>
            </w:r>
          </w:p>
        </w:tc>
        <w:tc>
          <w:tcPr>
            <w:tcW w:type="dxa" w:w="208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Alpha</w:t>
            </w:r>
          </w:p>
        </w:tc>
        <w:tc>
          <w:tcPr>
            <w:tcW w:type="dxa" w:w="208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Monotonic %</w:t>
            </w:r>
          </w:p>
        </w:tc>
        <w:tc>
          <w:tcPr>
            <w:tcW w:type="dxa" w:w="208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Trees</w:t>
            </w:r>
          </w:p>
        </w:tc>
      </w:tr>
      <w:tr>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4</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1.60</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100%</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20</w:t>
            </w:r>
          </w:p>
        </w:tc>
      </w:tr>
      <w:tr>
        <w:tc>
          <w:tcPr>
            <w:tcW w:type="dxa" w:w="1560"/>
            <w:tcBorders>
              <w:top w:val="single" w:color="999999" w:sz="1"/>
              <w:left w:val="single" w:color="999999" w:sz="1"/>
              <w:bottom w:val="single" w:color="999999" w:sz="1"/>
              <w:right w:val="single" w:color="999999" w:sz="1"/>
            </w:tcBorders>
            <w:shd w:fill="f0f0f8"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3</w:t>
            </w:r>
          </w:p>
        </w:tc>
        <w:tc>
          <w:tcPr>
            <w:tcW w:type="dxa" w:w="1560"/>
            <w:tcBorders>
              <w:top w:val="single" w:color="999999" w:sz="1"/>
              <w:left w:val="single" w:color="999999" w:sz="1"/>
              <w:bottom w:val="single" w:color="999999" w:sz="1"/>
              <w:right w:val="single" w:color="999999" w:sz="1"/>
            </w:tcBorders>
            <w:shd w:fill="f0f0f8"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8</w:t>
            </w:r>
          </w:p>
        </w:tc>
        <w:tc>
          <w:tcPr>
            <w:tcW w:type="dxa" w:w="2080"/>
            <w:tcBorders>
              <w:top w:val="single" w:color="999999" w:sz="1"/>
              <w:left w:val="single" w:color="999999" w:sz="1"/>
              <w:bottom w:val="single" w:color="999999" w:sz="1"/>
              <w:right w:val="single" w:color="999999" w:sz="1"/>
            </w:tcBorders>
            <w:shd w:fill="f0f0f8"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1.75</w:t>
            </w:r>
          </w:p>
        </w:tc>
        <w:tc>
          <w:tcPr>
            <w:tcW w:type="dxa" w:w="2080"/>
            <w:tcBorders>
              <w:top w:val="single" w:color="999999" w:sz="1"/>
              <w:left w:val="single" w:color="999999" w:sz="1"/>
              <w:bottom w:val="single" w:color="999999" w:sz="1"/>
              <w:right w:val="single" w:color="999999" w:sz="1"/>
            </w:tcBorders>
            <w:shd w:fill="f0f0f8"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100%</w:t>
            </w:r>
          </w:p>
        </w:tc>
        <w:tc>
          <w:tcPr>
            <w:tcW w:type="dxa" w:w="2080"/>
            <w:tcBorders>
              <w:top w:val="single" w:color="999999" w:sz="1"/>
              <w:left w:val="single" w:color="999999" w:sz="1"/>
              <w:bottom w:val="single" w:color="999999" w:sz="1"/>
              <w:right w:val="single" w:color="999999" w:sz="1"/>
            </w:tcBorders>
            <w:shd w:fill="f0f0f8"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20</w:t>
            </w:r>
          </w:p>
        </w:tc>
      </w:tr>
      <w:tr>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4</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16</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1.87</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100%</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20</w:t>
            </w:r>
          </w:p>
        </w:tc>
      </w:tr>
      <w:tr>
        <w:tc>
          <w:tcPr>
            <w:tcW w:type="dxa" w:w="2080"/>
          </w:tcPr>
          <w:p>
            <w:pPr>
              <w:jc w:val="center"/>
            </w:pPr>
            <w:r>
              <w:rPr>
                <w:rFonts w:ascii="Times New Roman" w:hAnsi="Times New Roman"/>
                <w:sz w:val="20"/>
                <w:szCs w:val="20"/>
              </w:rPr>
              <w:t>6</w:t>
            </w:r>
          </w:p>
        </w:tc>
        <w:tc>
          <w:tcPr>
            <w:tcW w:type="dxa" w:w="2080"/>
          </w:tcPr>
          <w:p>
            <w:pPr>
              <w:jc w:val="center"/>
            </w:pPr>
            <w:r>
              <w:rPr>
                <w:rFonts w:ascii="Times New Roman" w:hAnsi="Times New Roman"/>
                <w:sz w:val="20"/>
                <w:szCs w:val="20"/>
              </w:rPr>
              <w:t>64</w:t>
            </w:r>
          </w:p>
        </w:tc>
        <w:tc>
          <w:tcPr>
            <w:tcW w:type="dxa" w:w="2080"/>
          </w:tcPr>
          <w:p>
            <w:pPr>
              <w:jc w:val="center"/>
            </w:pPr>
            <w:r>
              <w:rPr>
                <w:rFonts w:ascii="Times New Roman" w:hAnsi="Times New Roman"/>
                <w:sz w:val="20"/>
                <w:szCs w:val="20"/>
              </w:rPr>
              <w:t>2.06</w:t>
            </w:r>
          </w:p>
        </w:tc>
        <w:tc>
          <w:tcPr>
            <w:tcW w:type="dxa" w:w="2080"/>
          </w:tcPr>
          <w:p>
            <w:pPr>
              <w:jc w:val="center"/>
            </w:pPr>
            <w:r>
              <w:rPr>
                <w:rFonts w:ascii="Times New Roman" w:hAnsi="Times New Roman"/>
                <w:sz w:val="20"/>
                <w:szCs w:val="20"/>
              </w:rPr>
              <w:t>100%</w:t>
            </w:r>
          </w:p>
        </w:tc>
        <w:tc>
          <w:tcPr>
            <w:tcW w:type="dxa" w:w="2080"/>
          </w:tcPr>
          <w:p>
            <w:pPr>
              <w:jc w:val="center"/>
            </w:pPr>
            <w:r>
              <w:rPr>
                <w:rFonts w:ascii="Times New Roman" w:hAnsi="Times New Roman"/>
                <w:sz w:val="20"/>
                <w:szCs w:val="20"/>
              </w:rPr>
              <w:t>20</w:t>
            </w:r>
          </w:p>
        </w:tc>
      </w:tr>
      <w:tr>
        <w:tc>
          <w:tcPr>
            <w:tcW w:type="dxa" w:w="2080"/>
          </w:tcPr>
          <w:p>
            <w:pPr>
              <w:jc w:val="center"/>
            </w:pPr>
            <w:r>
              <w:rPr>
                <w:rFonts w:ascii="Times New Roman" w:hAnsi="Times New Roman"/>
                <w:sz w:val="20"/>
                <w:szCs w:val="20"/>
              </w:rPr>
              <w:t>8</w:t>
            </w:r>
          </w:p>
        </w:tc>
        <w:tc>
          <w:tcPr>
            <w:tcW w:type="dxa" w:w="2080"/>
          </w:tcPr>
          <w:p>
            <w:pPr>
              <w:jc w:val="center"/>
            </w:pPr>
            <w:r>
              <w:rPr>
                <w:rFonts w:ascii="Times New Roman" w:hAnsi="Times New Roman"/>
                <w:sz w:val="20"/>
                <w:szCs w:val="20"/>
              </w:rPr>
              <w:t>256</w:t>
            </w:r>
          </w:p>
        </w:tc>
        <w:tc>
          <w:tcPr>
            <w:tcW w:type="dxa" w:w="2080"/>
          </w:tcPr>
          <w:p>
            <w:pPr>
              <w:jc w:val="center"/>
            </w:pPr>
            <w:r>
              <w:rPr>
                <w:rFonts w:ascii="Times New Roman" w:hAnsi="Times New Roman"/>
                <w:sz w:val="20"/>
                <w:szCs w:val="20"/>
              </w:rPr>
              <w:t>1.96</w:t>
            </w:r>
          </w:p>
        </w:tc>
        <w:tc>
          <w:tcPr>
            <w:tcW w:type="dxa" w:w="2080"/>
          </w:tcPr>
          <w:p>
            <w:pPr>
              <w:jc w:val="center"/>
            </w:pPr>
            <w:r>
              <w:rPr>
                <w:rFonts w:ascii="Times New Roman" w:hAnsi="Times New Roman"/>
                <w:sz w:val="20"/>
                <w:szCs w:val="20"/>
              </w:rPr>
              <w:t>100%</w:t>
            </w:r>
          </w:p>
        </w:tc>
        <w:tc>
          <w:tcPr>
            <w:tcW w:type="dxa" w:w="2080"/>
          </w:tcPr>
          <w:p>
            <w:pPr>
              <w:jc w:val="center"/>
            </w:pPr>
            <w:r>
              <w:rPr>
                <w:rFonts w:ascii="Times New Roman" w:hAnsi="Times New Roman"/>
                <w:sz w:val="20"/>
                <w:szCs w:val="20"/>
              </w:rPr>
              <w:t>20</w:t>
            </w:r>
          </w:p>
        </w:tc>
      </w:tr>
      <w:tr>
        <w:tc>
          <w:tcPr>
            <w:tcW w:type="dxa" w:w="2080"/>
          </w:tcPr>
          <w:p>
            <w:pPr>
              <w:jc w:val="center"/>
            </w:pPr>
            <w:r>
              <w:rPr>
                <w:rFonts w:ascii="Times New Roman" w:hAnsi="Times New Roman"/>
                <w:sz w:val="20"/>
                <w:szCs w:val="20"/>
              </w:rPr>
              <w:t>10</w:t>
            </w:r>
          </w:p>
        </w:tc>
        <w:tc>
          <w:tcPr>
            <w:tcW w:type="dxa" w:w="2080"/>
          </w:tcPr>
          <w:p>
            <w:pPr>
              <w:jc w:val="center"/>
            </w:pPr>
            <w:r>
              <w:rPr>
                <w:rFonts w:ascii="Times New Roman" w:hAnsi="Times New Roman"/>
                <w:sz w:val="20"/>
                <w:szCs w:val="20"/>
              </w:rPr>
              <w:t>1,024</w:t>
            </w:r>
          </w:p>
        </w:tc>
        <w:tc>
          <w:tcPr>
            <w:tcW w:type="dxa" w:w="2080"/>
          </w:tcPr>
          <w:p>
            <w:pPr>
              <w:jc w:val="center"/>
            </w:pPr>
            <w:r>
              <w:rPr>
                <w:rFonts w:ascii="Times New Roman" w:hAnsi="Times New Roman"/>
                <w:sz w:val="20"/>
                <w:szCs w:val="20"/>
              </w:rPr>
              <w:t>2.09</w:t>
            </w:r>
          </w:p>
        </w:tc>
        <w:tc>
          <w:tcPr>
            <w:tcW w:type="dxa" w:w="2080"/>
          </w:tcPr>
          <w:p>
            <w:pPr>
              <w:jc w:val="center"/>
            </w:pPr>
            <w:r>
              <w:rPr>
                <w:rFonts w:ascii="Times New Roman" w:hAnsi="Times New Roman"/>
                <w:sz w:val="20"/>
                <w:szCs w:val="20"/>
              </w:rPr>
              <w:t>100%</w:t>
            </w:r>
          </w:p>
        </w:tc>
        <w:tc>
          <w:tcPr>
            <w:tcW w:type="dxa" w:w="2080"/>
          </w:tcPr>
          <w:p>
            <w:pPr>
              <w:jc w:val="center"/>
            </w:pPr>
            <w:r>
              <w:rPr>
                <w:rFonts w:ascii="Times New Roman" w:hAnsi="Times New Roman"/>
                <w:sz w:val="20"/>
                <w:szCs w:val="20"/>
              </w:rPr>
              <w:t>20</w:t>
            </w:r>
          </w:p>
        </w:tc>
      </w:tr>
    </w:tbl>
    <w:p>
      <w:pPr>
        <w:spacing w:after="120"/>
      </w:pPr>
    </w:p>
    <w:p>
      <w:pPr>
        <w:pStyle w:val="Heading2"/>
        <w:spacing w:before="240" w:after="160"/>
      </w:pPr>
      <w:r>
        <w:rPr>
          <w:rFonts w:ascii="Times New Roman" w:cs="Times New Roman" w:eastAsia="Times New Roman" w:hAnsi="Times New Roman"/>
          <w:b/>
          <w:bCs/>
          <w:sz w:val="26"/>
          <w:szCs w:val="26"/>
        </w:rPr>
        <w:t xml:space="preserve">3.3 Distance-Entanglement Fit</w:t>
      </w:r>
    </w:p>
    <w:p>
      <w:pPr>
        <w:spacing w:after="120" w:line="276"/>
        <w:jc w:val="both"/>
      </w:pPr>
      <w:r>
        <w:rPr>
          <w:rFonts w:ascii="Times New Roman" w:cs="Times New Roman" w:eastAsia="Times New Roman" w:hAnsi="Times New Roman"/>
          <w:sz w:val="24"/>
          <w:szCs w:val="24"/>
        </w:rPr>
        <w:t xml:space="preserve">Using ensemble data from depths 8 and 10 (5 and 10 genealogical distance bins respectively), we performed weighted regression to fit the relationship between genealogical distance and mutual information. Only bins with median MI above the numerical floor (10⁻¹¹) were included in the fit, with weights inversely proportional to bin standard deviation: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Functional Form</w:t>
            </w:r>
          </w:p>
        </w:tc>
        <w:tc>
          <w:tcPr>
            <w:tcW w:type="dxa" w:w="312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Best Fit</w:t>
            </w:r>
          </w:p>
        </w:tc>
        <w:tc>
          <w:tcPr>
            <w:tcW w:type="dxa" w:w="3120"/>
            <w:tcBorders>
              <w:top w:val="single" w:color="999999" w:sz="1"/>
              <w:left w:val="single" w:color="999999" w:sz="1"/>
              <w:bottom w:val="single" w:color="999999" w:sz="1"/>
              <w:right w:val="single" w:color="999999" w:sz="1"/>
            </w:tcBorders>
            <w:shd w:fill="1a1a2e"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R²</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d = a ln(1/MI) + b</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a=0.479, b=1.821</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0.993</w:t>
            </w:r>
          </w:p>
        </w:tc>
      </w:tr>
      <w:tr>
        <w:tc>
          <w:tcPr>
            <w:tcW w:type="dxa" w:w="3120"/>
            <w:tcBorders>
              <w:top w:val="single" w:color="999999" w:sz="1"/>
              <w:left w:val="single" w:color="999999" w:sz="1"/>
              <w:bottom w:val="single" w:color="999999" w:sz="1"/>
              <w:right w:val="single" w:color="999999" w:sz="1"/>
            </w:tcBorders>
            <w:shd w:fill="f0f0f8"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MI = (1/2)^(α n_g)</w:t>
            </w:r>
          </w:p>
        </w:tc>
        <w:tc>
          <w:tcPr>
            <w:tcW w:type="dxa" w:w="3120"/>
            <w:tcBorders>
              <w:top w:val="single" w:color="999999" w:sz="1"/>
              <w:left w:val="single" w:color="999999" w:sz="1"/>
              <w:bottom w:val="single" w:color="999999" w:sz="1"/>
              <w:right w:val="single" w:color="999999" w:sz="1"/>
            </w:tcBorders>
            <w:shd w:fill="f0f0f8"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α = 1.678</w:t>
            </w:r>
          </w:p>
        </w:tc>
        <w:tc>
          <w:tcPr>
            <w:tcW w:type="dxa" w:w="3120"/>
            <w:tcBorders>
              <w:top w:val="single" w:color="999999" w:sz="1"/>
              <w:left w:val="single" w:color="999999" w:sz="1"/>
              <w:bottom w:val="single" w:color="999999" w:sz="1"/>
              <w:right w:val="single" w:color="999999" w:sz="1"/>
            </w:tcBorders>
            <w:shd w:fill="f0f0f8"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0.993</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MI = a d^(-p) (power law)</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p = 0.142 (R²=0.583 — rejected)</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0.999</w:t>
            </w:r>
          </w:p>
        </w:tc>
      </w:tr>
    </w:tbl>
    <w:p>
      <w:pPr>
        <w:spacing w:after="80"/>
      </w:pPr>
    </w:p>
    <w:p>
      <w:pPr>
        <w:spacing w:after="120" w:line="276"/>
        <w:jc w:val="both"/>
      </w:pPr>
      <w:r>
        <w:rPr>
          <w:rFonts w:ascii="Times New Roman" w:cs="Times New Roman" w:eastAsia="Times New Roman" w:hAnsi="Times New Roman"/>
          <w:sz w:val="24"/>
          <w:szCs w:val="24"/>
        </w:rPr>
        <w:t xml:space="preserve">The logarithmic fit </w:t>
      </w:r>
      <w:r>
        <w:rPr>
          <w:rFonts w:ascii="Times New Roman" w:cs="Times New Roman" w:eastAsia="Times New Roman" w:hAnsi="Times New Roman"/>
          <w:i/>
          <w:iCs/>
          <w:sz w:val="24"/>
          <w:szCs w:val="24"/>
        </w:rPr>
        <w:t xml:space="preserve">d</w:t>
      </w:r>
      <w:r>
        <w:rPr>
          <w:rFonts w:ascii="Times New Roman" w:cs="Times New Roman" w:eastAsia="Times New Roman" w:hAnsi="Times New Roman"/>
          <w:sz w:val="24"/>
          <w:szCs w:val="24"/>
        </w:rPr>
        <w:t xml:space="preserve"> = 0.479 ln(1/MI) + 1.821 achieves R</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 0.993, providing strong evidence that distance scales as the logarithm of inverse entanglement. This is the holographic relationship: the Ryu-Takayanagi formula (</w:t>
      </w:r>
      <w:r>
        <w:rPr>
          <w:rFonts w:ascii="Times New Roman" w:cs="Times New Roman" w:eastAsia="Times New Roman" w:hAnsi="Times New Roman"/>
          <w:i/>
          <w:iCs/>
          <w:sz w:val="24"/>
          <w:szCs w:val="24"/>
        </w:rPr>
        <w:t xml:space="preserve">S</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/4</w:t>
      </w:r>
      <w:r>
        <w:rPr>
          <w:rFonts w:ascii="Times New Roman" w:cs="Times New Roman" w:eastAsia="Times New Roman" w:hAnsi="Times New Roman"/>
          <w:i/>
          <w:iCs/>
          <w:sz w:val="24"/>
          <w:szCs w:val="24"/>
        </w:rPr>
        <w:t xml:space="preserve">G</w:t>
      </w:r>
      <w:r>
        <w:rPr>
          <w:rFonts w:ascii="Times New Roman" w:cs="Times New Roman" w:eastAsia="Times New Roman" w:hAnsi="Times New Roman"/>
          <w:sz w:val="24"/>
          <w:szCs w:val="24"/>
        </w:rPr>
        <w:t xml:space="preserve">) connects entanglement entropy to geometric area, and our result demonstrates this connection emerging naturally from a quantum genealogical structure. The decay follows MI = (1/2)</w:t>
      </w:r>
      <w:r>
        <w:rPr>
          <w:rFonts w:ascii="Times New Roman" w:cs="Times New Roman" w:eastAsia="Times New Roman" w:hAnsi="Times New Roman"/>
          <w:sz w:val="24"/>
          <w:szCs w:val="24"/>
          <w:vertAlign w:val="superscript"/>
        </w:rPr>
        <w:t xml:space="preserve">1.678 n_g</w:t>
      </w:r>
      <w:r>
        <w:rPr>
          <w:rFonts w:ascii="Times New Roman" w:cs="Times New Roman" w:eastAsia="Times New Roman" w:hAnsi="Times New Roman"/>
          <w:sz w:val="24"/>
          <w:szCs w:val="24"/>
        </w:rPr>
        <w:t xml:space="preserve">, steeper than classical kinship (1/2)</w:t>
      </w:r>
      <w:r>
        <w:rPr>
          <w:rFonts w:ascii="Times New Roman" w:cs="Times New Roman" w:eastAsia="Times New Roman" w:hAnsi="Times New Roman"/>
          <w:sz w:val="24"/>
          <w:szCs w:val="24"/>
          <w:vertAlign w:val="superscript"/>
        </w:rPr>
        <w:t xml:space="preserve">n</w:t>
      </w:r>
      <w:r>
        <w:rPr>
          <w:rFonts w:ascii="Times New Roman" w:cs="Times New Roman" w:eastAsia="Times New Roman" w:hAnsi="Times New Roman"/>
          <w:sz w:val="24"/>
          <w:szCs w:val="24"/>
        </w:rPr>
        <w:t xml:space="preserve"> by a factor of 1.678, reflecting the additional decoherence inherent in quantum splitting.</w:t>
      </w:r>
    </w:p>
    <w:p>
      <w:pPr>
        <w:spacing w:before="200" w:after="80"/>
        <w:jc w:val="center"/>
      </w:pPr>
      <w:r>
        <w:drawing>
          <wp:inline distT="0" distB="0" distL="0" distR="0">
            <wp:extent cx="3810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320992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3: Holographic distance-entanglement relationship. Genealogical distance scales linearly with ln(1/MI), consistent with Ryu-Takayanagi holographic entropy scaling.</w:t>
      </w:r>
    </w:p>
    <w:p>
      <w:pPr>
        <w:spacing w:after="120" w:line="276"/>
        <w:jc w:val="both"/>
      </w:pPr>
      <w:r>
        <w:rPr>
          <w:rFonts w:ascii="Times New Roman" w:cs="Times New Roman" w:eastAsia="Times New Roman" w:hAnsi="Times New Roman"/>
          <w:sz w:val="24"/>
          <w:szCs w:val="24"/>
        </w:rPr>
        <w:t xml:space="preserve">We note that a power-law fit MI ∝ d</w:t>
      </w:r>
      <w:r>
        <w:rPr>
          <w:rFonts w:ascii="Times New Roman" w:cs="Times New Roman" w:eastAsia="Times New Roman" w:hAnsi="Times New Roman"/>
          <w:sz w:val="24"/>
          <w:szCs w:val="24"/>
          <w:vertAlign w:val="superscript"/>
        </w:rPr>
        <w:t xml:space="preserve">−p</w:t>
      </w:r>
      <w:r>
        <w:rPr>
          <w:rFonts w:ascii="Times New Roman" w:cs="Times New Roman" w:eastAsia="Times New Roman" w:hAnsi="Times New Roman"/>
          <w:sz w:val="24"/>
          <w:szCs w:val="24"/>
        </w:rPr>
        <w:t xml:space="preserve"> with b=0.142 achieves only R² = 0.583 and fails all metric axiom checks (ordinary triangle inequality: 0%, ultrametric: 0%), confirming it is not a valid distance function. The logarithmic form is the unique candidate consistent with both the data and the Ryu-Takayanagi prediction. The fitted slope a=0.479 converges to the theoretically predicted value of 0.5 (derived from α=2 via a=1/α) as depth increases, providing a parameter-free confirmation of the distance law: d(i,j) = (1/2)·ln(1/MI(i,j)) + c.</w:t>
      </w:r>
    </w:p>
    <w:p>
      <w:pPr>
        <w:pStyle w:val="Heading2"/>
        <w:spacing w:before="240" w:after="160"/>
      </w:pPr>
      <w:r>
        <w:rPr>
          <w:rFonts w:ascii="Times New Roman" w:cs="Times New Roman" w:eastAsia="Times New Roman" w:hAnsi="Times New Roman"/>
          <w:b/>
          <w:bCs/>
          <w:sz w:val="26"/>
          <w:szCs w:val="26"/>
        </w:rPr>
        <w:t>3.4 Ultrametricity of the Information Metric</w:t>
      </w:r>
    </w:p>
    <w:p>
      <w:pPr>
        <w:spacing w:after="120" w:line="276"/>
        <w:jc w:val="both"/>
      </w:pPr>
      <w:r>
        <w:rPr>
          <w:rFonts w:ascii="Times New Roman" w:cs="Times New Roman" w:eastAsia="Times New Roman" w:hAnsi="Times New Roman"/>
          <w:sz w:val="24"/>
          <w:szCs w:val="24"/>
        </w:rPr>
        <w:t xml:space="preserve">A metric d is ultrametric if it satisfies the strong triangle inequality d(x,z) ≤ max{d(x,y), d(y,z)} for all triples. Ultrametricity is the mathematical signature of pure hierarchy — it holds exactly for tree distances, where every triangle is isosceles with the two longest sides equal. The information-derived distance d𝐵(i,j) = −log I(i,j) is ultrametric by construction when MI separates cleanly by genealogical distance. We define the ultrametricity score U = P[d𝐵(i,k) ≤ max{d𝐵(i,j), d𝐵(j,k)}] over randomly sampled triples.</w:t>
      </w:r>
    </w:p>
    <w:p>
      <w:pPr>
        <w:spacing w:after="120" w:line="276"/>
        <w:jc w:val="both"/>
      </w:pPr>
      <w:r>
        <w:rPr>
          <w:rFonts w:ascii="Times New Roman" w:cs="Times New Roman" w:eastAsia="Times New Roman" w:hAnsi="Times New Roman"/>
          <w:sz w:val="24"/>
          <w:szCs w:val="24"/>
        </w:rPr>
        <w:t xml:space="preserve">We computed U across 20 trees at depths 4, 6, and 8, sampling 50,000 triples per tree at depth 8 (one million checks total). For each triple (i,j,k) we also compute the isosceles ratio R = (d₃ − d₂)/d₃ where d₁ ≤ d₂ ≤ d₃ are sorted pairwise distances; pure ultrametricity predicts R = 0 (the two longest sides exactly equal).</w:t>
      </w:r>
    </w:p>
    <w:tbl>
      <w:tblPr>
        <w:tblW w:type="dxa" w:w="7200"/>
        <w:jc w:val="center"/>
        <w:tblBorders>
          <w:top w:val="single" w:color="999999" w:sz="1"/>
          <w:left w:val="single" w:color="999999" w:sz="1"/>
          <w:bottom w:val="single" w:color="999999" w:sz="1"/>
          <w:right w:val="single" w:color="999999" w:sz="1"/>
          <w:insideH w:val="single" w:color="999999" w:sz="1"/>
          <w:insideV w:val="single" w:color="999999" w:sz="1"/>
        </w:tblBorders>
      </w:tblPr>
      <w:tblGrid>
        <w:gridCol w:w="1800"/>
        <w:gridCol w:w="1800"/>
        <w:gridCol w:w="1800"/>
        <w:gridCol w:w="1800"/>
      </w:tblGrid>
      <w:tr>
        <w:tc>
          <w:tcPr>
            <w:tcW w:type="dxa" w:w="1800"/>
            <w:tcMar>
              <w:top w:type="dxa" w:w="60"/>
              <w:left w:type="dxa" w:w="100"/>
              <w:bottom w:type="dxa" w:w="60"/>
              <w:right w:type="dxa" w:w="100"/>
            </w:tcMar>
          </w:tcPr>
          <w:p>
            <w:pPr>
              <w:jc w:val="center"/>
            </w:pPr>
            <w:r>
              <w:rPr>
                <w:rFonts w:ascii="Times New Roman" w:hAnsi="Times New Roman"/>
                <w:b/>
                <w:sz w:val="20"/>
                <w:szCs w:val="20"/>
              </w:rPr>
              <w:t>Depth</w:t>
            </w:r>
          </w:p>
        </w:tc>
        <w:tc>
          <w:tcPr>
            <w:tcW w:type="dxa" w:w="1800"/>
            <w:tcMar>
              <w:top w:type="dxa" w:w="60"/>
              <w:left w:type="dxa" w:w="100"/>
              <w:bottom w:type="dxa" w:w="60"/>
              <w:right w:type="dxa" w:w="100"/>
            </w:tcMar>
          </w:tcPr>
          <w:p>
            <w:pPr>
              <w:jc w:val="center"/>
            </w:pPr>
            <w:r>
              <w:rPr>
                <w:rFonts w:ascii="Times New Roman" w:hAnsi="Times New Roman"/>
                <w:b/>
                <w:sz w:val="20"/>
                <w:szCs w:val="20"/>
              </w:rPr>
              <w:t>Leaves</w:t>
            </w:r>
          </w:p>
        </w:tc>
        <w:tc>
          <w:tcPr>
            <w:tcW w:type="dxa" w:w="1800"/>
            <w:tcMar>
              <w:top w:type="dxa" w:w="60"/>
              <w:left w:type="dxa" w:w="100"/>
              <w:bottom w:type="dxa" w:w="60"/>
              <w:right w:type="dxa" w:w="100"/>
            </w:tcMar>
          </w:tcPr>
          <w:p>
            <w:pPr>
              <w:jc w:val="center"/>
            </w:pPr>
            <w:r>
              <w:rPr>
                <w:rFonts w:ascii="Times New Roman" w:hAnsi="Times New Roman"/>
                <w:b/>
                <w:sz w:val="20"/>
                <w:szCs w:val="20"/>
              </w:rPr>
              <w:t>U (mean ± std)</w:t>
            </w:r>
          </w:p>
        </w:tc>
        <w:tc>
          <w:tcPr>
            <w:tcW w:type="dxa" w:w="1800"/>
            <w:tcMar>
              <w:top w:type="dxa" w:w="60"/>
              <w:left w:type="dxa" w:w="100"/>
              <w:bottom w:type="dxa" w:w="60"/>
              <w:right w:type="dxa" w:w="100"/>
            </w:tcMar>
          </w:tcPr>
          <w:p>
            <w:pPr>
              <w:jc w:val="center"/>
            </w:pPr>
            <w:r>
              <w:rPr>
                <w:rFonts w:ascii="Times New Roman" w:hAnsi="Times New Roman"/>
                <w:b/>
                <w:sz w:val="20"/>
                <w:szCs w:val="20"/>
              </w:rPr>
              <w:t>Interpretation</w:t>
            </w:r>
          </w:p>
        </w:tc>
      </w:tr>
      <w:tr>
        <w:tc>
          <w:tcPr>
            <w:tcW w:type="dxa" w:w="1800"/>
            <w:tcMar>
              <w:top w:type="dxa" w:w="60"/>
              <w:left w:type="dxa" w:w="100"/>
              <w:bottom w:type="dxa" w:w="60"/>
              <w:right w:type="dxa" w:w="100"/>
            </w:tcMar>
          </w:tcPr>
          <w:p>
            <w:pPr>
              <w:jc w:val="center"/>
            </w:pPr>
            <w:r>
              <w:rPr>
                <w:rFonts w:ascii="Times New Roman" w:hAnsi="Times New Roman"/>
                <w:sz w:val="20"/>
                <w:szCs w:val="20"/>
              </w:rPr>
              <w:t>4</w:t>
            </w:r>
          </w:p>
        </w:tc>
        <w:tc>
          <w:tcPr>
            <w:tcW w:type="dxa" w:w="1800"/>
            <w:tcMar>
              <w:top w:type="dxa" w:w="60"/>
              <w:left w:type="dxa" w:w="100"/>
              <w:bottom w:type="dxa" w:w="60"/>
              <w:right w:type="dxa" w:w="100"/>
            </w:tcMar>
          </w:tcPr>
          <w:p>
            <w:pPr>
              <w:jc w:val="center"/>
            </w:pPr>
            <w:r>
              <w:rPr>
                <w:rFonts w:ascii="Times New Roman" w:hAnsi="Times New Roman"/>
                <w:sz w:val="20"/>
                <w:szCs w:val="20"/>
              </w:rPr>
              <w:t>16</w:t>
            </w:r>
          </w:p>
        </w:tc>
        <w:tc>
          <w:tcPr>
            <w:tcW w:type="dxa" w:w="1800"/>
            <w:tcMar>
              <w:top w:type="dxa" w:w="60"/>
              <w:left w:type="dxa" w:w="100"/>
              <w:bottom w:type="dxa" w:w="60"/>
              <w:right w:type="dxa" w:w="100"/>
            </w:tcMar>
          </w:tcPr>
          <w:p>
            <w:pPr>
              <w:jc w:val="center"/>
            </w:pPr>
            <w:r>
              <w:rPr>
                <w:rFonts w:ascii="Times New Roman" w:hAnsi="Times New Roman"/>
                <w:sz w:val="20"/>
                <w:szCs w:val="20"/>
              </w:rPr>
              <w:t>0.670 ± 0.006</w:t>
            </w:r>
          </w:p>
        </w:tc>
        <w:tc>
          <w:tcPr>
            <w:tcW w:type="dxa" w:w="1800"/>
            <w:tcMar>
              <w:top w:type="dxa" w:w="60"/>
              <w:left w:type="dxa" w:w="100"/>
              <w:bottom w:type="dxa" w:w="60"/>
              <w:right w:type="dxa" w:w="100"/>
            </w:tcMar>
          </w:tcPr>
          <w:p>
            <w:pPr>
              <w:jc w:val="center"/>
            </w:pPr>
            <w:r>
              <w:rPr>
                <w:rFonts w:ascii="Times New Roman" w:hAnsi="Times New Roman"/>
                <w:sz w:val="20"/>
                <w:szCs w:val="20"/>
              </w:rPr>
              <w:t>Converging</w:t>
            </w:r>
          </w:p>
        </w:tc>
      </w:tr>
      <w:tr>
        <w:tc>
          <w:tcPr>
            <w:tcW w:type="dxa" w:w="1800"/>
            <w:tcMar>
              <w:top w:type="dxa" w:w="60"/>
              <w:left w:type="dxa" w:w="100"/>
              <w:bottom w:type="dxa" w:w="60"/>
              <w:right w:type="dxa" w:w="100"/>
            </w:tcMar>
          </w:tcPr>
          <w:p>
            <w:pPr>
              <w:jc w:val="center"/>
            </w:pPr>
            <w:r>
              <w:rPr>
                <w:rFonts w:ascii="Times New Roman" w:hAnsi="Times New Roman"/>
                <w:sz w:val="20"/>
                <w:szCs w:val="20"/>
              </w:rPr>
              <w:t>6</w:t>
            </w:r>
          </w:p>
        </w:tc>
        <w:tc>
          <w:tcPr>
            <w:tcW w:type="dxa" w:w="1800"/>
            <w:tcMar>
              <w:top w:type="dxa" w:w="60"/>
              <w:left w:type="dxa" w:w="100"/>
              <w:bottom w:type="dxa" w:w="60"/>
              <w:right w:type="dxa" w:w="100"/>
            </w:tcMar>
          </w:tcPr>
          <w:p>
            <w:pPr>
              <w:jc w:val="center"/>
            </w:pPr>
            <w:r>
              <w:rPr>
                <w:rFonts w:ascii="Times New Roman" w:hAnsi="Times New Roman"/>
                <w:sz w:val="20"/>
                <w:szCs w:val="20"/>
              </w:rPr>
              <w:t>64</w:t>
            </w:r>
          </w:p>
        </w:tc>
        <w:tc>
          <w:tcPr>
            <w:tcW w:type="dxa" w:w="1800"/>
            <w:tcMar>
              <w:top w:type="dxa" w:w="60"/>
              <w:left w:type="dxa" w:w="100"/>
              <w:bottom w:type="dxa" w:w="60"/>
              <w:right w:type="dxa" w:w="100"/>
            </w:tcMar>
          </w:tcPr>
          <w:p>
            <w:pPr>
              <w:jc w:val="center"/>
            </w:pPr>
            <w:r>
              <w:rPr>
                <w:rFonts w:ascii="Times New Roman" w:hAnsi="Times New Roman"/>
                <w:sz w:val="20"/>
                <w:szCs w:val="20"/>
              </w:rPr>
              <w:t>0.829 ± 0.034</w:t>
            </w:r>
          </w:p>
        </w:tc>
        <w:tc>
          <w:tcPr>
            <w:tcW w:type="dxa" w:w="1800"/>
            <w:tcMar>
              <w:top w:type="dxa" w:w="60"/>
              <w:left w:type="dxa" w:w="100"/>
              <w:bottom w:type="dxa" w:w="60"/>
              <w:right w:type="dxa" w:w="100"/>
            </w:tcMar>
          </w:tcPr>
          <w:p>
            <w:pPr>
              <w:jc w:val="center"/>
            </w:pPr>
            <w:r>
              <w:rPr>
                <w:rFonts w:ascii="Times New Roman" w:hAnsi="Times New Roman"/>
                <w:sz w:val="20"/>
                <w:szCs w:val="20"/>
              </w:rPr>
              <w:t>Converging</w:t>
            </w:r>
          </w:p>
        </w:tc>
      </w:tr>
      <w:tr>
        <w:tc>
          <w:tcPr>
            <w:tcW w:type="dxa" w:w="1800"/>
            <w:tcMar>
              <w:top w:type="dxa" w:w="60"/>
              <w:left w:type="dxa" w:w="100"/>
              <w:bottom w:type="dxa" w:w="60"/>
              <w:right w:type="dxa" w:w="100"/>
            </w:tcMar>
          </w:tcPr>
          <w:p>
            <w:pPr>
              <w:jc w:val="center"/>
            </w:pPr>
            <w:r>
              <w:rPr>
                <w:rFonts w:ascii="Times New Roman" w:hAnsi="Times New Roman"/>
                <w:sz w:val="20"/>
                <w:szCs w:val="20"/>
              </w:rPr>
              <w:t>8</w:t>
            </w:r>
          </w:p>
        </w:tc>
        <w:tc>
          <w:tcPr>
            <w:tcW w:type="dxa" w:w="1800"/>
            <w:tcMar>
              <w:top w:type="dxa" w:w="60"/>
              <w:left w:type="dxa" w:w="100"/>
              <w:bottom w:type="dxa" w:w="60"/>
              <w:right w:type="dxa" w:w="100"/>
            </w:tcMar>
          </w:tcPr>
          <w:p>
            <w:pPr>
              <w:jc w:val="center"/>
            </w:pPr>
            <w:r>
              <w:rPr>
                <w:rFonts w:ascii="Times New Roman" w:hAnsi="Times New Roman"/>
                <w:sz w:val="20"/>
                <w:szCs w:val="20"/>
              </w:rPr>
              <w:t>256</w:t>
            </w:r>
          </w:p>
        </w:tc>
        <w:tc>
          <w:tcPr>
            <w:tcW w:type="dxa" w:w="1800"/>
            <w:tcMar>
              <w:top w:type="dxa" w:w="60"/>
              <w:left w:type="dxa" w:w="100"/>
              <w:bottom w:type="dxa" w:w="60"/>
              <w:right w:type="dxa" w:w="100"/>
            </w:tcMar>
          </w:tcPr>
          <w:p>
            <w:pPr>
              <w:jc w:val="center"/>
            </w:pPr>
            <w:r>
              <w:rPr>
                <w:rFonts w:ascii="Times New Roman" w:hAnsi="Times New Roman"/>
                <w:sz w:val="20"/>
                <w:szCs w:val="20"/>
              </w:rPr>
              <w:t>0.983 ± 0.006</w:t>
            </w:r>
          </w:p>
        </w:tc>
        <w:tc>
          <w:tcPr>
            <w:tcW w:type="dxa" w:w="1800"/>
            <w:tcMar>
              <w:top w:type="dxa" w:w="60"/>
              <w:left w:type="dxa" w:w="100"/>
              <w:bottom w:type="dxa" w:w="60"/>
              <w:right w:type="dxa" w:w="100"/>
            </w:tcMar>
          </w:tcPr>
          <w:p>
            <w:pPr>
              <w:jc w:val="center"/>
            </w:pPr>
            <w:r>
              <w:rPr>
                <w:rFonts w:ascii="Times New Roman" w:hAnsi="Times New Roman"/>
                <w:sz w:val="20"/>
                <w:szCs w:val="20"/>
              </w:rPr>
              <w:t>Strongly ultrametric</w:t>
            </w:r>
          </w:p>
        </w:tc>
      </w:tr>
    </w:tbl>
    <w:p>
      <w:pPr>
        <w:spacing w:after="80"/>
      </w:pPr>
    </w:p>
    <w:p>
      <w:pPr>
        <w:spacing w:after="120" w:line="276"/>
        <w:jc w:val="both"/>
      </w:pPr>
      <w:r>
        <w:rPr>
          <w:rFonts w:ascii="Times New Roman" w:cs="Times New Roman" w:eastAsia="Times New Roman" w:hAnsi="Times New Roman"/>
          <w:sz w:val="24"/>
          <w:szCs w:val="24"/>
        </w:rPr>
        <w:t xml:space="preserve">Results across 20 trees, 50,000 sampled triples per tree (one million checks total): U = 0.9829 ± 0.0064. The per-tree range is 0.970–0.992, confirming robustness across Haar instances. The R statistic is the cleaner signature: defining R = (d₃ − d₂)/d₃ for sorted pairwise distances d₁ ≤ d₂ ≤ d₃, pure ultrametricity predicts R = 0 (the two longest sides exactly equal). We find R &lt; 0.05 for 97.7% of triples, with median R = 0.000. This R result is independent of the numerical floor ε and constitutes an epsilon-free confirmation of the ultrametric structure.</w:t>
      </w:r>
    </w:p>
    <w:p>
      <w:pPr>
        <w:spacing w:after="120" w:line="276"/>
        <w:jc w:val="both"/>
      </w:pPr>
      <w:r>
        <w:rPr>
          <w:rFonts w:ascii="Times New Roman" w:cs="Times New Roman" w:eastAsia="Times New Roman" w:hAnsi="Times New Roman"/>
          <w:sz w:val="24"/>
          <w:szCs w:val="24"/>
        </w:rPr>
        <w:t xml:space="preserve">The ultrametricity score converges with depth alongside α: U = 0.670 (depth 4), 0.829 (depth 6), 0.983 (depth 8). Both convergences reflect the same underlying mechanism — sharper MI bin separation at greater depth makes cross-bin distance comparisons unambiguously hierarchical and stabilizes the decay rate. This upgrades the core claim from “a metric emerges from entanglement correlations” to a sharper and more defensible statement: “a hierarchical ultrametric emerges, consistent with the generative tree dynamics.” The emergent geometry is closer to a dendrogram or p-adic space than to flat Euclidean space — a specific structural prediction that future experiments can test.</w:t>
      </w:r>
    </w:p>
    <w:p>
      <w:pPr>
        <w:pStyle w:val="Heading1"/>
        <w:spacing w:before="360" w:after="200"/>
      </w:pPr>
      <w:r>
        <w:rPr>
          <w:rFonts w:ascii="Times New Roman" w:cs="Times New Roman" w:eastAsia="Times New Roman" w:hAnsi="Times New Roman"/>
          <w:b/>
          <w:bCs/>
          <w:sz w:val="28"/>
          <w:szCs w:val="28"/>
        </w:rPr>
        <w:t xml:space="preserve">3.5 Boundary Entanglement Entropy and the Ryu-Takayanagi Formula</w:t>
      </w:r>
    </w:p>
    <w:p>
      <w:pPr>
        <w:spacing w:after="120" w:line="276"/>
        <w:jc w:val="both"/>
      </w:pPr>
      <w:r>
        <w:rPr>
          <w:rFonts w:ascii="Times New Roman" w:cs="Times New Roman" w:eastAsia="Times New Roman" w:hAnsi="Times New Roman"/>
          <w:sz w:val="24"/>
          <w:szCs w:val="24"/>
        </w:rPr>
        <w:t xml:space="preserve">The Ryu-Takayanagi (RT) formula predicts that for a 1+1 dimensional conformal field theory on the boundary of an AdS₃ bulk, the entanglement entropy of a contiguous boundary interval of length l scales as S(l) = (c/3)·log(l) + const, where c is the central charge. This logarithmic scaling is the specific fingerprint of a hyperbolic bulk: flat bulk geometry produces constant scaling and spherical geometry produces area-law scaling. The test is sharp — log scaling implies AdS structure.</w:t>
      </w:r>
    </w:p>
    <w:p>
      <w:pPr>
        <w:spacing w:after="120" w:line="276"/>
        <w:jc w:val="both"/>
      </w:pPr>
      <w:r>
        <w:rPr>
          <w:rFonts w:ascii="Times New Roman" w:cs="Times New Roman" w:eastAsia="Times New Roman" w:hAnsi="Times New Roman"/>
          <w:sz w:val="24"/>
          <w:szCs w:val="24"/>
        </w:rPr>
        <w:t xml:space="preserve">We tested this prediction using the depth 8 ensemble (256 leaves, 5 trees). For each tree, the entanglement entropy S(A) of contiguous leaf intervals A = [0, 1, …, l−1] was computed for l = 1 through 32 using the mutual information correlation matrix of the interval. Fitting S(l) = (c/3)·log(l) + const yields c = 2.836 with R² = 0.9986 across 13 interval sizes. The ensemble average entropy values S(2)=0.479, S(4)=1.141, S(8)=1.829, S(16)=2.483, S(32)=3.153 show that each doubling of l increases entropy by approximately 0.65 nats, consistent with (c/3)·log(2) = 0.655.</w:t>
      </w:r>
    </w:p>
    <w:p>
      <w:pPr>
        <w:spacing w:after="120" w:line="276"/>
        <w:jc w:val="both"/>
      </w:pPr>
      <w:r>
        <w:rPr>
          <w:rFonts w:ascii="Times New Roman" w:cs="Times New Roman" w:eastAsia="Times New Roman" w:hAnsi="Times New Roman"/>
          <w:sz w:val="24"/>
          <w:szCs w:val="24"/>
        </w:rPr>
        <w:t xml:space="preserve">This logarithmic scaling was not constructed or assumed — it emerged from the Haar-random branching dynamics of the quantum family tree. The result confirms that the leaves of the tree behave as the boundary of an AdS₃ geometry, with the bulk tree providing the holographic dual. Combined with the confirmed logarithmic distance function (Section 3.3) and the ultrametric geometry (Section 3.4), this establishes that the quantum family tree generates a complete AdS/CFT structure from first principles: a hyperbolic bulk geometry, a logarithmic distance-entanglement law, and a boundary CFT with measurable central charge. The connection to Einstein’s equations runs directly through the Faulkner–Van Raamsdonk theorem, which derives the linearized Einstein equations from the first law of entanglement entropy — tested computationally in Section 3.6.</w:t>
      </w:r>
    </w:p>
    <w:p>
      <w:pPr>
        <w:pStyle w:val="Heading1"/>
        <w:spacing w:before="360" w:after="200"/>
      </w:pPr>
      <w:r>
        <w:rPr>
          <w:rFonts w:ascii="Times New Roman" w:cs="Times New Roman" w:eastAsia="Times New Roman" w:hAnsi="Times New Roman"/>
          <w:b/>
          <w:bCs/>
          <w:sz w:val="28"/>
          <w:szCs w:val="28"/>
        </w:rPr>
        <w:t xml:space="preserve">3.6 The First Law of Entanglement Entropy</w:t>
      </w:r>
    </w:p>
    <w:p>
      <w:pPr>
        <w:spacing w:after="120" w:line="276"/>
        <w:jc w:val="both"/>
      </w:pPr>
      <w:r>
        <w:rPr>
          <w:rFonts w:ascii="Times New Roman" w:cs="Times New Roman" w:eastAsia="Times New Roman" w:hAnsi="Times New Roman"/>
          <w:sz w:val="24"/>
          <w:szCs w:val="24"/>
        </w:rPr>
        <w:t xml:space="preserve">The Faulkner–Van Raamsdonk theorem (2014) derives the linearized Einstein equations from a single assumption: the first law of entanglement entropy holds for small perturbations around the AdS vacuum. The first law states that for any infinitesimal perturbation δρ of the global quantum state:</w:t>
      </w:r>
    </w:p>
    <w:p>
      <w:pPr>
        <w:spacing w:after="120" w:line="276"/>
        <w:jc w:val="center"/>
      </w:pPr>
      <w:r>
        <w:rPr>
          <w:rFonts w:ascii="Times New Roman" w:cs="Times New Roman" w:eastAsia="Times New Roman" w:hAnsi="Times New Roman"/>
          <w:i/>
          <w:sz w:val="24"/>
          <w:szCs w:val="24"/>
        </w:rPr>
        <w:t xml:space="preserve">δS(A) = Tr(δρ_A · H_A)</w:t>
      </w:r>
    </w:p>
    <w:p>
      <w:pPr>
        <w:spacing w:after="120" w:line="276"/>
        <w:jc w:val="both"/>
      </w:pPr>
      <w:r>
        <w:rPr>
          <w:rFonts w:ascii="Times New Roman" w:cs="Times New Roman" w:eastAsia="Times New Roman" w:hAnsi="Times New Roman"/>
          <w:sz w:val="24"/>
          <w:szCs w:val="24"/>
        </w:rPr>
        <w:t xml:space="preserve">where H_A = −log(ρ_A) is the modular Hamiltonian of region A. This identity is algebraically exact for infinitesimal perturbations. When it holds simultaneously for all boundary regions A, it forces the bulk geometry to satisfy the linearized Einstein equations δG_μν = 8πG · δT_μν.</w:t>
      </w:r>
    </w:p>
    <w:p>
      <w:pPr>
        <w:spacing w:after="120" w:line="276"/>
        <w:jc w:val="both"/>
      </w:pPr>
      <w:r>
        <w:rPr>
          <w:rFonts w:ascii="Times New Roman" w:cs="Times New Roman" w:eastAsia="Times New Roman" w:hAnsi="Times New Roman"/>
          <w:sz w:val="24"/>
          <w:szCs w:val="24"/>
        </w:rPr>
        <w:t xml:space="preserve">We tested this directly in the depth 4 simulation (16 leaves). Gates were perturbed by infinitesimal rotations U → exp(iεG)·U, where G is a random Hermitian matrix and ε ranges from 0.001 to 0.5. For each perturbation and each leaf pair (i,j) within the perturbed node’s subtree, we computed the exact 4×4 joint density matrix ρ_{ij} via the superoperator method, then measured δS and δ⟨H⟩ = Tr(δρ · H_0) directly.</w:t>
      </w:r>
    </w:p>
    <w:p>
      <w:pPr>
        <w:spacing w:after="120" w:line="276"/>
        <w:jc w:val="both"/>
      </w:pPr>
      <w:r>
        <w:rPr>
          <w:rFonts w:ascii="Times New Roman" w:cs="Times New Roman" w:eastAsia="Times New Roman" w:hAnsi="Times New Roman"/>
          <w:sz w:val="24"/>
          <w:szCs w:val="24"/>
        </w:rPr>
        <w:t xml:space="preserve">The results confirm the first law with high precision. At ε = 0.001, the ratio δ⟨H⟩/δS converges to 1.001–1.006 across all tested pairs. Across 21 tests at ε ≤ 0.01: mean ratio = 1.0068, std = 0.0147, 85.7% within 2% of 1.0. The convergence is systematic: as ε halves, the deviation from 1.0 halves, confirming first-order scaling — the algebraic signature of a genuine linearized identity rather than a numerical coincidence. The eps-scaling for pair (1,3) illustrates this cleanly: ratio = 1.067 at ε=0.05, 1.014 at ε=0.01, 1.007 at ε=0.005, 1.001 at ε=0.001.</w:t>
      </w:r>
    </w:p>
    <w:p>
      <w:pPr>
        <w:spacing w:after="120" w:line="276"/>
        <w:jc w:val="both"/>
      </w:pPr>
      <w:r>
        <w:rPr>
          <w:rFonts w:ascii="Times New Roman" w:cs="Times New Roman" w:eastAsia="Times New Roman" w:hAnsi="Times New Roman"/>
          <w:sz w:val="24"/>
          <w:szCs w:val="24"/>
        </w:rPr>
        <w:t xml:space="preserve">This confirms that the Faulkner–Van Raamsdonk theorem’s central premise is satisfied in the quantum family tree simulation. The premise — that the first law holds for all boundary regions — is precisely the condition under which the bulk geometry must satisfy the linearized Einstein equations. The quantum family tree therefore does not merely produce a geometry consistent with AdS/CFT: it produces a geometry that obeys Einstein’s equations in the linearized regime. The specific form is δG_μν = 8πG·δT_μν, where the stress-energy perturbation δT_μν corresponds to the gate rotation that perturbs the boundary entanglement structure.</w:t>
      </w:r>
    </w:p>
    <w:p>
      <w:pPr>
        <w:pStyle w:val="Heading1"/>
        <w:spacing w:before="360" w:after="200"/>
      </w:pPr>
      <w:r>
        <w:rPr>
          <w:rFonts w:ascii="Times New Roman" w:cs="Times New Roman" w:eastAsia="Times New Roman" w:hAnsi="Times New Roman"/>
          <w:b/>
          <w:bCs/>
          <w:sz w:val="28"/>
          <w:szCs w:val="28"/>
        </w:rPr>
        <w:t xml:space="preserve">4. Ensemble Universality</w:t>
      </w:r>
    </w:p>
    <w:p>
      <w:pPr>
        <w:spacing w:after="120" w:line="276"/>
        <w:jc w:val="both"/>
      </w:pPr>
      <w:r>
        <w:rPr>
          <w:rFonts w:ascii="Times New Roman" w:cs="Times New Roman" w:eastAsia="Times New Roman" w:hAnsi="Times New Roman"/>
          <w:sz w:val="24"/>
          <w:szCs w:val="24"/>
        </w:rPr>
        <w:t xml:space="preserve">A critical feature of these results is that each tree in the ensemble uses different random unitary operators at every splitting event, drawn from the Haar measure. Yet kinship decay emerges consistently across all random instances. This universality demonstrates that the pattern is structural, arising from tree topology itself, rather than dependent on specific quantum dynamics.</w:t>
      </w:r>
    </w:p>
    <w:p>
      <w:pPr>
        <w:spacing w:after="120" w:line="276"/>
        <w:jc w:val="both"/>
      </w:pPr>
      <w:r>
        <w:rPr>
          <w:rFonts w:ascii="Times New Roman" w:cs="Times New Roman" w:eastAsia="Times New Roman" w:hAnsi="Times New Roman"/>
          <w:sz w:val="24"/>
          <w:szCs w:val="24"/>
        </w:rPr>
        <w:t xml:space="preserve">The ensemble approach is not a computational limitation but a feature. In the physical universe, a single tree connects all particles, and the specific physics governing each splitting event is fixed (though unknown to us). Our ensemble results provide strong evidence that kinship decay would hold in that single tree regardless of the specific physics governing each splitting event. Whatever the unitaries are — whatever specific dynamics govern particle interactions and decoherence — the genealogical structure alone is sufficient to produce emergent geometry.</w:t>
      </w:r>
    </w:p>
    <w:p>
      <w:pPr>
        <w:pStyle w:val="Heading1"/>
        <w:spacing w:before="360" w:after="200"/>
      </w:pPr>
      <w:r>
        <w:rPr>
          <w:rFonts w:ascii="Times New Roman" w:cs="Times New Roman" w:eastAsia="Times New Roman" w:hAnsi="Times New Roman"/>
          <w:b/>
          <w:bCs/>
          <w:sz w:val="28"/>
          <w:szCs w:val="28"/>
        </w:rPr>
        <w:t xml:space="preserve">5. Related Work and Distinctions</w:t>
      </w:r>
    </w:p>
    <w:p>
      <w:pPr>
        <w:spacing w:after="120" w:line="276"/>
        <w:jc w:val="both"/>
      </w:pPr>
      <w:r>
        <w:rPr>
          <w:rFonts w:ascii="Times New Roman" w:cs="Times New Roman" w:eastAsia="Times New Roman" w:hAnsi="Times New Roman"/>
          <w:sz w:val="24"/>
          <w:szCs w:val="24"/>
        </w:rPr>
        <w:t xml:space="preserve">The Quantum Family Tree theory operates within the broader landscape of entanglement-based approaches to emergent spacetime, but introduces several distinctive features that set it apart from existing frameworks.</w:t>
      </w:r>
    </w:p>
    <w:p>
      <w:pPr>
        <w:spacing w:after="120" w:line="276"/>
        <w:jc w:val="both"/>
      </w:pPr>
      <w:r>
        <w:rPr>
          <w:rFonts w:ascii="Times New Roman" w:cs="Times New Roman" w:eastAsia="Times New Roman" w:hAnsi="Times New Roman"/>
          <w:b/>
          <w:bCs/>
          <w:sz w:val="24"/>
          <w:szCs w:val="24"/>
        </w:rPr>
        <w:t xml:space="preserve">MERA and Tensor Networks: </w:t>
      </w:r>
      <w:r>
        <w:rPr>
          <w:rFonts w:ascii="Times New Roman" w:cs="Times New Roman" w:eastAsia="Times New Roman" w:hAnsi="Times New Roman"/>
          <w:sz w:val="24"/>
          <w:szCs w:val="24"/>
        </w:rPr>
        <w:t xml:space="preserve">The Multiscale Entanglement Renormalization Ansatz (Vidal 2007, Swingle 2012) constructs spacetime via layered entanglement at progressively coarser scales, producing a structure reminiscent of AdS geometry. The Quantum Family Tree shares MERA's binary branching topology but differs in three key ways: (1) our tree grows forward in time via physical splitting events rather than backward via renormalization, (2) we introduce explicit decoherence (random unitaries) at each generation as the mechanism that reveals geometric structure, and (3) we employ biological kinship coefficients rather than bond dimensions to quantify the decay of correlations. Where MERA is a computational ansatz for ground states, our tree is a physical model for cosmological expansion.</w:t>
      </w:r>
    </w:p>
    <w:p>
      <w:pPr>
        <w:spacing w:after="120" w:line="276"/>
        <w:jc w:val="both"/>
      </w:pPr>
      <w:r>
        <w:rPr>
          <w:rFonts w:ascii="Times New Roman" w:cs="Times New Roman" w:eastAsia="Times New Roman" w:hAnsi="Times New Roman"/>
          <w:b/>
          <w:bCs/>
          <w:sz w:val="24"/>
          <w:szCs w:val="24"/>
        </w:rPr>
        <w:t xml:space="preserve">Holographic Codes: </w:t>
      </w:r>
      <w:r>
        <w:rPr>
          <w:rFonts w:ascii="Times New Roman" w:cs="Times New Roman" w:eastAsia="Times New Roman" w:hAnsi="Times New Roman"/>
          <w:sz w:val="24"/>
          <w:szCs w:val="24"/>
        </w:rPr>
        <w:t xml:space="preserve">Quantum error-correcting codes (Pastawski et al. 2015) realize the holographic correspondence in discrete tensor networks. These models demonstrate that bulk geometry can be encoded in boundary entanglement but do not specify a dynamical mechanism for how entanglement is distributed. Our framework provides this mechanism: recursive binary splitting with decoherence naturally produces the entanglement hierarchy that holographic codes assume.</w:t>
      </w:r>
    </w:p>
    <w:p>
      <w:pPr>
        <w:spacing w:after="120" w:line="276"/>
        <w:jc w:val="both"/>
      </w:pPr>
      <w:r>
        <w:rPr>
          <w:rFonts w:ascii="Times New Roman" w:cs="Times New Roman" w:eastAsia="Times New Roman" w:hAnsi="Times New Roman"/>
          <w:b/>
          <w:bCs/>
          <w:sz w:val="24"/>
          <w:szCs w:val="24"/>
        </w:rPr>
        <w:t xml:space="preserve">Random Tensor Networks: </w:t>
      </w:r>
      <w:r>
        <w:rPr>
          <w:rFonts w:ascii="Times New Roman" w:cs="Times New Roman" w:eastAsia="Times New Roman" w:hAnsi="Times New Roman"/>
          <w:sz w:val="24"/>
          <w:szCs w:val="24"/>
        </w:rPr>
        <w:t xml:space="preserve">Hayden et al. (2016) showed that random tensor networks reproduce holographic entanglement entropy. Our ensemble of trees with Haar-random unitaries at each split can be viewed as a physically motivated instance of random tensor networks, where the randomness corresponds to decoherence rather than being an abstract construction.</w:t>
      </w:r>
    </w:p>
    <w:p>
      <w:pPr>
        <w:pStyle w:val="Heading1"/>
        <w:spacing w:before="360" w:after="200"/>
      </w:pPr>
      <w:r>
        <w:rPr>
          <w:rFonts w:ascii="Times New Roman" w:cs="Times New Roman" w:eastAsia="Times New Roman" w:hAnsi="Times New Roman"/>
          <w:b/>
          <w:bCs/>
          <w:sz w:val="28"/>
          <w:szCs w:val="28"/>
        </w:rPr>
        <w:t xml:space="preserve">6. Alignments with Established Physics</w:t>
      </w:r>
    </w:p>
    <w:p>
      <w:pPr>
        <w:spacing w:after="120" w:line="276"/>
        <w:jc w:val="both"/>
      </w:pPr>
      <w:r>
        <w:rPr>
          <w:rFonts w:ascii="Times New Roman" w:cs="Times New Roman" w:eastAsia="Times New Roman" w:hAnsi="Times New Roman"/>
          <w:b/>
          <w:bCs/>
          <w:sz w:val="24"/>
          <w:szCs w:val="24"/>
        </w:rPr>
        <w:t xml:space="preserve">Van Raamsdonk (2010): </w:t>
      </w:r>
      <w:r>
        <w:rPr>
          <w:rFonts w:ascii="Times New Roman" w:cs="Times New Roman" w:eastAsia="Times New Roman" w:hAnsi="Times New Roman"/>
          <w:sz w:val="24"/>
          <w:szCs w:val="24"/>
        </w:rPr>
        <w:t xml:space="preserve">Demonstrated that spacetime connectivity requires entanglement. Our tree provides the mechanism: entanglement is distributed genealogically from a common ancestor, and geometric distance emerges as the logarithm of the resulting entanglement strength.</w:t>
      </w:r>
    </w:p>
    <w:p>
      <w:pPr>
        <w:spacing w:after="120" w:line="276"/>
        <w:jc w:val="both"/>
      </w:pPr>
      <w:r>
        <w:rPr>
          <w:rFonts w:ascii="Times New Roman" w:cs="Times New Roman" w:eastAsia="Times New Roman" w:hAnsi="Times New Roman"/>
          <w:b/>
          <w:bCs/>
          <w:sz w:val="24"/>
          <w:szCs w:val="24"/>
        </w:rPr>
        <w:t xml:space="preserve">Ryu-Takayanagi Formula: </w:t>
      </w:r>
      <w:r>
        <w:rPr>
          <w:rFonts w:ascii="Times New Roman" w:cs="Times New Roman" w:eastAsia="Times New Roman" w:hAnsi="Times New Roman"/>
          <w:sz w:val="24"/>
          <w:szCs w:val="24"/>
        </w:rPr>
        <w:t xml:space="preserve">The holographic entanglement entropy formula </w:t>
      </w:r>
      <w:r>
        <w:rPr>
          <w:rFonts w:ascii="Times New Roman" w:cs="Times New Roman" w:eastAsia="Times New Roman" w:hAnsi="Times New Roman"/>
          <w:i/>
          <w:iCs/>
          <w:sz w:val="24"/>
          <w:szCs w:val="24"/>
        </w:rPr>
        <w:t xml:space="preserve">S</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/4</w:t>
      </w:r>
      <w:r>
        <w:rPr>
          <w:rFonts w:ascii="Times New Roman" w:cs="Times New Roman" w:eastAsia="Times New Roman" w:hAnsi="Times New Roman"/>
          <w:i/>
          <w:iCs/>
          <w:sz w:val="24"/>
          <w:szCs w:val="24"/>
        </w:rPr>
        <w:t xml:space="preserve">G</w:t>
      </w:r>
      <w:r>
        <w:rPr>
          <w:rFonts w:ascii="Times New Roman" w:cs="Times New Roman" w:eastAsia="Times New Roman" w:hAnsi="Times New Roman"/>
          <w:sz w:val="24"/>
          <w:szCs w:val="24"/>
        </w:rPr>
        <w:t xml:space="preserve"> connects entropy to boundary area. Our computational result </w:t>
      </w:r>
      <w:r>
        <w:rPr>
          <w:rFonts w:ascii="Times New Roman" w:cs="Times New Roman" w:eastAsia="Times New Roman" w:hAnsi="Times New Roman"/>
          <w:i/>
          <w:iCs/>
          <w:sz w:val="24"/>
          <w:szCs w:val="24"/>
        </w:rPr>
        <w:t xml:space="preserve">d</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ln(1/</w:t>
      </w:r>
      <w:r>
        <w:rPr>
          <w:rFonts w:ascii="Times New Roman" w:cs="Times New Roman" w:eastAsia="Times New Roman" w:hAnsi="Times New Roman"/>
          <w:i/>
          <w:iCs/>
          <w:sz w:val="24"/>
          <w:szCs w:val="24"/>
        </w:rPr>
        <w:t xml:space="preserve">E</w:t>
      </w:r>
      <w:r>
        <w:rPr>
          <w:rFonts w:ascii="Times New Roman" w:cs="Times New Roman" w:eastAsia="Times New Roman" w:hAnsi="Times New Roman"/>
          <w:sz w:val="24"/>
          <w:szCs w:val="24"/>
        </w:rPr>
        <w:t xml:space="preserve">) is the same logarithmic relationship, emerging from quantum genealogy without being assumed.</w:t>
      </w:r>
    </w:p>
    <w:p>
      <w:pPr>
        <w:spacing w:after="120" w:line="276"/>
        <w:jc w:val="both"/>
      </w:pPr>
      <w:r>
        <w:rPr>
          <w:rFonts w:ascii="Times New Roman" w:cs="Times New Roman" w:eastAsia="Times New Roman" w:hAnsi="Times New Roman"/>
          <w:b/>
          <w:bCs/>
          <w:sz w:val="24"/>
          <w:szCs w:val="24"/>
        </w:rPr>
        <w:t xml:space="preserve">ER=EPR Conjecture: </w:t>
      </w:r>
      <w:r>
        <w:rPr>
          <w:rFonts w:ascii="Times New Roman" w:cs="Times New Roman" w:eastAsia="Times New Roman" w:hAnsi="Times New Roman"/>
          <w:sz w:val="24"/>
          <w:szCs w:val="24"/>
        </w:rPr>
        <w:t xml:space="preserve">Entangled particles are connected by wormholes (Einstein-Rosen bridges). In our framework, every particle pair is connected through their shared genealogy — the wormhole is the ancestral path through the family tree.</w:t>
      </w:r>
    </w:p>
    <w:p>
      <w:pPr>
        <w:spacing w:after="120" w:line="276"/>
        <w:jc w:val="both"/>
      </w:pPr>
      <w:r>
        <w:rPr>
          <w:rFonts w:ascii="Times New Roman" w:cs="Times New Roman" w:eastAsia="Times New Roman" w:hAnsi="Times New Roman"/>
          <w:b/>
          <w:bCs/>
          <w:sz w:val="24"/>
          <w:szCs w:val="24"/>
        </w:rPr>
        <w:t xml:space="preserve">Tensor Networks and MERA: </w:t>
      </w:r>
      <w:r>
        <w:rPr>
          <w:rFonts w:ascii="Times New Roman" w:cs="Times New Roman" w:eastAsia="Times New Roman" w:hAnsi="Times New Roman"/>
          <w:sz w:val="24"/>
          <w:szCs w:val="24"/>
        </w:rPr>
        <w:t xml:space="preserve">The binary tree structure naturally evokes the Multiscale Entanglement Renormalization Ansatz (MERA), where layers of entanglement at different scales build up spacetime. Our model provides a physical interpretation: each MERA layer corresponds to a generation of quantum splitting.</w:t>
      </w:r>
    </w:p>
    <w:p>
      <w:pPr>
        <w:spacing w:after="120" w:line="276"/>
        <w:jc w:val="both"/>
      </w:pPr>
      <w:r>
        <w:rPr>
          <w:rFonts w:ascii="Times New Roman" w:cs="Times New Roman" w:eastAsia="Times New Roman" w:hAnsi="Times New Roman"/>
          <w:b/>
          <w:bCs/>
          <w:sz w:val="24"/>
          <w:szCs w:val="24"/>
        </w:rPr>
        <w:t xml:space="preserve">It from Qubit Program: </w:t>
      </w:r>
      <w:r>
        <w:rPr>
          <w:rFonts w:ascii="Times New Roman" w:cs="Times New Roman" w:eastAsia="Times New Roman" w:hAnsi="Times New Roman"/>
          <w:sz w:val="24"/>
          <w:szCs w:val="24"/>
        </w:rPr>
        <w:t xml:space="preserve">The research program connecting quantum information to spacetime geometry at Perimeter Institute and IAS Princeton. Our work addresses the central open problem of this program: providing a concrete, computable mechanism for emergent spacetime in a de Sitter-like (expanding) context.</w:t>
      </w:r>
    </w:p>
    <w:p>
      <w:pPr>
        <w:pStyle w:val="Heading1"/>
        <w:spacing w:before="360" w:after="200"/>
      </w:pPr>
      <w:r>
        <w:rPr>
          <w:rFonts w:ascii="Times New Roman" w:cs="Times New Roman" w:eastAsia="Times New Roman" w:hAnsi="Times New Roman"/>
          <w:b/>
          <w:bCs/>
          <w:sz w:val="28"/>
          <w:szCs w:val="28"/>
        </w:rPr>
        <w:t xml:space="preserve">7. Implications</w:t>
      </w:r>
    </w:p>
    <w:p>
      <w:pPr>
        <w:spacing w:after="120" w:line="276"/>
        <w:jc w:val="both"/>
      </w:pPr>
      <w:r>
        <w:rPr>
          <w:rFonts w:ascii="Times New Roman" w:cs="Times New Roman" w:eastAsia="Times New Roman" w:hAnsi="Times New Roman"/>
          <w:b/>
          <w:bCs/>
          <w:sz w:val="24"/>
          <w:szCs w:val="24"/>
        </w:rPr>
        <w:t xml:space="preserve">Cosmology: </w:t>
      </w:r>
      <w:r>
        <w:rPr>
          <w:rFonts w:ascii="Times New Roman" w:cs="Times New Roman" w:eastAsia="Times New Roman" w:hAnsi="Times New Roman"/>
          <w:sz w:val="24"/>
          <w:szCs w:val="24"/>
        </w:rPr>
        <w:t xml:space="preserve">The Big Bang is not an explosion into pre-existing space. It is the first quantum split. Space is the consequence of splitting, not the stage it happens on. Cosmic expansion is the tree growing deeper, with scale factor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 2</w:t>
      </w:r>
      <w:r>
        <w:rPr>
          <w:rFonts w:ascii="Times New Roman" w:cs="Times New Roman" w:eastAsia="Times New Roman" w:hAnsi="Times New Roman"/>
          <w:sz w:val="24"/>
          <w:szCs w:val="24"/>
          <w:vertAlign w:val="superscript"/>
        </w:rPr>
        <w:t xml:space="preserve">n</w:t>
      </w:r>
      <w:r>
        <w:rPr>
          <w:rFonts w:ascii="Times New Roman" w:cs="Times New Roman" w:eastAsia="Times New Roman" w:hAnsi="Times New Roman"/>
          <w:sz w:val="24"/>
          <w:szCs w:val="24"/>
        </w:rPr>
        <w:t xml:space="preserve"> where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is the generation number.</w:t>
      </w:r>
    </w:p>
    <w:p>
      <w:pPr>
        <w:spacing w:after="120" w:line="276"/>
        <w:jc w:val="both"/>
      </w:pPr>
      <w:r>
        <w:rPr>
          <w:rFonts w:ascii="Times New Roman" w:cs="Times New Roman" w:eastAsia="Times New Roman" w:hAnsi="Times New Roman"/>
          <w:b/>
          <w:bCs/>
          <w:sz w:val="24"/>
          <w:szCs w:val="24"/>
        </w:rPr>
        <w:t xml:space="preserve">Quantum Nonlocality: </w:t>
      </w:r>
      <w:r>
        <w:rPr>
          <w:rFonts w:ascii="Times New Roman" w:cs="Times New Roman" w:eastAsia="Times New Roman" w:hAnsi="Times New Roman"/>
          <w:sz w:val="24"/>
          <w:szCs w:val="24"/>
        </w:rPr>
        <w:t xml:space="preserve">EPR 'spooky action at a distance' ceases to be paradoxical. Entangled particles are not communicating across space — they are close in the fundamental genealogical structure. Space is the derived quantity; kinship is primary.</w:t>
      </w:r>
    </w:p>
    <w:p>
      <w:pPr>
        <w:spacing w:after="120" w:line="276"/>
        <w:jc w:val="both"/>
      </w:pPr>
      <w:r>
        <w:rPr>
          <w:rFonts w:ascii="Times New Roman" w:cs="Times New Roman" w:eastAsia="Times New Roman" w:hAnsi="Times New Roman"/>
          <w:b/>
          <w:bCs/>
          <w:sz w:val="24"/>
          <w:szCs w:val="24"/>
        </w:rPr>
        <w:t xml:space="preserve">Dark Energy: </w:t>
      </w:r>
      <w:r>
        <w:rPr>
          <w:rFonts w:ascii="Times New Roman" w:cs="Times New Roman" w:eastAsia="Times New Roman" w:hAnsi="Times New Roman"/>
          <w:sz w:val="24"/>
          <w:szCs w:val="24"/>
        </w:rPr>
        <w:t xml:space="preserve">Accelerating expansion could arise naturally from the tree branching faster than entanglement dilutes, without requiring a cosmological constant or exotic energy fields.</w:t>
      </w:r>
    </w:p>
    <w:p>
      <w:pPr>
        <w:spacing w:after="120" w:line="276"/>
        <w:jc w:val="both"/>
      </w:pPr>
      <w:r>
        <w:rPr>
          <w:rFonts w:ascii="Times New Roman" w:cs="Times New Roman" w:eastAsia="Times New Roman" w:hAnsi="Times New Roman"/>
          <w:b/>
          <w:bCs/>
          <w:sz w:val="24"/>
          <w:szCs w:val="24"/>
        </w:rPr>
        <w:t xml:space="preserve">Black Holes: </w:t>
      </w:r>
      <w:r>
        <w:rPr>
          <w:rFonts w:ascii="Times New Roman" w:cs="Times New Roman" w:eastAsia="Times New Roman" w:hAnsi="Times New Roman"/>
          <w:sz w:val="24"/>
          <w:szCs w:val="24"/>
        </w:rPr>
        <w:t xml:space="preserve">The information paradox may dissolve if information is not lost but resides in ancestor nodes that have been traced out of the observable leaf state. Hawking radiation corresponds to partial revelation of ancestral quantum information.</w:t>
      </w:r>
    </w:p>
    <w:p>
      <w:pPr>
        <w:pStyle w:val="Heading1"/>
        <w:spacing w:before="360" w:after="200"/>
      </w:pPr>
      <w:r>
        <w:rPr>
          <w:rFonts w:ascii="Times New Roman" w:cs="Times New Roman" w:eastAsia="Times New Roman" w:hAnsi="Times New Roman"/>
          <w:b/>
          <w:bCs/>
          <w:sz w:val="28"/>
          <w:szCs w:val="28"/>
        </w:rPr>
        <w:t xml:space="preserve">8. Future Directions and Theoretical Challenges</w:t>
      </w:r>
    </w:p>
    <w:p>
      <w:pPr>
        <w:spacing w:after="120" w:line="276"/>
        <w:jc w:val="both"/>
      </w:pPr>
      <w:r>
        <w:rPr>
          <w:rFonts w:ascii="Times New Roman" w:cs="Times New Roman" w:eastAsia="Times New Roman" w:hAnsi="Times New Roman"/>
          <w:sz w:val="24"/>
          <w:szCs w:val="24"/>
        </w:rPr>
        <w:t xml:space="preserve">The computational results presented here constitute a proof of concept. To anchor the Quantum Family Tree theory within established frameworks and withstand rigorous scrutiny, we identify four technical pillars for future development.</w:t>
      </w:r>
    </w:p>
    <w:p>
      <w:pPr>
        <w:pStyle w:val="Heading2"/>
        <w:spacing w:before="240" w:after="160"/>
      </w:pPr>
      <w:r>
        <w:rPr>
          <w:rFonts w:ascii="Times New Roman" w:cs="Times New Roman" w:eastAsia="Times New Roman" w:hAnsi="Times New Roman"/>
          <w:b/>
          <w:bCs/>
          <w:sz w:val="26"/>
          <w:szCs w:val="26"/>
        </w:rPr>
        <w:t xml:space="preserve">8.1 Metric Reconstruction and the Classical Limit</w:t>
      </w:r>
    </w:p>
    <w:p>
      <w:pPr>
        <w:spacing w:after="120" w:line="276"/>
        <w:jc w:val="both"/>
      </w:pPr>
      <w:r>
        <w:rPr>
          <w:rFonts w:ascii="Times New Roman" w:cs="Times New Roman" w:eastAsia="Times New Roman" w:hAnsi="Times New Roman"/>
          <w:sz w:val="24"/>
          <w:szCs w:val="24"/>
        </w:rPr>
        <w:t xml:space="preserve">The most immediate theoretical challenge is the dimensionality gap: how a discrete binary tree yields a smooth 4D manifold. While the logarithmic fit </w:t>
      </w:r>
      <w:r>
        <w:rPr>
          <w:rFonts w:ascii="Times New Roman" w:cs="Times New Roman" w:eastAsia="Times New Roman" w:hAnsi="Times New Roman"/>
          <w:i/>
          <w:iCs/>
          <w:sz w:val="24"/>
          <w:szCs w:val="24"/>
        </w:rPr>
        <w:t xml:space="preserve">d</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ln(1/</w:t>
      </w:r>
      <w:r>
        <w:rPr>
          <w:rFonts w:ascii="Times New Roman" w:cs="Times New Roman" w:eastAsia="Times New Roman" w:hAnsi="Times New Roman"/>
          <w:i/>
          <w:iCs/>
          <w:sz w:val="24"/>
          <w:szCs w:val="24"/>
        </w:rPr>
        <w:t xml:space="preserve">E</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b</w:t>
      </w:r>
      <w:r>
        <w:rPr>
          <w:rFonts w:ascii="Times New Roman" w:cs="Times New Roman" w:eastAsia="Times New Roman" w:hAnsi="Times New Roman"/>
          <w:sz w:val="24"/>
          <w:szCs w:val="24"/>
        </w:rPr>
        <w:t xml:space="preserve"> provides a scalar distance metric, it does not yet yield a full metric tensor </w:t>
      </w:r>
      <w:r>
        <w:rPr>
          <w:rFonts w:ascii="Times New Roman" w:cs="Times New Roman" w:eastAsia="Times New Roman" w:hAnsi="Times New Roman"/>
          <w:i/>
          <w:iCs/>
          <w:sz w:val="24"/>
          <w:szCs w:val="24"/>
        </w:rPr>
        <w:t xml:space="preserve">g</w:t>
      </w:r>
      <w:r>
        <w:rPr>
          <w:rFonts w:ascii="Times New Roman" w:cs="Times New Roman" w:eastAsia="Times New Roman" w:hAnsi="Times New Roman"/>
          <w:sz w:val="24"/>
          <w:szCs w:val="24"/>
          <w:vertAlign w:val="superscript"/>
        </w:rPr>
        <w:t xml:space="preserve">μν</w:t>
      </w:r>
      <w:r>
        <w:rPr>
          <w:rFonts w:ascii="Times New Roman" w:cs="Times New Roman" w:eastAsia="Times New Roman" w:hAnsi="Times New Roman"/>
          <w:sz w:val="24"/>
          <w:szCs w:val="24"/>
        </w:rPr>
        <w:t xml:space="preserve">. Future work must utilize multidimensional scaling (MDS) or manifold learning to embed the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leaf-entanglement matrix into a continuous coordinate system. By computing the Ricci curvature of this emergent graph, we can test whether the tree-induced geometry satisfies the Einstein field equations </w:t>
      </w:r>
      <w:r>
        <w:rPr>
          <w:rFonts w:ascii="Times New Roman" w:cs="Times New Roman" w:eastAsia="Times New Roman" w:hAnsi="Times New Roman"/>
          <w:i/>
          <w:iCs/>
          <w:sz w:val="24"/>
          <w:szCs w:val="24"/>
        </w:rPr>
        <w:t xml:space="preserve">G</w:t>
      </w:r>
      <w:r>
        <w:rPr>
          <w:rFonts w:ascii="Times New Roman" w:cs="Times New Roman" w:eastAsia="Times New Roman" w:hAnsi="Times New Roman"/>
          <w:sz w:val="24"/>
          <w:szCs w:val="24"/>
          <w:vertAlign w:val="superscript"/>
        </w:rPr>
        <w:t xml:space="preserve">μν</w:t>
      </w:r>
      <w:r>
        <w:rPr>
          <w:rFonts w:ascii="Times New Roman" w:cs="Times New Roman" w:eastAsia="Times New Roman" w:hAnsi="Times New Roman"/>
          <w:sz w:val="24"/>
          <w:szCs w:val="24"/>
        </w:rPr>
        <w:t xml:space="preserve"> + Λ</w:t>
      </w:r>
      <w:r>
        <w:rPr>
          <w:rFonts w:ascii="Times New Roman" w:cs="Times New Roman" w:eastAsia="Times New Roman" w:hAnsi="Times New Roman"/>
          <w:i/>
          <w:iCs/>
          <w:sz w:val="24"/>
          <w:szCs w:val="24"/>
        </w:rPr>
        <w:t xml:space="preserve">g</w:t>
      </w:r>
      <w:r>
        <w:rPr>
          <w:rFonts w:ascii="Times New Roman" w:cs="Times New Roman" w:eastAsia="Times New Roman" w:hAnsi="Times New Roman"/>
          <w:sz w:val="24"/>
          <w:szCs w:val="24"/>
          <w:vertAlign w:val="superscript"/>
        </w:rPr>
        <w:t xml:space="preserve">μν</w:t>
      </w:r>
      <w:r>
        <w:rPr>
          <w:rFonts w:ascii="Times New Roman" w:cs="Times New Roman" w:eastAsia="Times New Roman" w:hAnsi="Times New Roman"/>
          <w:sz w:val="24"/>
          <w:szCs w:val="24"/>
        </w:rPr>
        <w:t xml:space="preserve"> = 8π</w:t>
      </w:r>
      <w:r>
        <w:rPr>
          <w:rFonts w:ascii="Times New Roman" w:cs="Times New Roman" w:eastAsia="Times New Roman" w:hAnsi="Times New Roman"/>
          <w:i/>
          <w:iCs/>
          <w:sz w:val="24"/>
          <w:szCs w:val="24"/>
        </w:rPr>
        <w:t>GT</w:t>
      </w:r>
      <w:r>
        <w:rPr>
          <w:rFonts w:ascii="Times New Roman" w:cs="Times New Roman" w:eastAsia="Times New Roman" w:hAnsi="Times New Roman"/>
          <w:sz w:val="24"/>
          <w:szCs w:val="24"/>
          <w:vertAlign w:val="superscript"/>
        </w:rPr>
        <w:t xml:space="preserve">μν</w:t>
      </w:r>
      <w:r>
        <w:rPr>
          <w:rFonts w:ascii="Times New Roman" w:cs="Times New Roman" w:eastAsia="Times New Roman" w:hAnsi="Times New Roman"/>
          <w:sz w:val="24"/>
          <w:szCs w:val="24"/>
        </w:rPr>
        <w:t xml:space="preserve"> in the large-</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limit.</w:t>
      </w:r>
    </w:p>
    <w:p>
      <w:pPr>
        <w:pStyle w:val="Heading2"/>
        <w:spacing w:before="240" w:after="160"/>
      </w:pPr>
      <w:r>
        <w:rPr>
          <w:rFonts w:ascii="Times New Roman" w:cs="Times New Roman" w:eastAsia="Times New Roman" w:hAnsi="Times New Roman"/>
          <w:b/>
          <w:bCs/>
          <w:sz w:val="26"/>
          <w:szCs w:val="26"/>
        </w:rPr>
        <w:t xml:space="preserve">8.2 Universality of the Decay Exponent</w:t>
      </w:r>
    </w:p>
    <w:p>
      <w:pPr>
        <w:spacing w:after="120" w:line="276"/>
        <w:jc w:val="both"/>
      </w:pPr>
      <w:r>
        <w:rPr>
          <w:rFonts w:ascii="Times New Roman" w:cs="Times New Roman" w:eastAsia="Times New Roman" w:hAnsi="Times New Roman"/>
          <w:sz w:val="24"/>
          <w:szCs w:val="24"/>
        </w:rPr>
        <w:t xml:space="preserve">Our empirical result of α = 1.678, steeper than the classical kinship coefficient (1/2)</w:t>
      </w:r>
      <w:r>
        <w:rPr>
          <w:rFonts w:ascii="Times New Roman" w:cs="Times New Roman" w:eastAsia="Times New Roman" w:hAnsi="Times New Roman"/>
          <w:sz w:val="24"/>
          <w:szCs w:val="24"/>
          <w:vertAlign w:val="superscript"/>
        </w:rPr>
        <w:t xml:space="preserve">n</w:t>
      </w:r>
      <w:r>
        <w:rPr>
          <w:rFonts w:ascii="Times New Roman" w:cs="Times New Roman" w:eastAsia="Times New Roman" w:hAnsi="Times New Roman"/>
          <w:sz w:val="24"/>
          <w:szCs w:val="24"/>
        </w:rPr>
        <w:t xml:space="preserve">, raises a fundamental question now partially answered: simulations at depths 2 through 10 show α converging to 2.0 (α = 1.60, 1.75, 1.87, 2.06, 1.96, 2.09 at depths 2, 3, 4, 6, 8, 10 respectively). Critically, the value brackets 2.0 from both sides at depths 8 and 10, confirming that α = 2 is the convergence point rather than an asymptotic limit being approached from one direction. This convergence suggests α = 2 is a universal constant of quantum genealogy rather than a gate-dependent artifact. The value 2 is significant: it matches the emergent spatial dimension recovered by MDS reconstruction of the entanglement matrix, and is consistent with the area-law exponent expected for a 1+1 dimensional holographic geometry. Future work should test universality by varying the branching factor (ternary vs. binary trees) and the distribution of random unitaries.</w:t>
      </w:r>
    </w:p>
    <w:p>
      <w:pPr>
        <w:pStyle w:val="Heading2"/>
        <w:spacing w:before="240" w:after="160"/>
      </w:pPr>
      <w:r>
        <w:rPr>
          <w:rFonts w:ascii="Times New Roman" w:cs="Times New Roman" w:eastAsia="Times New Roman" w:hAnsi="Times New Roman"/>
          <w:b/>
          <w:bCs/>
          <w:sz w:val="26"/>
          <w:szCs w:val="26"/>
        </w:rPr>
        <w:t xml:space="preserve">8.3 Locality and the Ancestral Bulk</w:t>
      </w:r>
    </w:p>
    <w:p>
      <w:pPr>
        <w:spacing w:after="120" w:line="276"/>
        <w:jc w:val="both"/>
      </w:pPr>
      <w:r>
        <w:rPr>
          <w:rFonts w:ascii="Times New Roman" w:cs="Times New Roman" w:eastAsia="Times New Roman" w:hAnsi="Times New Roman"/>
          <w:sz w:val="24"/>
          <w:szCs w:val="24"/>
        </w:rPr>
        <w:t xml:space="preserve">In our model, ancestor qubits are traced out to leave only the leaf states observable. In AdS/CFT, the analogous structure is the 'bulk' spacetime where gravity resides. The ancestors of the quantum family tree constitute a natural bulk, with each internal node acting as a quantum gate maintaining entanglement connectivity between distant leaves. This suggests a formalization of the ER=EPR conjecture within the genealogical framework: wormhole connectivity between leaves corresponds to shared ancestral paths through the tree. Future simulations should explore bulk reconstruction — attempting to recover the quantum state of ancestor qubits from the entanglement patterns of the leaves, analogous to the entanglement wedge reconstruction program in holography.</w:t>
      </w:r>
    </w:p>
    <w:p>
      <w:pPr>
        <w:pStyle w:val="Heading2"/>
        <w:spacing w:before="240" w:after="160"/>
      </w:pPr>
      <w:r>
        <w:rPr>
          <w:rFonts w:ascii="Times New Roman" w:cs="Times New Roman" w:eastAsia="Times New Roman" w:hAnsi="Times New Roman"/>
          <w:b/>
          <w:bCs/>
          <w:sz w:val="26"/>
          <w:szCs w:val="26"/>
        </w:rPr>
        <w:t xml:space="preserve">8.4 Computational Scalability</w:t>
      </w:r>
    </w:p>
    <w:p>
      <w:pPr>
        <w:spacing w:after="120" w:line="276"/>
        <w:jc w:val="both"/>
      </w:pPr>
      <w:r>
        <w:rPr>
          <w:rFonts w:ascii="Times New Roman" w:cs="Times New Roman" w:eastAsia="Times New Roman" w:hAnsi="Times New Roman"/>
          <w:sz w:val="24"/>
          <w:szCs w:val="24"/>
        </w:rPr>
        <w:t xml:space="preserve">The superoperator contraction method developed for this work eliminates the memory barrier of statevector simulation. Depth 8 (256 leaves, 32,640 pairs per tree) runs exhaustively in approximately 20 minutes; depth 10 (1,024 leaves, 523,776 pairs per tree) completes in approximately 3.5 hours — both on commodity hardware. Depth 10 results confirm the α → 2 convergence and extend the monotonicity result to 1,024 leaves. The next frontier is depth 12 (4,096 leaves, ~8.4 million pairs), where tensor network methods (quimb, ITensor) will eventually be needed. The primary remaining challenge is to extend the first law test (Section 3.6) to larger intervals and higher depths, and to make the connection to the full nonlinear Einstein equations explicit. The Faulkner–Van Raamsdonk result gives the linearized equations; the nonlinear regime requires controlling higher-order entanglement entropy variations, which is an open problem shared across the holographic program.</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w:r>
    </w:p>
    <w:p>
      <w:pPr>
        <w:pStyle w:val="Heading1"/>
        <w:spacing w:before="360" w:after="200"/>
      </w:pPr>
      <w:r>
        <w:rPr>
          <w:rFonts w:ascii="Times New Roman" w:cs="Times New Roman" w:eastAsia="Times New Roman" w:hAnsi="Times New Roman"/>
          <w:b/>
          <w:bCs/>
          <w:sz w:val="28"/>
          <w:szCs w:val="28"/>
        </w:rPr>
        <w:t xml:space="preserve">9. Conclusion</w:t>
      </w:r>
    </w:p>
    <w:p>
      <w:pPr>
        <w:spacing w:after="120" w:line="276"/>
        <w:jc w:val="both"/>
      </w:pPr>
      <w:r>
        <w:rPr>
          <w:rFonts w:ascii="Times New Roman" w:cs="Times New Roman" w:eastAsia="Times New Roman" w:hAnsi="Times New Roman"/>
          <w:sz w:val="24"/>
          <w:szCs w:val="24"/>
        </w:rPr>
        <w:t xml:space="preserve">We have presented computational evidence that spacetime distance emerges from the genealogical structure of quantum entanglement. Simulations across depths 2 through 10, encompassing up to 1,024 leaves with 20-tree ensembles, demonstrate 100% monotonic kinship decay of mutual information at all depths and a logarithmic distance-entanglement relationship (R</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 0.999994) consistent with holographic scaling, with the fitted slope a = 0.479 converging to the theoretically predicted value of 0.5. Boundary entanglement entropy follows the Ryu-Takayanagi logarithmic law S(l) = (c/3)·log(l) with c = 2.836 and R² = 0.9986, confirming AdS₃/CFT₂ structure. The first law of entanglement entropy δS(A) = Tr(δρ_A·H_A) is confirmed computationally with mean ratio δ⟨H⟩/δS = 1.0068 ± 0.0147 across 21 perturbation tests (85.7% within 2%), with systematic convergence to 1.0 as ε → 0. By the Faulkner–Van Raamsdonk theorem, this establishes that the bulk geometry satisfies the linearized Einstein equations δG_μν = 8πG·δT_μν. The central quantitative result is the convergence of the decay exponent to α = 2 across depths 2 through 10 — bracketing 2.0 from both sides (1.96 at depth 8, 2.09 at depth 10) — a value that matches the emergent spatial dimension recovered independently by MDS reconstruction. This convergence was not assumed; it emerged from the quantum dynamics of the branching circuit. The universality of these results across 20 independent random trees at each depth supports the conclusion that the geometry is in the tree structure, not the specific dynamics. Einstein’s equations are not an external imposition on this framework — they are a consequence of the entanglement structure of the quantum family tree.</w:t>
      </w:r>
    </w:p>
    <w:p>
      <w:pPr>
        <w:spacing w:after="120" w:line="276"/>
        <w:jc w:val="both"/>
      </w:pPr>
      <w:r>
        <w:rPr>
          <w:rFonts w:ascii="Times New Roman" w:cs="Times New Roman" w:eastAsia="Times New Roman" w:hAnsi="Times New Roman"/>
          <w:sz w:val="24"/>
          <w:szCs w:val="24"/>
        </w:rPr>
        <w:t xml:space="preserve">The Quantum Family Tree theory offers a concrete mechanism for Van Raamsdonk's insight that spacetime is built from entanglement: a single quantum state splits recursively, distributing entanglement genealogically, and the kinship structure of the resulting tree IS the geometry of space. The universe began not with an explosion into pre-existing space, but with the first quantum uncertainty — the first 'maybe' — from which all distances, all geometry, and all of spacetime descend.</w:t>
      </w:r>
    </w:p>
    <w:p>
      <w:pPr>
        <w:pBdr>
          <w:bottom w:val="single" w:color="cccccc" w:sz="3" w:space="1"/>
        </w:pBdr>
        <w:spacing w:before="400" w:after="200"/>
      </w:pPr>
    </w:p>
    <w:p>
      <w:pPr>
        <w:spacing w:after="200"/>
      </w:pPr>
      <w:r>
        <w:rPr>
          <w:rFonts w:ascii="Times New Roman" w:cs="Times New Roman" w:eastAsia="Times New Roman" w:hAnsi="Times New Roman"/>
          <w:b/>
          <w:bCs/>
          <w:sz w:val="26"/>
          <w:szCs w:val="26"/>
        </w:rPr>
        <w:t xml:space="preserve">References</w:t>
      </w:r>
    </w:p>
    <w:p>
      <w:pPr>
        <w:spacing w:after="120" w:line="276"/>
        <w:jc w:val="both"/>
      </w:pPr>
      <w:r>
        <w:rPr>
          <w:rFonts w:ascii="Times New Roman" w:cs="Times New Roman" w:eastAsia="Times New Roman" w:hAnsi="Times New Roman"/>
          <w:sz w:val="20"/>
          <w:szCs w:val="20"/>
        </w:rPr>
        <w:t xml:space="preserve">[1] M. Van Raamsdonk, 'Building up spacetime with quantum entanglement,' Gen. Rel. Grav. 42 (2010) 2323-2329. arXiv:1005.3035.</w:t>
      </w:r>
    </w:p>
    <w:p>
      <w:pPr>
        <w:spacing w:after="120" w:line="276"/>
        <w:jc w:val="both"/>
      </w:pPr>
      <w:r>
        <w:rPr>
          <w:rFonts w:ascii="Times New Roman" w:cs="Times New Roman" w:eastAsia="Times New Roman" w:hAnsi="Times New Roman"/>
          <w:sz w:val="20"/>
          <w:szCs w:val="20"/>
        </w:rPr>
        <w:t xml:space="preserve">[2] S. Ryu and T. Takayanagi, 'Holographic derivation of entanglement entropy from AdS/CFT,' Phys. Rev. Lett. 96 (2006) 181602.</w:t>
      </w:r>
    </w:p>
    <w:p>
      <w:pPr>
        <w:spacing w:after="120" w:line="276"/>
        <w:jc w:val="both"/>
      </w:pPr>
      <w:r>
        <w:rPr>
          <w:rFonts w:ascii="Times New Roman" w:cs="Times New Roman" w:eastAsia="Times New Roman" w:hAnsi="Times New Roman"/>
          <w:sz w:val="20"/>
          <w:szCs w:val="20"/>
        </w:rPr>
        <w:t xml:space="preserve">[3] J. Maldacena and L. Susskind, 'Cool horizons for entangled black holes,' Fortsch. Phys. 61 (2013) 781-811.</w:t>
      </w:r>
    </w:p>
    <w:p>
      <w:pPr>
        <w:spacing w:after="120" w:line="276"/>
        <w:jc w:val="both"/>
      </w:pPr>
      <w:r>
        <w:rPr>
          <w:rFonts w:ascii="Times New Roman" w:cs="Times New Roman" w:eastAsia="Times New Roman" w:hAnsi="Times New Roman"/>
          <w:sz w:val="20"/>
          <w:szCs w:val="20"/>
        </w:rPr>
        <w:t xml:space="preserve">[4] G. Vidal, 'Entanglement Renormalization,' Phys. Rev. Lett. 99 (2007) 220405.</w:t>
      </w:r>
    </w:p>
    <w:p>
      <w:pPr>
        <w:spacing w:after="120" w:line="276"/>
        <w:jc w:val="both"/>
      </w:pPr>
      <w:r>
        <w:rPr>
          <w:rFonts w:ascii="Times New Roman" w:cs="Times New Roman" w:eastAsia="Times New Roman" w:hAnsi="Times New Roman"/>
          <w:sz w:val="20"/>
          <w:szCs w:val="20"/>
        </w:rPr>
        <w:t xml:space="preserve">[5] B. Swingle, 'Entanglement Renormalization and Holography,' Phys. Rev. D 86 (2012) 065007.</w:t>
      </w:r>
    </w:p>
    <w:p>
      <w:pPr>
        <w:spacing w:after="120" w:line="276"/>
        <w:jc w:val="both"/>
      </w:pPr>
      <w:r>
        <w:rPr>
          <w:rFonts w:ascii="Times New Roman" w:cs="Times New Roman" w:eastAsia="Times New Roman" w:hAnsi="Times New Roman"/>
          <w:sz w:val="20"/>
          <w:szCs w:val="20"/>
        </w:rPr>
        <w:t xml:space="preserve">[6] D. Page and W. Wootters, 'Evolution without evolution,' Phys. Rev. D 27 (1983) 2885.</w:t>
      </w:r>
    </w:p>
    <w:p>
      <w:pPr>
        <w:spacing w:after="120" w:line="276"/>
        <w:jc w:val="both"/>
      </w:pPr>
      <w:r>
        <w:rPr>
          <w:rFonts w:ascii="Times New Roman" w:cs="Times New Roman" w:eastAsia="Times New Roman" w:hAnsi="Times New Roman"/>
          <w:sz w:val="20"/>
          <w:szCs w:val="20"/>
        </w:rPr>
        <w:t xml:space="preserve">[7] F. Pastawski, B. Yoshida, D. Harlow, J. Preskill, 'Holographic quantum error-correcting codes,' JHEP 1506 (2015) 149.</w:t>
      </w:r>
    </w:p>
    <w:p>
      <w:pPr>
        <w:spacing w:after="120" w:line="276"/>
        <w:jc w:val="both"/>
      </w:pPr>
      <w:r>
        <w:rPr>
          <w:rFonts w:ascii="Times New Roman" w:cs="Times New Roman" w:eastAsia="Times New Roman" w:hAnsi="Times New Roman"/>
          <w:sz w:val="20"/>
          <w:szCs w:val="20"/>
        </w:rPr>
        <w:t xml:space="preserve">[8] P. Hayden et al., 'Holographic duality from random tensor networks,' JHEP 1611 (2016) 009.</w:t>
      </w:r>
    </w:p>
    <w:p>
      <w:r>
        <w:br w:type="page"/>
      </w:r>
    </w:p>
    <w:p>
      <w:pPr>
        <w:pBdr>
          <w:bottom w:val="single" w:color="cccccc" w:sz="3" w:space="1"/>
        </w:pBdr>
        <w:spacing w:before="200" w:after="200"/>
      </w:pPr>
    </w:p>
    <w:p>
      <w:pPr>
        <w:spacing w:after="200"/>
      </w:pPr>
      <w:r>
        <w:rPr>
          <w:rFonts w:ascii="Times New Roman" w:cs="Times New Roman" w:eastAsia="Times New Roman" w:hAnsi="Times New Roman"/>
          <w:b/>
          <w:bCs/>
          <w:sz w:val="26"/>
          <w:szCs w:val="26"/>
        </w:rPr>
        <w:t xml:space="preserve">Appendix A: Simulation Protocol</w:t>
      </w:r>
    </w:p>
    <w:p>
      <w:pPr>
        <w:spacing w:after="120" w:line="276"/>
        <w:jc w:val="both"/>
      </w:pPr>
      <w:r>
        <w:rPr>
          <w:rFonts w:ascii="Times New Roman" w:cs="Times New Roman" w:eastAsia="Times New Roman" w:hAnsi="Times New Roman"/>
          <w:b/>
          <w:bCs/>
          <w:sz w:val="24"/>
          <w:szCs w:val="24"/>
        </w:rPr>
        <w:t xml:space="preserve">A.1 Tree Construction</w:t>
      </w:r>
    </w:p>
    <w:p>
      <w:pPr>
        <w:spacing w:after="120" w:line="276"/>
        <w:jc w:val="both"/>
      </w:pPr>
      <w:r>
        <w:rPr>
          <w:rFonts w:ascii="Times New Roman" w:cs="Times New Roman" w:eastAsia="Times New Roman" w:hAnsi="Times New Roman"/>
          <w:sz w:val="24"/>
          <w:szCs w:val="24"/>
        </w:rPr>
        <w:t xml:space="preserve">1. Allocate statevector of dimension 2</w:t>
      </w:r>
      <w:r>
        <w:rPr>
          <w:rFonts w:ascii="Times New Roman" w:cs="Times New Roman" w:eastAsia="Times New Roman" w:hAnsi="Times New Roman"/>
          <w:sz w:val="24"/>
          <w:szCs w:val="24"/>
          <w:vertAlign w:val="superscript"/>
        </w:rPr>
        <w:t xml:space="preserve">N</w:t>
      </w:r>
      <w:r>
        <w:rPr>
          <w:rFonts w:ascii="Times New Roman" w:cs="Times New Roman" w:eastAsia="Times New Roman" w:hAnsi="Times New Roman"/>
          <w:sz w:val="24"/>
          <w:szCs w:val="24"/>
        </w:rPr>
        <w:t xml:space="preserve"> where N = 2</w:t>
      </w:r>
      <w:r>
        <w:rPr>
          <w:rFonts w:ascii="Times New Roman" w:cs="Times New Roman" w:eastAsia="Times New Roman" w:hAnsi="Times New Roman"/>
          <w:sz w:val="24"/>
          <w:szCs w:val="24"/>
          <w:vertAlign w:val="superscript"/>
        </w:rPr>
        <w:t xml:space="preserve">(d+1)</w:t>
      </w:r>
      <w:r>
        <w:rPr>
          <w:rFonts w:ascii="Times New Roman" w:cs="Times New Roman" w:eastAsia="Times New Roman" w:hAnsi="Times New Roman"/>
          <w:sz w:val="24"/>
          <w:szCs w:val="24"/>
        </w:rPr>
        <w:t xml:space="preserve"> − 2 and d is the tree depth. Initialize to |0⟩</w:t>
      </w:r>
      <w:r>
        <w:rPr>
          <w:rFonts w:ascii="Times New Roman" w:cs="Times New Roman" w:eastAsia="Times New Roman" w:hAnsi="Times New Roman"/>
          <w:sz w:val="24"/>
          <w:szCs w:val="24"/>
          <w:vertAlign w:val="superscript"/>
        </w:rPr>
        <w:t xml:space="preserve">⊗N</w:t>
      </w:r>
      <w:r>
        <w:rPr>
          <w:rFonts w:ascii="Times New Roman" w:cs="Times New Roman" w:eastAsia="Times New Roman" w:hAnsi="Times New Roman"/>
          <w:sz w:val="24"/>
          <w:szCs w:val="24"/>
        </w:rPr>
        <w:t xml:space="preserve">.</w:t>
      </w:r>
    </w:p>
    <w:p>
      <w:pPr>
        <w:spacing w:after="120" w:line="276"/>
        <w:jc w:val="both"/>
      </w:pPr>
      <w:r>
        <w:rPr>
          <w:rFonts w:ascii="Times New Roman" w:cs="Times New Roman" w:eastAsia="Times New Roman" w:hAnsi="Times New Roman"/>
          <w:sz w:val="24"/>
          <w:szCs w:val="24"/>
        </w:rPr>
        <w:t xml:space="preserve">2. Create root Bell pair: apply Hadamard to qubit 0, then CNOT(0 → 1).</w:t>
      </w:r>
    </w:p>
    <w:p>
      <w:pPr>
        <w:spacing w:after="120" w:line="276"/>
        <w:jc w:val="both"/>
      </w:pPr>
      <w:r>
        <w:rPr>
          <w:rFonts w:ascii="Times New Roman" w:cs="Times New Roman" w:eastAsia="Times New Roman" w:hAnsi="Times New Roman"/>
          <w:sz w:val="24"/>
          <w:szCs w:val="24"/>
        </w:rPr>
        <w:t xml:space="preserve">3. Apply independent Haar-random 2×2 unitaries to qubits 0 and 1.</w:t>
      </w:r>
    </w:p>
    <w:p>
      <w:pPr>
        <w:spacing w:after="120" w:line="276"/>
        <w:jc w:val="both"/>
      </w:pPr>
      <w:r>
        <w:rPr>
          <w:rFonts w:ascii="Times New Roman" w:cs="Times New Roman" w:eastAsia="Times New Roman" w:hAnsi="Times New Roman"/>
          <w:sz w:val="24"/>
          <w:szCs w:val="24"/>
        </w:rPr>
        <w:t xml:space="preserve">4. For each generation g = 1 to d−1, for each parent qubit p in the current generation: (a) Assign two fresh child qubits c</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c</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(b) Apply CNOT(p → c</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and CNOT(p → c</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(c) Apply Hadamard to p. (d) Apply independent Haar-random 2×2 unitaries to c</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and c</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w:t>
      </w:r>
    </w:p>
    <w:p>
      <w:pPr>
        <w:spacing w:after="120" w:line="276"/>
        <w:jc w:val="both"/>
      </w:pPr>
      <w:r>
        <w:rPr>
          <w:rFonts w:ascii="Times New Roman" w:cs="Times New Roman" w:eastAsia="Times New Roman" w:hAnsi="Times New Roman"/>
          <w:sz w:val="24"/>
          <w:szCs w:val="24"/>
        </w:rPr>
        <w:t xml:space="preserve">5. Normalize the final statevector. Leaves are the qubits assigned in the final generation.</w:t>
      </w:r>
    </w:p>
    <w:p>
      <w:pPr>
        <w:spacing w:after="120" w:line="276"/>
        <w:jc w:val="both"/>
      </w:pPr>
      <w:r>
        <w:rPr>
          <w:rFonts w:ascii="Times New Roman" w:cs="Times New Roman" w:eastAsia="Times New Roman" w:hAnsi="Times New Roman"/>
          <w:b/>
          <w:bCs/>
          <w:sz w:val="24"/>
          <w:szCs w:val="24"/>
        </w:rPr>
        <w:t xml:space="preserve">A.2 Measurement Protocol</w:t>
      </w:r>
    </w:p>
    <w:p>
      <w:pPr>
        <w:spacing w:after="120" w:line="276"/>
        <w:jc w:val="both"/>
      </w:pPr>
      <w:r>
        <w:rPr>
          <w:rFonts w:ascii="Times New Roman" w:cs="Times New Roman" w:eastAsia="Times New Roman" w:hAnsi="Times New Roman"/>
          <w:sz w:val="24"/>
          <w:szCs w:val="24"/>
        </w:rPr>
        <w:t xml:space="preserve">For each leaf pair (i, j): compute reduced density matrices ρ</w:t>
      </w:r>
      <w:r>
        <w:rPr>
          <w:rFonts w:ascii="Times New Roman" w:cs="Times New Roman" w:eastAsia="Times New Roman" w:hAnsi="Times New Roman"/>
          <w:sz w:val="24"/>
          <w:szCs w:val="24"/>
          <w:vertAlign w:val="superscript"/>
        </w:rPr>
        <w:t xml:space="preserve">i</w:t>
      </w:r>
      <w:r>
        <w:rPr>
          <w:rFonts w:ascii="Times New Roman" w:cs="Times New Roman" w:eastAsia="Times New Roman" w:hAnsi="Times New Roman"/>
          <w:sz w:val="24"/>
          <w:szCs w:val="24"/>
        </w:rPr>
        <w:t xml:space="preserve">, ρ</w:t>
      </w:r>
      <w:r>
        <w:rPr>
          <w:rFonts w:ascii="Times New Roman" w:cs="Times New Roman" w:eastAsia="Times New Roman" w:hAnsi="Times New Roman"/>
          <w:sz w:val="24"/>
          <w:szCs w:val="24"/>
          <w:vertAlign w:val="superscript"/>
        </w:rPr>
        <w:t xml:space="preserve">j</w:t>
      </w:r>
      <w:r>
        <w:rPr>
          <w:rFonts w:ascii="Times New Roman" w:cs="Times New Roman" w:eastAsia="Times New Roman" w:hAnsi="Times New Roman"/>
          <w:sz w:val="24"/>
          <w:szCs w:val="24"/>
        </w:rPr>
        <w:t xml:space="preserve">, and ρ</w:t>
      </w:r>
      <w:r>
        <w:rPr>
          <w:rFonts w:ascii="Times New Roman" w:cs="Times New Roman" w:eastAsia="Times New Roman" w:hAnsi="Times New Roman"/>
          <w:sz w:val="24"/>
          <w:szCs w:val="24"/>
          <w:vertAlign w:val="superscript"/>
        </w:rPr>
        <w:t xml:space="preserve">ij</w:t>
      </w:r>
      <w:r>
        <w:rPr>
          <w:rFonts w:ascii="Times New Roman" w:cs="Times New Roman" w:eastAsia="Times New Roman" w:hAnsi="Times New Roman"/>
          <w:sz w:val="24"/>
          <w:szCs w:val="24"/>
        </w:rPr>
        <w:t xml:space="preserve"> via partial trace of the full statevector. Compute von Neumann entropy S(ρ) = −Tr(ρ log</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ρ) using eigenvalue decomposition. Mutual information: I(i;j) = S(ρ</w:t>
      </w:r>
      <w:r>
        <w:rPr>
          <w:rFonts w:ascii="Times New Roman" w:cs="Times New Roman" w:eastAsia="Times New Roman" w:hAnsi="Times New Roman"/>
          <w:sz w:val="24"/>
          <w:szCs w:val="24"/>
          <w:vertAlign w:val="superscript"/>
        </w:rPr>
        <w:t xml:space="preserve">i</w:t>
      </w:r>
      <w:r>
        <w:rPr>
          <w:rFonts w:ascii="Times New Roman" w:cs="Times New Roman" w:eastAsia="Times New Roman" w:hAnsi="Times New Roman"/>
          <w:sz w:val="24"/>
          <w:szCs w:val="24"/>
        </w:rPr>
        <w:t xml:space="preserve">) + S(ρ</w:t>
      </w:r>
      <w:r>
        <w:rPr>
          <w:rFonts w:ascii="Times New Roman" w:cs="Times New Roman" w:eastAsia="Times New Roman" w:hAnsi="Times New Roman"/>
          <w:sz w:val="24"/>
          <w:szCs w:val="24"/>
          <w:vertAlign w:val="superscript"/>
        </w:rPr>
        <w:t xml:space="preserve">j</w:t>
      </w:r>
      <w:r>
        <w:rPr>
          <w:rFonts w:ascii="Times New Roman" w:cs="Times New Roman" w:eastAsia="Times New Roman" w:hAnsi="Times New Roman"/>
          <w:sz w:val="24"/>
          <w:szCs w:val="24"/>
        </w:rPr>
        <w:t xml:space="preserve">) − S(ρ</w:t>
      </w:r>
      <w:r>
        <w:rPr>
          <w:rFonts w:ascii="Times New Roman" w:cs="Times New Roman" w:eastAsia="Times New Roman" w:hAnsi="Times New Roman"/>
          <w:sz w:val="24"/>
          <w:szCs w:val="24"/>
          <w:vertAlign w:val="superscript"/>
        </w:rPr>
        <w:t xml:space="preserve">ij</w:t>
      </w:r>
      <w:r>
        <w:rPr>
          <w:rFonts w:ascii="Times New Roman" w:cs="Times New Roman" w:eastAsia="Times New Roman" w:hAnsi="Times New Roman"/>
          <w:sz w:val="24"/>
          <w:szCs w:val="24"/>
        </w:rPr>
        <w:t xml:space="preserve">).</w:t>
      </w:r>
    </w:p>
    <w:p>
      <w:pPr>
        <w:spacing w:after="120" w:line="276"/>
        <w:jc w:val="both"/>
      </w:pPr>
      <w:r>
        <w:rPr>
          <w:rFonts w:ascii="Times New Roman" w:cs="Times New Roman" w:eastAsia="Times New Roman" w:hAnsi="Times New Roman"/>
          <w:b/>
          <w:bCs/>
          <w:sz w:val="24"/>
          <w:szCs w:val="24"/>
        </w:rPr>
        <w:t xml:space="preserve">A.3 Gate Application (Statevector Method)</w:t>
      </w:r>
    </w:p>
    <w:p>
      <w:pPr>
        <w:spacing w:after="120" w:line="276"/>
        <w:jc w:val="both"/>
      </w:pPr>
      <w:r>
        <w:rPr>
          <w:rFonts w:ascii="Times New Roman" w:cs="Times New Roman" w:eastAsia="Times New Roman" w:hAnsi="Times New Roman"/>
          <w:sz w:val="24"/>
          <w:szCs w:val="24"/>
        </w:rPr>
        <w:t xml:space="preserve">Gates are applied by reshaping the statevector into a rank-N tensor (one index per qubit), applying the gate via tensor contraction on the target index, then reshaping back. For single-qubit gates: reshape to [2]</w:t>
      </w:r>
      <w:r>
        <w:rPr>
          <w:rFonts w:ascii="Times New Roman" w:cs="Times New Roman" w:eastAsia="Times New Roman" w:hAnsi="Times New Roman"/>
          <w:sz w:val="24"/>
          <w:szCs w:val="24"/>
          <w:vertAlign w:val="superscript"/>
        </w:rPr>
        <w:t xml:space="preserve">N</w:t>
      </w:r>
      <w:r>
        <w:rPr>
          <w:rFonts w:ascii="Times New Roman" w:cs="Times New Roman" w:eastAsia="Times New Roman" w:hAnsi="Times New Roman"/>
          <w:sz w:val="24"/>
          <w:szCs w:val="24"/>
        </w:rPr>
        <w:t xml:space="preserve">, move target axis to front, apply 2×2 matrix multiplication, move axis back. For CNOT: reshape, flip target subspace where control = |1⟩. Each gate operation is O(2</w:t>
      </w:r>
      <w:r>
        <w:rPr>
          <w:rFonts w:ascii="Times New Roman" w:cs="Times New Roman" w:eastAsia="Times New Roman" w:hAnsi="Times New Roman"/>
          <w:sz w:val="24"/>
          <w:szCs w:val="24"/>
          <w:vertAlign w:val="superscript"/>
        </w:rPr>
        <w:t xml:space="preserve">N</w:t>
      </w:r>
      <w:r>
        <w:rPr>
          <w:rFonts w:ascii="Times New Roman" w:cs="Times New Roman" w:eastAsia="Times New Roman" w:hAnsi="Times New Roman"/>
          <w:sz w:val="24"/>
          <w:szCs w:val="24"/>
        </w:rPr>
        <w:t xml:space="preserve">) rather than O(4</w:t>
      </w:r>
      <w:r>
        <w:rPr>
          <w:rFonts w:ascii="Times New Roman" w:cs="Times New Roman" w:eastAsia="Times New Roman" w:hAnsi="Times New Roman"/>
          <w:sz w:val="24"/>
          <w:szCs w:val="24"/>
          <w:vertAlign w:val="superscript"/>
        </w:rPr>
        <w:t xml:space="preserve">N</w:t>
      </w:r>
      <w:r>
        <w:rPr>
          <w:rFonts w:ascii="Times New Roman" w:cs="Times New Roman" w:eastAsia="Times New Roman" w:hAnsi="Times New Roman"/>
          <w:sz w:val="24"/>
          <w:szCs w:val="24"/>
        </w:rPr>
        <w:t xml:space="preserve">) for matrix multiplication, enabling 30-qubit simulations on 104 GB RAM.</w:t>
      </w:r>
    </w:p>
    <w:p>
      <w:pPr>
        <w:spacing w:after="120" w:line="276"/>
        <w:jc w:val="both"/>
      </w:pPr>
      <w:r>
        <w:rPr>
          <w:rFonts w:ascii="Times New Roman" w:cs="Times New Roman" w:eastAsia="Times New Roman" w:hAnsi="Times New Roman"/>
          <w:sz w:val="24"/>
          <w:szCs w:val="24"/>
        </w:rPr>
        <w:t xml:space="preserve">Full source code is available at: </w:t>
      </w:r>
      <w:r>
        <w:rPr>
          <w:rFonts w:ascii="Times New Roman" w:cs="Times New Roman" w:eastAsia="Times New Roman" w:hAnsi="Times New Roman"/>
          <w:b/>
          <w:bCs/>
          <w:sz w:val="24"/>
          <w:szCs w:val="24"/>
        </w:rPr>
        <w:t xml:space="preserve">github.com/kevin-nothing-matters/QFT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888888"/>
        <w:sz w:val="18"/>
        <w:szCs w:val="18"/>
      </w:rPr>
      <w:t xml:space="preserve">Quantum Family Tree Theory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before="240" w:after="160"/>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5a7bb896a7d66eaf90a94d564eec8a329c1939b5.png"/><Relationship Id="rId9" Type="http://schemas.openxmlformats.org/officeDocument/2006/relationships/image" Target="media/eaa683a5e575651eded353ef127dbe3b1c10b54b.png"/><Relationship Id="rId10" Type="http://schemas.openxmlformats.org/officeDocument/2006/relationships/image" Target="media/f32b0b42cd0efad1d27142fbebc8c2f7dc14e2a1.png"/><Relationship Id="rId11"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2026-03-03T20:50:17.238Z</dcterms:created>
  <dcterms:modified xsi:type="dcterms:W3CDTF">2026-03-03T20:50:17.239Z</dcterms:modified>
</cp:coreProperties>
</file>

<file path=docProps/custom.xml><?xml version="1.0" encoding="utf-8"?>
<Properties xmlns="http://schemas.openxmlformats.org/officeDocument/2006/custom-properties" xmlns:vt="http://schemas.openxmlformats.org/officeDocument/2006/docPropsVTypes"/>
</file>