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8"/>
          <w:szCs w:val="48"/>
        </w:rPr>
        <w:t xml:space="preserve"/>
      </w:r>
    </w:p>
    <w:p>
      <w:r>
        <w:rPr>
          <w:sz w:val="48"/>
          <w:szCs w:val="48"/>
        </w:rPr>
        <w:t xml:space="preserve"/>
      </w:r>
    </w:p>
    <w:p>
      <w:pPr>
        <w:jc w:val="center"/>
      </w:pPr>
      <w:r>
        <w:rPr>
          <w:rFonts w:ascii="Arial" w:cs="Arial" w:eastAsia="Arial" w:hAnsi="Arial"/>
          <w:b/>
          <w:bCs/>
          <w:color w:val="1E3A5F"/>
          <w:sz w:val="52"/>
          <w:szCs w:val="52"/>
        </w:rPr>
        <w:t xml:space="preserve">NEXT-GEN HRMS</w:t>
      </w:r>
    </w:p>
    <w:p>
      <w:pPr>
        <w:jc w:val="center"/>
      </w:pPr>
      <w:r>
        <w:rPr>
          <w:rFonts w:ascii="Arial" w:cs="Arial" w:eastAsia="Arial" w:hAnsi="Arial"/>
          <w:color w:val="2E86AB"/>
          <w:sz w:val="26"/>
          <w:szCs w:val="26"/>
        </w:rPr>
        <w:t xml:space="preserve">Human Resource Management System</w:t>
      </w:r>
    </w:p>
    <w:p>
      <w:r>
        <w:rPr>
          <w:sz w:val="48"/>
          <w:szCs w:val="48"/>
        </w:rPr>
        <w:t xml:space="preserve"/>
      </w:r>
    </w:p>
    <w:p>
      <w:r>
        <w:rPr>
          <w:sz w:val="48"/>
          <w:szCs w:val="48"/>
        </w:rPr>
        <w:t xml:space="preserve"/>
      </w:r>
    </w:p>
    <w:p>
      <w:pPr>
        <w:pBdr>
          <w:top w:val="single" w:color="1E3A5F" w:sz="8"/>
          <w:bottom w:val="single" w:color="1E3A5F" w:sz="8"/>
        </w:pBdr>
        <w:spacing w:before="240" w:after="240"/>
        <w:jc w:val="center"/>
      </w:pPr>
      <w:r>
        <w:rPr>
          <w:rFonts w:ascii="Arial" w:cs="Arial" w:eastAsia="Arial" w:hAnsi="Arial"/>
          <w:b/>
          <w:bCs/>
          <w:color w:val="1E3A5F"/>
          <w:sz w:val="44"/>
          <w:szCs w:val="44"/>
        </w:rPr>
        <w:t xml:space="preserve">EMPLOYEE LEAVE POLICY</w:t>
      </w:r>
    </w:p>
    <w:p>
      <w:r>
        <w:rPr>
          <w:sz w:val="24"/>
          <w:szCs w:val="24"/>
        </w:rPr>
        <w:t xml:space="preserve"/>
      </w:r>
    </w:p>
    <w:p>
      <w:pPr>
        <w:jc w:val="center"/>
      </w:pPr>
      <w:r>
        <w:rPr>
          <w:rFonts w:ascii="Arial" w:cs="Arial" w:eastAsia="Arial" w:hAnsi="Arial"/>
          <w:i/>
          <w:iCs/>
          <w:color w:val="555555"/>
          <w:sz w:val="26"/>
          <w:szCs w:val="26"/>
        </w:rPr>
        <w:t xml:space="preserve">Governing all types of employee leave entitlements</w:t>
      </w:r>
    </w:p>
    <w:p>
      <w:r>
        <w:rPr>
          <w:sz w:val="24"/>
          <w:szCs w:val="24"/>
        </w:rPr>
        <w:t xml:space="preserve"/>
      </w:r>
    </w:p>
    <w:p>
      <w:r>
        <w:rPr>
          <w:sz w:val="24"/>
          <w:szCs w:val="24"/>
        </w:rPr>
        <w:t xml:space="preserve"/>
      </w:r>
    </w:p>
    <w:p>
      <w:pPr>
        <w:jc w:val="center"/>
      </w:pPr>
      <w:r>
        <w:rPr>
          <w:rFonts w:ascii="Arial" w:cs="Arial" w:eastAsia="Arial" w:hAnsi="Arial"/>
          <w:color w:val="777777"/>
          <w:sz w:val="22"/>
          <w:szCs w:val="22"/>
        </w:rPr>
        <w:t xml:space="preserve">Version: 3.1</w:t>
      </w:r>
    </w:p>
    <w:p>
      <w:pPr>
        <w:jc w:val="center"/>
      </w:pPr>
      <w:r>
        <w:rPr>
          <w:rFonts w:ascii="Arial" w:cs="Arial" w:eastAsia="Arial" w:hAnsi="Arial"/>
          <w:color w:val="777777"/>
          <w:sz w:val="22"/>
          <w:szCs w:val="22"/>
        </w:rPr>
        <w:t xml:space="preserve">Effective Date: January 1, 2025</w:t>
      </w:r>
    </w:p>
    <w:p>
      <w:pPr>
        <w:jc w:val="center"/>
      </w:pPr>
      <w:r>
        <w:rPr>
          <w:rFonts w:ascii="Arial" w:cs="Arial" w:eastAsia="Arial" w:hAnsi="Arial"/>
          <w:color w:val="777777"/>
          <w:sz w:val="22"/>
          <w:szCs w:val="22"/>
        </w:rPr>
        <w:t xml:space="preserve">Issued by: Human Resources Department</w:t>
      </w:r>
    </w:p>
    <w:p>
      <w:r>
        <w:br w:type="page"/>
      </w:r>
    </w:p>
    <w:p>
      <w:pPr>
        <w:pStyle w:val="Heading1"/>
        <w:pBdr>
          <w:bottom w:val="single" w:color="2E86AB" w:sz="4" w:space="4"/>
        </w:pBdr>
        <w:spacing w:before="360" w:after="120"/>
      </w:pPr>
      <w:r>
        <w:rPr>
          <w:rFonts w:ascii="Arial" w:cs="Arial" w:eastAsia="Arial" w:hAnsi="Arial"/>
          <w:b/>
          <w:bCs/>
          <w:color w:val="1E3A5F"/>
          <w:sz w:val="32"/>
          <w:szCs w:val="32"/>
        </w:rPr>
        <w:t xml:space="preserve">1. Purpose &amp; Scope</w:t>
      </w:r>
    </w:p>
    <w:p>
      <w:pPr>
        <w:spacing w:before="80" w:after="80"/>
      </w:pPr>
      <w:r>
        <w:rPr>
          <w:rFonts w:ascii="Arial" w:cs="Arial" w:eastAsia="Arial" w:hAnsi="Arial"/>
          <w:color w:val="333333"/>
          <w:sz w:val="22"/>
          <w:szCs w:val="22"/>
        </w:rPr>
        <w:t xml:space="preserve">This Leave Policy establishes the framework for managing employee absences at NEXT-GEN HRMS Pvt. Ltd. It defines the types of leave available, eligibility criteria, application procedures, and entitlements for all full-time, part-time, and contractual employees across all offices and departments.</w:t>
      </w:r>
    </w:p>
    <w:p>
      <w:pPr>
        <w:spacing w:before="80" w:after="80"/>
      </w:pPr>
      <w:r>
        <w:rPr>
          <w:rFonts w:ascii="Arial" w:cs="Arial" w:eastAsia="Arial" w:hAnsi="Arial"/>
          <w:color w:val="333333"/>
          <w:sz w:val="22"/>
          <w:szCs w:val="22"/>
        </w:rPr>
        <w:t xml:space="preserve">This policy applies to all employees from their Date of Joining (DOJ) and supersedes all previous leave-related guidelines.</w:t>
      </w:r>
    </w:p>
    <w:p>
      <w:pPr>
        <w:pStyle w:val="Heading1"/>
        <w:pBdr>
          <w:bottom w:val="single" w:color="2E86AB" w:sz="4" w:space="4"/>
        </w:pBdr>
        <w:spacing w:before="360" w:after="120"/>
      </w:pPr>
      <w:r>
        <w:rPr>
          <w:rFonts w:ascii="Arial" w:cs="Arial" w:eastAsia="Arial" w:hAnsi="Arial"/>
          <w:b/>
          <w:bCs/>
          <w:color w:val="1E3A5F"/>
          <w:sz w:val="32"/>
          <w:szCs w:val="32"/>
        </w:rPr>
        <w:t xml:space="preserve">2. Definitions</w:t>
      </w:r>
    </w:p>
    <w:p>
      <w:pPr>
        <w:spacing w:before="80" w:after="80"/>
      </w:pPr>
      <w:r>
        <w:rPr>
          <w:rFonts w:ascii="Arial" w:cs="Arial" w:eastAsia="Arial" w:hAnsi="Arial"/>
          <w:color w:val="333333"/>
          <w:sz w:val="22"/>
          <w:szCs w:val="22"/>
        </w:rPr>
        <w:t xml:space="preserve">Leave Year: January 1 to December 31 of each calendar year.</w:t>
      </w:r>
    </w:p>
    <w:p>
      <w:pPr>
        <w:spacing w:before="80" w:after="80"/>
      </w:pPr>
      <w:r>
        <w:rPr>
          <w:rFonts w:ascii="Arial" w:cs="Arial" w:eastAsia="Arial" w:hAnsi="Arial"/>
          <w:color w:val="333333"/>
          <w:sz w:val="22"/>
          <w:szCs w:val="22"/>
        </w:rPr>
        <w:t xml:space="preserve">Working Days: Monday through Friday, excluding public holidays declared by the company.</w:t>
      </w:r>
    </w:p>
    <w:p>
      <w:pPr>
        <w:spacing w:before="80" w:after="80"/>
      </w:pPr>
      <w:r>
        <w:rPr>
          <w:rFonts w:ascii="Arial" w:cs="Arial" w:eastAsia="Arial" w:hAnsi="Arial"/>
          <w:color w:val="333333"/>
          <w:sz w:val="22"/>
          <w:szCs w:val="22"/>
        </w:rPr>
        <w:t xml:space="preserve">Sandwich Rule: If leave is taken on days surrounding a weekend or public holiday, the intervening non-working days shall be counted as part of the leave.</w:t>
      </w:r>
    </w:p>
    <w:p>
      <w:pPr>
        <w:pStyle w:val="Heading1"/>
        <w:pBdr>
          <w:bottom w:val="single" w:color="2E86AB" w:sz="4" w:space="4"/>
        </w:pBdr>
        <w:spacing w:before="360" w:after="120"/>
      </w:pPr>
      <w:r>
        <w:rPr>
          <w:rFonts w:ascii="Arial" w:cs="Arial" w:eastAsia="Arial" w:hAnsi="Arial"/>
          <w:b/>
          <w:bCs/>
          <w:color w:val="1E3A5F"/>
          <w:sz w:val="32"/>
          <w:szCs w:val="32"/>
        </w:rPr>
        <w:t xml:space="preserve">3. Types of Leave</w:t>
      </w:r>
    </w:p>
    <w:p>
      <w:pPr>
        <w:pStyle w:val="Heading2"/>
        <w:spacing w:before="240" w:after="80"/>
      </w:pPr>
      <w:r>
        <w:rPr>
          <w:rFonts w:ascii="Arial" w:cs="Arial" w:eastAsia="Arial" w:hAnsi="Arial"/>
          <w:b/>
          <w:bCs/>
          <w:color w:val="2E86AB"/>
          <w:sz w:val="26"/>
          <w:szCs w:val="26"/>
        </w:rPr>
        <w:t xml:space="preserve">3.1 Casual Leave (CL)</w:t>
      </w:r>
    </w:p>
    <w:p>
      <w:pPr>
        <w:spacing w:before="80" w:after="80"/>
      </w:pPr>
      <w:r>
        <w:rPr>
          <w:rFonts w:ascii="Arial" w:cs="Arial" w:eastAsia="Arial" w:hAnsi="Arial"/>
          <w:color w:val="333333"/>
          <w:sz w:val="22"/>
          <w:szCs w:val="22"/>
        </w:rPr>
        <w:t xml:space="preserve">Entitlement: 12 days per calendar year (1 per month). Casual Leave may be availed for personal reasons, domestic emergencies, or short absences.</w:t>
      </w:r>
    </w:p>
    <w:p>
      <w:pPr>
        <w:pStyle w:val="ListParagraph"/>
        <w:numPr>
          <w:ilvl w:val="0"/>
          <w:numId w:val="2"/>
        </w:numPr>
        <w:spacing w:before="40" w:after="40"/>
      </w:pPr>
      <w:r>
        <w:rPr>
          <w:rFonts w:ascii="Arial" w:cs="Arial" w:eastAsia="Arial" w:hAnsi="Arial"/>
          <w:color w:val="333333"/>
          <w:sz w:val="22"/>
          <w:szCs w:val="22"/>
        </w:rPr>
        <w:t xml:space="preserve">Minimum: Half-day; Maximum: 3 consecutive days without prior HR approval.</w:t>
      </w:r>
    </w:p>
    <w:p>
      <w:pPr>
        <w:pStyle w:val="ListParagraph"/>
        <w:numPr>
          <w:ilvl w:val="0"/>
          <w:numId w:val="2"/>
        </w:numPr>
        <w:spacing w:before="40" w:after="40"/>
      </w:pPr>
      <w:r>
        <w:rPr>
          <w:rFonts w:ascii="Arial" w:cs="Arial" w:eastAsia="Arial" w:hAnsi="Arial"/>
          <w:color w:val="333333"/>
          <w:sz w:val="22"/>
          <w:szCs w:val="22"/>
        </w:rPr>
        <w:t xml:space="preserve">CL cannot be carried forward to the next year.</w:t>
      </w:r>
    </w:p>
    <w:p>
      <w:pPr>
        <w:pStyle w:val="ListParagraph"/>
        <w:numPr>
          <w:ilvl w:val="0"/>
          <w:numId w:val="2"/>
        </w:numPr>
        <w:spacing w:before="40" w:after="40"/>
      </w:pPr>
      <w:r>
        <w:rPr>
          <w:rFonts w:ascii="Arial" w:cs="Arial" w:eastAsia="Arial" w:hAnsi="Arial"/>
          <w:color w:val="333333"/>
          <w:sz w:val="22"/>
          <w:szCs w:val="22"/>
        </w:rPr>
        <w:t xml:space="preserve">CL cannot be clubbed with Privilege Leave without prior approval.</w:t>
      </w:r>
    </w:p>
    <w:p>
      <w:pPr>
        <w:pStyle w:val="ListParagraph"/>
        <w:numPr>
          <w:ilvl w:val="0"/>
          <w:numId w:val="2"/>
        </w:numPr>
        <w:spacing w:before="40" w:after="40"/>
      </w:pPr>
      <w:r>
        <w:rPr>
          <w:rFonts w:ascii="Arial" w:cs="Arial" w:eastAsia="Arial" w:hAnsi="Arial"/>
          <w:color w:val="333333"/>
          <w:sz w:val="22"/>
          <w:szCs w:val="22"/>
        </w:rPr>
        <w:t xml:space="preserve">Unused CL shall lapse at year end without any encashment.</w:t>
      </w:r>
    </w:p>
    <w:p>
      <w:pPr>
        <w:pStyle w:val="Heading2"/>
        <w:spacing w:before="240" w:after="80"/>
      </w:pPr>
      <w:r>
        <w:rPr>
          <w:rFonts w:ascii="Arial" w:cs="Arial" w:eastAsia="Arial" w:hAnsi="Arial"/>
          <w:b/>
          <w:bCs/>
          <w:color w:val="2E86AB"/>
          <w:sz w:val="26"/>
          <w:szCs w:val="26"/>
        </w:rPr>
        <w:t xml:space="preserve">3.2 Sick Leave (SL)</w:t>
      </w:r>
    </w:p>
    <w:p>
      <w:pPr>
        <w:spacing w:before="80" w:after="80"/>
      </w:pPr>
      <w:r>
        <w:rPr>
          <w:rFonts w:ascii="Arial" w:cs="Arial" w:eastAsia="Arial" w:hAnsi="Arial"/>
          <w:color w:val="333333"/>
          <w:sz w:val="22"/>
          <w:szCs w:val="22"/>
        </w:rPr>
        <w:t xml:space="preserve">Entitlement: 12 days per calendar year. Sick Leave is granted for genuine medical conditions that prevent the employee from attending work.</w:t>
      </w:r>
    </w:p>
    <w:p>
      <w:pPr>
        <w:pStyle w:val="ListParagraph"/>
        <w:numPr>
          <w:ilvl w:val="0"/>
          <w:numId w:val="2"/>
        </w:numPr>
        <w:spacing w:before="40" w:after="40"/>
      </w:pPr>
      <w:r>
        <w:rPr>
          <w:rFonts w:ascii="Arial" w:cs="Arial" w:eastAsia="Arial" w:hAnsi="Arial"/>
          <w:color w:val="333333"/>
          <w:sz w:val="22"/>
          <w:szCs w:val="22"/>
        </w:rPr>
        <w:t xml:space="preserve">Sick Leave of more than 2 consecutive days requires a medical certificate from a registered medical practitioner.</w:t>
      </w:r>
    </w:p>
    <w:p>
      <w:pPr>
        <w:pStyle w:val="ListParagraph"/>
        <w:numPr>
          <w:ilvl w:val="0"/>
          <w:numId w:val="2"/>
        </w:numPr>
        <w:spacing w:before="40" w:after="40"/>
      </w:pPr>
      <w:r>
        <w:rPr>
          <w:rFonts w:ascii="Arial" w:cs="Arial" w:eastAsia="Arial" w:hAnsi="Arial"/>
          <w:color w:val="333333"/>
          <w:sz w:val="22"/>
          <w:szCs w:val="22"/>
        </w:rPr>
        <w:t xml:space="preserve">Sick Leave cannot be applied in advance.</w:t>
      </w:r>
    </w:p>
    <w:p>
      <w:pPr>
        <w:pStyle w:val="ListParagraph"/>
        <w:numPr>
          <w:ilvl w:val="0"/>
          <w:numId w:val="2"/>
        </w:numPr>
        <w:spacing w:before="40" w:after="40"/>
      </w:pPr>
      <w:r>
        <w:rPr>
          <w:rFonts w:ascii="Arial" w:cs="Arial" w:eastAsia="Arial" w:hAnsi="Arial"/>
          <w:color w:val="333333"/>
          <w:sz w:val="22"/>
          <w:szCs w:val="22"/>
        </w:rPr>
        <w:t xml:space="preserve">Unused SL shall lapse; it cannot be encashed or carried forward.</w:t>
      </w:r>
    </w:p>
    <w:p>
      <w:pPr>
        <w:pStyle w:val="ListParagraph"/>
        <w:numPr>
          <w:ilvl w:val="0"/>
          <w:numId w:val="2"/>
        </w:numPr>
        <w:spacing w:before="40" w:after="40"/>
      </w:pPr>
      <w:r>
        <w:rPr>
          <w:rFonts w:ascii="Arial" w:cs="Arial" w:eastAsia="Arial" w:hAnsi="Arial"/>
          <w:color w:val="333333"/>
          <w:sz w:val="22"/>
          <w:szCs w:val="22"/>
        </w:rPr>
        <w:t xml:space="preserve">Abuse of Sick Leave will be subject to disciplinary action.</w:t>
      </w:r>
    </w:p>
    <w:p>
      <w:pPr>
        <w:pStyle w:val="Heading2"/>
        <w:spacing w:before="240" w:after="80"/>
      </w:pPr>
      <w:r>
        <w:rPr>
          <w:rFonts w:ascii="Arial" w:cs="Arial" w:eastAsia="Arial" w:hAnsi="Arial"/>
          <w:b/>
          <w:bCs/>
          <w:color w:val="2E86AB"/>
          <w:sz w:val="26"/>
          <w:szCs w:val="26"/>
        </w:rPr>
        <w:t xml:space="preserve">3.3 Privilege Leave / Earned Leave (PL/EL)</w:t>
      </w:r>
    </w:p>
    <w:p>
      <w:pPr>
        <w:spacing w:before="80" w:after="80"/>
      </w:pPr>
      <w:r>
        <w:rPr>
          <w:rFonts w:ascii="Arial" w:cs="Arial" w:eastAsia="Arial" w:hAnsi="Arial"/>
          <w:color w:val="333333"/>
          <w:sz w:val="22"/>
          <w:szCs w:val="22"/>
        </w:rPr>
        <w:t xml:space="preserve">Entitlement: 15 days per calendar year (accrued at 1.25 days per month of service).</w:t>
      </w:r>
    </w:p>
    <w:p>
      <w:pPr>
        <w:pStyle w:val="ListParagraph"/>
        <w:numPr>
          <w:ilvl w:val="0"/>
          <w:numId w:val="2"/>
        </w:numPr>
        <w:spacing w:before="40" w:after="40"/>
      </w:pPr>
      <w:r>
        <w:rPr>
          <w:rFonts w:ascii="Arial" w:cs="Arial" w:eastAsia="Arial" w:hAnsi="Arial"/>
          <w:color w:val="333333"/>
          <w:sz w:val="22"/>
          <w:szCs w:val="22"/>
        </w:rPr>
        <w:t xml:space="preserve">PL can be carried forward up to a maximum of 45 days.</w:t>
      </w:r>
    </w:p>
    <w:p>
      <w:pPr>
        <w:pStyle w:val="ListParagraph"/>
        <w:numPr>
          <w:ilvl w:val="0"/>
          <w:numId w:val="2"/>
        </w:numPr>
        <w:spacing w:before="40" w:after="40"/>
      </w:pPr>
      <w:r>
        <w:rPr>
          <w:rFonts w:ascii="Arial" w:cs="Arial" w:eastAsia="Arial" w:hAnsi="Arial"/>
          <w:color w:val="333333"/>
          <w:sz w:val="22"/>
          <w:szCs w:val="22"/>
        </w:rPr>
        <w:t xml:space="preserve">PL application must be submitted at least 7 calendar days in advance.</w:t>
      </w:r>
    </w:p>
    <w:p>
      <w:pPr>
        <w:pStyle w:val="ListParagraph"/>
        <w:numPr>
          <w:ilvl w:val="0"/>
          <w:numId w:val="2"/>
        </w:numPr>
        <w:spacing w:before="40" w:after="40"/>
      </w:pPr>
      <w:r>
        <w:rPr>
          <w:rFonts w:ascii="Arial" w:cs="Arial" w:eastAsia="Arial" w:hAnsi="Arial"/>
          <w:color w:val="333333"/>
          <w:sz w:val="22"/>
          <w:szCs w:val="22"/>
        </w:rPr>
        <w:t xml:space="preserve">PL can be encashed at the time of resignation or retirement (maximum 30 days).</w:t>
      </w:r>
    </w:p>
    <w:p>
      <w:pPr>
        <w:pStyle w:val="ListParagraph"/>
        <w:numPr>
          <w:ilvl w:val="0"/>
          <w:numId w:val="2"/>
        </w:numPr>
        <w:spacing w:before="40" w:after="40"/>
      </w:pPr>
      <w:r>
        <w:rPr>
          <w:rFonts w:ascii="Arial" w:cs="Arial" w:eastAsia="Arial" w:hAnsi="Arial"/>
          <w:color w:val="333333"/>
          <w:sz w:val="22"/>
          <w:szCs w:val="22"/>
        </w:rPr>
        <w:t xml:space="preserve">A minimum of 3 consecutive days is required for PL to be approved.</w:t>
      </w:r>
    </w:p>
    <w:p>
      <w:pPr>
        <w:pStyle w:val="Heading2"/>
        <w:spacing w:before="240" w:after="80"/>
      </w:pPr>
      <w:r>
        <w:rPr>
          <w:rFonts w:ascii="Arial" w:cs="Arial" w:eastAsia="Arial" w:hAnsi="Arial"/>
          <w:b/>
          <w:bCs/>
          <w:color w:val="2E86AB"/>
          <w:sz w:val="26"/>
          <w:szCs w:val="26"/>
        </w:rPr>
        <w:t xml:space="preserve">3.4 Maternity Leave (ML)</w:t>
      </w:r>
    </w:p>
    <w:p>
      <w:pPr>
        <w:spacing w:before="80" w:after="80"/>
      </w:pPr>
      <w:r>
        <w:rPr>
          <w:rFonts w:ascii="Arial" w:cs="Arial" w:eastAsia="Arial" w:hAnsi="Arial"/>
          <w:color w:val="333333"/>
          <w:sz w:val="22"/>
          <w:szCs w:val="22"/>
        </w:rPr>
        <w:t xml:space="preserve">Entitlement: 26 weeks (182 days) as per the Maternity Benefit (Amendment) Act, 2017.</w:t>
      </w:r>
    </w:p>
    <w:p>
      <w:pPr>
        <w:pStyle w:val="ListParagraph"/>
        <w:numPr>
          <w:ilvl w:val="0"/>
          <w:numId w:val="2"/>
        </w:numPr>
        <w:spacing w:before="40" w:after="40"/>
      </w:pPr>
      <w:r>
        <w:rPr>
          <w:rFonts w:ascii="Arial" w:cs="Arial" w:eastAsia="Arial" w:hAnsi="Arial"/>
          <w:color w:val="333333"/>
          <w:sz w:val="22"/>
          <w:szCs w:val="22"/>
        </w:rPr>
        <w:t xml:space="preserve">Applicable to female employees with at least 80 days of service in the 12 months preceding the expected delivery date.</w:t>
      </w:r>
    </w:p>
    <w:p>
      <w:pPr>
        <w:pStyle w:val="ListParagraph"/>
        <w:numPr>
          <w:ilvl w:val="0"/>
          <w:numId w:val="2"/>
        </w:numPr>
        <w:spacing w:before="40" w:after="40"/>
      </w:pPr>
      <w:r>
        <w:rPr>
          <w:rFonts w:ascii="Arial" w:cs="Arial" w:eastAsia="Arial" w:hAnsi="Arial"/>
          <w:color w:val="333333"/>
          <w:sz w:val="22"/>
          <w:szCs w:val="22"/>
        </w:rPr>
        <w:t xml:space="preserve">For the third child and beyond: 12 weeks of paid maternity leave.</w:t>
      </w:r>
    </w:p>
    <w:p>
      <w:pPr>
        <w:pStyle w:val="ListParagraph"/>
        <w:numPr>
          <w:ilvl w:val="0"/>
          <w:numId w:val="2"/>
        </w:numPr>
        <w:spacing w:before="40" w:after="40"/>
      </w:pPr>
      <w:r>
        <w:rPr>
          <w:rFonts w:ascii="Arial" w:cs="Arial" w:eastAsia="Arial" w:hAnsi="Arial"/>
          <w:color w:val="333333"/>
          <w:sz w:val="22"/>
          <w:szCs w:val="22"/>
        </w:rPr>
        <w:t xml:space="preserve">In case of miscarriage or medical termination of pregnancy: 6 weeks leave from the date of event.</w:t>
      </w:r>
    </w:p>
    <w:p>
      <w:pPr>
        <w:pStyle w:val="ListParagraph"/>
        <w:numPr>
          <w:ilvl w:val="0"/>
          <w:numId w:val="2"/>
        </w:numPr>
        <w:spacing w:before="40" w:after="40"/>
      </w:pPr>
      <w:r>
        <w:rPr>
          <w:rFonts w:ascii="Arial" w:cs="Arial" w:eastAsia="Arial" w:hAnsi="Arial"/>
          <w:color w:val="333333"/>
          <w:sz w:val="22"/>
          <w:szCs w:val="22"/>
        </w:rPr>
        <w:t xml:space="preserve">Commissioning mothers (surrogacy) are entitled to 12 weeks of maternity leave.</w:t>
      </w:r>
    </w:p>
    <w:p>
      <w:pPr>
        <w:pStyle w:val="ListParagraph"/>
        <w:numPr>
          <w:ilvl w:val="0"/>
          <w:numId w:val="2"/>
        </w:numPr>
        <w:spacing w:before="40" w:after="40"/>
      </w:pPr>
      <w:r>
        <w:rPr>
          <w:rFonts w:ascii="Arial" w:cs="Arial" w:eastAsia="Arial" w:hAnsi="Arial"/>
          <w:color w:val="333333"/>
          <w:sz w:val="22"/>
          <w:szCs w:val="22"/>
        </w:rPr>
        <w:t xml:space="preserve">Supporting documents (medical certificate and expected delivery date) must be submitted to HR.</w:t>
      </w:r>
    </w:p>
    <w:p>
      <w:pPr>
        <w:pStyle w:val="Heading2"/>
        <w:spacing w:before="240" w:after="80"/>
      </w:pPr>
      <w:r>
        <w:rPr>
          <w:rFonts w:ascii="Arial" w:cs="Arial" w:eastAsia="Arial" w:hAnsi="Arial"/>
          <w:b/>
          <w:bCs/>
          <w:color w:val="2E86AB"/>
          <w:sz w:val="26"/>
          <w:szCs w:val="26"/>
        </w:rPr>
        <w:t xml:space="preserve">3.5 Paternity Leave (PTL)</w:t>
      </w:r>
    </w:p>
    <w:p>
      <w:pPr>
        <w:spacing w:before="80" w:after="80"/>
      </w:pPr>
      <w:r>
        <w:rPr>
          <w:rFonts w:ascii="Arial" w:cs="Arial" w:eastAsia="Arial" w:hAnsi="Arial"/>
          <w:color w:val="333333"/>
          <w:sz w:val="22"/>
          <w:szCs w:val="22"/>
        </w:rPr>
        <w:t xml:space="preserve">Entitlement: 5 working days, to be availed within 30 days of the child's birth or adoption.</w:t>
      </w:r>
    </w:p>
    <w:p>
      <w:pPr>
        <w:pStyle w:val="ListParagraph"/>
        <w:numPr>
          <w:ilvl w:val="0"/>
          <w:numId w:val="2"/>
        </w:numPr>
        <w:spacing w:before="40" w:after="40"/>
      </w:pPr>
      <w:r>
        <w:rPr>
          <w:rFonts w:ascii="Arial" w:cs="Arial" w:eastAsia="Arial" w:hAnsi="Arial"/>
          <w:color w:val="333333"/>
          <w:sz w:val="22"/>
          <w:szCs w:val="22"/>
        </w:rPr>
        <w:t xml:space="preserve">Applicable to permanent male employees with at least 6 months of service.</w:t>
      </w:r>
    </w:p>
    <w:p>
      <w:pPr>
        <w:pStyle w:val="ListParagraph"/>
        <w:numPr>
          <w:ilvl w:val="0"/>
          <w:numId w:val="2"/>
        </w:numPr>
        <w:spacing w:before="40" w:after="40"/>
      </w:pPr>
      <w:r>
        <w:rPr>
          <w:rFonts w:ascii="Arial" w:cs="Arial" w:eastAsia="Arial" w:hAnsi="Arial"/>
          <w:color w:val="333333"/>
          <w:sz w:val="22"/>
          <w:szCs w:val="22"/>
        </w:rPr>
        <w:t xml:space="preserve">Paternity Leave cannot be clubbed with other leave types.</w:t>
      </w:r>
    </w:p>
    <w:p>
      <w:pPr>
        <w:pStyle w:val="ListParagraph"/>
        <w:numPr>
          <w:ilvl w:val="0"/>
          <w:numId w:val="2"/>
        </w:numPr>
        <w:spacing w:before="40" w:after="40"/>
      </w:pPr>
      <w:r>
        <w:rPr>
          <w:rFonts w:ascii="Arial" w:cs="Arial" w:eastAsia="Arial" w:hAnsi="Arial"/>
          <w:color w:val="333333"/>
          <w:sz w:val="22"/>
          <w:szCs w:val="22"/>
        </w:rPr>
        <w:t xml:space="preserve">One-time benefit per employee (applicable to first two children only).</w:t>
      </w:r>
    </w:p>
    <w:p>
      <w:pPr>
        <w:pStyle w:val="Heading2"/>
        <w:spacing w:before="240" w:after="80"/>
      </w:pPr>
      <w:r>
        <w:rPr>
          <w:rFonts w:ascii="Arial" w:cs="Arial" w:eastAsia="Arial" w:hAnsi="Arial"/>
          <w:b/>
          <w:bCs/>
          <w:color w:val="2E86AB"/>
          <w:sz w:val="26"/>
          <w:szCs w:val="26"/>
        </w:rPr>
        <w:t xml:space="preserve">3.6 Bereavement Leave</w:t>
      </w:r>
    </w:p>
    <w:p>
      <w:pPr>
        <w:spacing w:before="80" w:after="80"/>
      </w:pPr>
      <w:r>
        <w:rPr>
          <w:rFonts w:ascii="Arial" w:cs="Arial" w:eastAsia="Arial" w:hAnsi="Arial"/>
          <w:color w:val="333333"/>
          <w:sz w:val="22"/>
          <w:szCs w:val="22"/>
        </w:rPr>
        <w:t xml:space="preserve">Entitlement: 3 days for the death of an immediate family member (spouse, child, parent, parent-in-law, sibling).</w:t>
      </w:r>
    </w:p>
    <w:p>
      <w:pPr>
        <w:pStyle w:val="ListParagraph"/>
        <w:numPr>
          <w:ilvl w:val="0"/>
          <w:numId w:val="2"/>
        </w:numPr>
        <w:spacing w:before="40" w:after="40"/>
      </w:pPr>
      <w:r>
        <w:rPr>
          <w:rFonts w:ascii="Arial" w:cs="Arial" w:eastAsia="Arial" w:hAnsi="Arial"/>
          <w:color w:val="333333"/>
          <w:sz w:val="22"/>
          <w:szCs w:val="22"/>
        </w:rPr>
        <w:t xml:space="preserve">1 day for relatives beyond the immediate family.</w:t>
      </w:r>
    </w:p>
    <w:p>
      <w:pPr>
        <w:pStyle w:val="ListParagraph"/>
        <w:numPr>
          <w:ilvl w:val="0"/>
          <w:numId w:val="2"/>
        </w:numPr>
        <w:spacing w:before="40" w:after="40"/>
      </w:pPr>
      <w:r>
        <w:rPr>
          <w:rFonts w:ascii="Arial" w:cs="Arial" w:eastAsia="Arial" w:hAnsi="Arial"/>
          <w:color w:val="333333"/>
          <w:sz w:val="22"/>
          <w:szCs w:val="22"/>
        </w:rPr>
        <w:t xml:space="preserve">Leave may be extended at the discretion of the reporting manager and HR.</w:t>
      </w:r>
    </w:p>
    <w:p>
      <w:pPr>
        <w:pStyle w:val="ListParagraph"/>
        <w:numPr>
          <w:ilvl w:val="0"/>
          <w:numId w:val="2"/>
        </w:numPr>
        <w:spacing w:before="40" w:after="40"/>
      </w:pPr>
      <w:r>
        <w:rPr>
          <w:rFonts w:ascii="Arial" w:cs="Arial" w:eastAsia="Arial" w:hAnsi="Arial"/>
          <w:color w:val="333333"/>
          <w:sz w:val="22"/>
          <w:szCs w:val="22"/>
        </w:rPr>
        <w:t xml:space="preserve">Supporting documentation (death certificate) may be required.</w:t>
      </w:r>
    </w:p>
    <w:p>
      <w:pPr>
        <w:pStyle w:val="Heading2"/>
        <w:spacing w:before="240" w:after="80"/>
      </w:pPr>
      <w:r>
        <w:rPr>
          <w:rFonts w:ascii="Arial" w:cs="Arial" w:eastAsia="Arial" w:hAnsi="Arial"/>
          <w:b/>
          <w:bCs/>
          <w:color w:val="2E86AB"/>
          <w:sz w:val="26"/>
          <w:szCs w:val="26"/>
        </w:rPr>
        <w:t xml:space="preserve">3.7 Compensatory Off (Comp-Off)</w:t>
      </w:r>
    </w:p>
    <w:p>
      <w:pPr>
        <w:spacing w:before="80" w:after="80"/>
      </w:pPr>
      <w:r>
        <w:rPr>
          <w:rFonts w:ascii="Arial" w:cs="Arial" w:eastAsia="Arial" w:hAnsi="Arial"/>
          <w:color w:val="333333"/>
          <w:sz w:val="22"/>
          <w:szCs w:val="22"/>
        </w:rPr>
        <w:t xml:space="preserve">An employee who is required to work on a declared holiday or weekend shall be eligible for compensatory off.</w:t>
      </w:r>
    </w:p>
    <w:p>
      <w:pPr>
        <w:pStyle w:val="ListParagraph"/>
        <w:numPr>
          <w:ilvl w:val="0"/>
          <w:numId w:val="2"/>
        </w:numPr>
        <w:spacing w:before="40" w:after="40"/>
      </w:pPr>
      <w:r>
        <w:rPr>
          <w:rFonts w:ascii="Arial" w:cs="Arial" w:eastAsia="Arial" w:hAnsi="Arial"/>
          <w:color w:val="333333"/>
          <w:sz w:val="22"/>
          <w:szCs w:val="22"/>
        </w:rPr>
        <w:t xml:space="preserve">Comp-Off must be availed within 60 days of the working holiday.</w:t>
      </w:r>
    </w:p>
    <w:p>
      <w:pPr>
        <w:pStyle w:val="ListParagraph"/>
        <w:numPr>
          <w:ilvl w:val="0"/>
          <w:numId w:val="2"/>
        </w:numPr>
        <w:spacing w:before="40" w:after="40"/>
      </w:pPr>
      <w:r>
        <w:rPr>
          <w:rFonts w:ascii="Arial" w:cs="Arial" w:eastAsia="Arial" w:hAnsi="Arial"/>
          <w:color w:val="333333"/>
          <w:sz w:val="22"/>
          <w:szCs w:val="22"/>
        </w:rPr>
        <w:t xml:space="preserve">Approval from the immediate manager and HR is mandatory before working on a holiday.</w:t>
      </w:r>
    </w:p>
    <w:p>
      <w:pPr>
        <w:pStyle w:val="ListParagraph"/>
        <w:numPr>
          <w:ilvl w:val="0"/>
          <w:numId w:val="2"/>
        </w:numPr>
        <w:spacing w:before="40" w:after="40"/>
      </w:pPr>
      <w:r>
        <w:rPr>
          <w:rFonts w:ascii="Arial" w:cs="Arial" w:eastAsia="Arial" w:hAnsi="Arial"/>
          <w:color w:val="333333"/>
          <w:sz w:val="22"/>
          <w:szCs w:val="22"/>
        </w:rPr>
        <w:t xml:space="preserve">Comp-Off cannot be encashed.</w:t>
      </w:r>
    </w:p>
    <w:p>
      <w:pPr>
        <w:pStyle w:val="Heading2"/>
        <w:spacing w:before="240" w:after="80"/>
      </w:pPr>
      <w:r>
        <w:rPr>
          <w:rFonts w:ascii="Arial" w:cs="Arial" w:eastAsia="Arial" w:hAnsi="Arial"/>
          <w:b/>
          <w:bCs/>
          <w:color w:val="2E86AB"/>
          <w:sz w:val="26"/>
          <w:szCs w:val="26"/>
        </w:rPr>
        <w:t xml:space="preserve">3.8 Leave Without Pay (LWP)</w:t>
      </w:r>
    </w:p>
    <w:p>
      <w:pPr>
        <w:spacing w:before="80" w:after="80"/>
      </w:pPr>
      <w:r>
        <w:rPr>
          <w:rFonts w:ascii="Arial" w:cs="Arial" w:eastAsia="Arial" w:hAnsi="Arial"/>
          <w:color w:val="333333"/>
          <w:sz w:val="22"/>
          <w:szCs w:val="22"/>
        </w:rPr>
        <w:t xml:space="preserve">LWP is granted when an employee has exhausted all available paid leave. LWP is subject to approval by the reporting manager and HR Head.</w:t>
      </w:r>
    </w:p>
    <w:p>
      <w:pPr>
        <w:pStyle w:val="ListParagraph"/>
        <w:numPr>
          <w:ilvl w:val="0"/>
          <w:numId w:val="2"/>
        </w:numPr>
        <w:spacing w:before="40" w:after="40"/>
      </w:pPr>
      <w:r>
        <w:rPr>
          <w:rFonts w:ascii="Arial" w:cs="Arial" w:eastAsia="Arial" w:hAnsi="Arial"/>
          <w:color w:val="333333"/>
          <w:sz w:val="22"/>
          <w:szCs w:val="22"/>
        </w:rPr>
        <w:t xml:space="preserve">LWP will result in proportionate salary deduction.</w:t>
      </w:r>
    </w:p>
    <w:p>
      <w:pPr>
        <w:pStyle w:val="ListParagraph"/>
        <w:numPr>
          <w:ilvl w:val="0"/>
          <w:numId w:val="2"/>
        </w:numPr>
        <w:spacing w:before="40" w:after="40"/>
      </w:pPr>
      <w:r>
        <w:rPr>
          <w:rFonts w:ascii="Arial" w:cs="Arial" w:eastAsia="Arial" w:hAnsi="Arial"/>
          <w:color w:val="333333"/>
          <w:sz w:val="22"/>
          <w:szCs w:val="22"/>
        </w:rPr>
        <w:t xml:space="preserve">LWP for more than 30 consecutive days requires prior approval from the HR Director.</w:t>
      </w:r>
    </w:p>
    <w:p>
      <w:pPr>
        <w:pStyle w:val="ListParagraph"/>
        <w:numPr>
          <w:ilvl w:val="0"/>
          <w:numId w:val="2"/>
        </w:numPr>
        <w:spacing w:before="40" w:after="40"/>
      </w:pPr>
      <w:r>
        <w:rPr>
          <w:rFonts w:ascii="Arial" w:cs="Arial" w:eastAsia="Arial" w:hAnsi="Arial"/>
          <w:color w:val="333333"/>
          <w:sz w:val="22"/>
          <w:szCs w:val="22"/>
        </w:rPr>
        <w:t xml:space="preserve">Unauthorized absence for more than 3 consecutive days without intimation may lead to disciplinary action.</w:t>
      </w:r>
    </w:p>
    <w:p>
      <w:pPr>
        <w:pStyle w:val="Heading1"/>
        <w:pBdr>
          <w:bottom w:val="single" w:color="2E86AB" w:sz="4" w:space="4"/>
        </w:pBdr>
        <w:spacing w:before="360" w:after="120"/>
      </w:pPr>
      <w:r>
        <w:rPr>
          <w:rFonts w:ascii="Arial" w:cs="Arial" w:eastAsia="Arial" w:hAnsi="Arial"/>
          <w:b/>
          <w:bCs/>
          <w:color w:val="1E3A5F"/>
          <w:sz w:val="32"/>
          <w:szCs w:val="32"/>
        </w:rPr>
        <w:t xml:space="preserve">4. Public Holidays</w:t>
      </w:r>
    </w:p>
    <w:p>
      <w:pPr>
        <w:spacing w:before="80" w:after="80"/>
      </w:pPr>
      <w:r>
        <w:rPr>
          <w:rFonts w:ascii="Arial" w:cs="Arial" w:eastAsia="Arial" w:hAnsi="Arial"/>
          <w:color w:val="333333"/>
          <w:sz w:val="22"/>
          <w:szCs w:val="22"/>
        </w:rPr>
        <w:t xml:space="preserve">NEXT-GEN HRMS declares approximately 10–12 national/regional public holidays per year. The official holiday list is published at the beginning of each year and is available on the HRMS portal. Employees may be required to work on public holidays in exceptional business circumstances, in which case Comp-Off will be granted.</w:t>
      </w:r>
    </w:p>
    <w:p>
      <w:pPr>
        <w:pStyle w:val="Heading1"/>
        <w:pBdr>
          <w:bottom w:val="single" w:color="2E86AB" w:sz="4" w:space="4"/>
        </w:pBdr>
        <w:spacing w:before="360" w:after="120"/>
      </w:pPr>
      <w:r>
        <w:rPr>
          <w:rFonts w:ascii="Arial" w:cs="Arial" w:eastAsia="Arial" w:hAnsi="Arial"/>
          <w:b/>
          <w:bCs/>
          <w:color w:val="1E3A5F"/>
          <w:sz w:val="32"/>
          <w:szCs w:val="32"/>
        </w:rPr>
        <w:t xml:space="preserve">5. Leave Application Procedure</w:t>
      </w:r>
    </w:p>
    <w:p>
      <w:pPr>
        <w:spacing w:before="80" w:after="80"/>
      </w:pPr>
      <w:r>
        <w:rPr>
          <w:rFonts w:ascii="Arial" w:cs="Arial" w:eastAsia="Arial" w:hAnsi="Arial"/>
          <w:color w:val="333333"/>
          <w:sz w:val="22"/>
          <w:szCs w:val="22"/>
        </w:rPr>
        <w:t xml:space="preserve">All leave requests must be submitted through the NEXT-GEN HRMS portal. Verbal or WhatsApp intimation is not a substitute for a formal leave application.</w:t>
      </w:r>
    </w:p>
    <w:p>
      <w:pPr>
        <w:pStyle w:val="ListParagraph"/>
        <w:numPr>
          <w:ilvl w:val="0"/>
          <w:numId w:val="2"/>
        </w:numPr>
        <w:spacing w:before="40" w:after="40"/>
      </w:pPr>
      <w:r>
        <w:rPr>
          <w:rFonts w:ascii="Arial" w:cs="Arial" w:eastAsia="Arial" w:hAnsi="Arial"/>
          <w:color w:val="333333"/>
          <w:sz w:val="22"/>
          <w:szCs w:val="22"/>
        </w:rPr>
        <w:t xml:space="preserve">Log in to the HRMS portal and navigate to Leave Management &gt; Apply Leave.</w:t>
      </w:r>
    </w:p>
    <w:p>
      <w:pPr>
        <w:pStyle w:val="ListParagraph"/>
        <w:numPr>
          <w:ilvl w:val="0"/>
          <w:numId w:val="2"/>
        </w:numPr>
        <w:spacing w:before="40" w:after="40"/>
      </w:pPr>
      <w:r>
        <w:rPr>
          <w:rFonts w:ascii="Arial" w:cs="Arial" w:eastAsia="Arial" w:hAnsi="Arial"/>
          <w:color w:val="333333"/>
          <w:sz w:val="22"/>
          <w:szCs w:val="22"/>
        </w:rPr>
        <w:t xml:space="preserve">Select the leave type, start date, and end date.</w:t>
      </w:r>
    </w:p>
    <w:p>
      <w:pPr>
        <w:pStyle w:val="ListParagraph"/>
        <w:numPr>
          <w:ilvl w:val="0"/>
          <w:numId w:val="2"/>
        </w:numPr>
        <w:spacing w:before="40" w:after="40"/>
      </w:pPr>
      <w:r>
        <w:rPr>
          <w:rFonts w:ascii="Arial" w:cs="Arial" w:eastAsia="Arial" w:hAnsi="Arial"/>
          <w:color w:val="333333"/>
          <w:sz w:val="22"/>
          <w:szCs w:val="22"/>
        </w:rPr>
        <w:t xml:space="preserve">Provide the reason for leave and attach supporting documents if applicable.</w:t>
      </w:r>
    </w:p>
    <w:p>
      <w:pPr>
        <w:pStyle w:val="ListParagraph"/>
        <w:numPr>
          <w:ilvl w:val="0"/>
          <w:numId w:val="2"/>
        </w:numPr>
        <w:spacing w:before="40" w:after="40"/>
      </w:pPr>
      <w:r>
        <w:rPr>
          <w:rFonts w:ascii="Arial" w:cs="Arial" w:eastAsia="Arial" w:hAnsi="Arial"/>
          <w:color w:val="333333"/>
          <w:sz w:val="22"/>
          <w:szCs w:val="22"/>
        </w:rPr>
        <w:t xml:space="preserve">Submit the application to the reporting manager for approval.</w:t>
      </w:r>
    </w:p>
    <w:p>
      <w:pPr>
        <w:pStyle w:val="ListParagraph"/>
        <w:numPr>
          <w:ilvl w:val="0"/>
          <w:numId w:val="2"/>
        </w:numPr>
        <w:spacing w:before="40" w:after="40"/>
      </w:pPr>
      <w:r>
        <w:rPr>
          <w:rFonts w:ascii="Arial" w:cs="Arial" w:eastAsia="Arial" w:hAnsi="Arial"/>
          <w:color w:val="333333"/>
          <w:sz w:val="22"/>
          <w:szCs w:val="22"/>
        </w:rPr>
        <w:t xml:space="preserve">The reporting manager will approve or reject within 2 working days.</w:t>
      </w:r>
    </w:p>
    <w:p>
      <w:pPr>
        <w:pStyle w:val="ListParagraph"/>
        <w:numPr>
          <w:ilvl w:val="0"/>
          <w:numId w:val="2"/>
        </w:numPr>
        <w:spacing w:before="40" w:after="40"/>
      </w:pPr>
      <w:r>
        <w:rPr>
          <w:rFonts w:ascii="Arial" w:cs="Arial" w:eastAsia="Arial" w:hAnsi="Arial"/>
          <w:color w:val="333333"/>
          <w:sz w:val="22"/>
          <w:szCs w:val="22"/>
        </w:rPr>
        <w:t xml:space="preserve">HR will review and confirm the final status.</w:t>
      </w:r>
    </w:p>
    <w:p>
      <w:pPr>
        <w:spacing w:before="80" w:after="80"/>
      </w:pPr>
      <w:r>
        <w:rPr>
          <w:rFonts w:ascii="Arial" w:cs="Arial" w:eastAsia="Arial" w:hAnsi="Arial"/>
          <w:color w:val="333333"/>
          <w:sz w:val="22"/>
          <w:szCs w:val="22"/>
        </w:rPr>
        <w:t xml:space="preserve">In case of emergency or sudden illness, the employee must notify the reporting manager via phone/email within 2 hours of the start of the working day and apply formally on the portal on the day of return.</w:t>
      </w:r>
    </w:p>
    <w:p>
      <w:pPr>
        <w:pStyle w:val="Heading1"/>
        <w:pBdr>
          <w:bottom w:val="single" w:color="2E86AB" w:sz="4" w:space="4"/>
        </w:pBdr>
        <w:spacing w:before="360" w:after="120"/>
      </w:pPr>
      <w:r>
        <w:rPr>
          <w:rFonts w:ascii="Arial" w:cs="Arial" w:eastAsia="Arial" w:hAnsi="Arial"/>
          <w:b/>
          <w:bCs/>
          <w:color w:val="1E3A5F"/>
          <w:sz w:val="32"/>
          <w:szCs w:val="32"/>
        </w:rPr>
        <w:t xml:space="preserve">6. Leave Carry-Forward &amp; Encashment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700"/>
        <w:gridCol w:w="1900"/>
        <w:gridCol w:w="1760"/>
      </w:tblGrid>
      <w:tr>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Leave Type</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Annual Entitlement</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 Carry Forward</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Encashable</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Lapse</w:t>
            </w:r>
          </w:p>
        </w:tc>
      </w:tr>
      <w:tr>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Casual Leave</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12 days</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None</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No</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Yes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Sick Leave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12 days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None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Yes</w:t>
            </w:r>
          </w:p>
        </w:tc>
      </w:tr>
      <w:tr>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Privilege Leave</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15 days</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45 days</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Yes (30 days)</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Partial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Maternity Leave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26 weeks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N/A</w:t>
            </w:r>
          </w:p>
        </w:tc>
      </w:tr>
      <w:tr>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Paternity Leave</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5 days</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N/A</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No</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Yes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Bereavement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 days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None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Yes</w:t>
            </w:r>
          </w:p>
        </w:tc>
      </w:tr>
      <w:tr>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Comp-Off</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As earned</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60 days</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No</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Yes</w:t>
            </w:r>
          </w:p>
        </w:tc>
      </w:tr>
    </w:tbl>
    <w:p>
      <w:r>
        <w:rPr>
          <w:sz w:val="24"/>
          <w:szCs w:val="24"/>
        </w:rPr>
        <w:t xml:space="preserve"/>
      </w:r>
    </w:p>
    <w:p>
      <w:pPr>
        <w:pStyle w:val="Heading1"/>
        <w:pBdr>
          <w:bottom w:val="single" w:color="2E86AB" w:sz="4" w:space="4"/>
        </w:pBdr>
        <w:spacing w:before="360" w:after="120"/>
      </w:pPr>
      <w:r>
        <w:rPr>
          <w:rFonts w:ascii="Arial" w:cs="Arial" w:eastAsia="Arial" w:hAnsi="Arial"/>
          <w:b/>
          <w:bCs/>
          <w:color w:val="1E3A5F"/>
          <w:sz w:val="32"/>
          <w:szCs w:val="32"/>
        </w:rPr>
        <w:t xml:space="preserve">7. Policy Violations</w:t>
      </w:r>
    </w:p>
    <w:p>
      <w:pPr>
        <w:spacing w:before="80" w:after="80"/>
      </w:pPr>
      <w:r>
        <w:rPr>
          <w:rFonts w:ascii="Arial" w:cs="Arial" w:eastAsia="Arial" w:hAnsi="Arial"/>
          <w:color w:val="333333"/>
          <w:sz w:val="22"/>
          <w:szCs w:val="22"/>
        </w:rPr>
        <w:t xml:space="preserve">Misuse or fraudulent representation of leave shall be treated as a disciplinary matter. Actions may include written warning, deduction of salary, or termination of employment in severe cases.</w:t>
      </w:r>
    </w:p>
    <w:p>
      <w:pPr>
        <w:pStyle w:val="Heading1"/>
        <w:pBdr>
          <w:bottom w:val="single" w:color="2E86AB" w:sz="4" w:space="4"/>
        </w:pBdr>
        <w:spacing w:before="360" w:after="120"/>
      </w:pPr>
      <w:r>
        <w:rPr>
          <w:rFonts w:ascii="Arial" w:cs="Arial" w:eastAsia="Arial" w:hAnsi="Arial"/>
          <w:b/>
          <w:bCs/>
          <w:color w:val="1E3A5F"/>
          <w:sz w:val="32"/>
          <w:szCs w:val="32"/>
        </w:rPr>
        <w:t xml:space="preserve">8. Policy Review</w:t>
      </w:r>
    </w:p>
    <w:p>
      <w:pPr>
        <w:spacing w:before="80" w:after="80"/>
      </w:pPr>
      <w:r>
        <w:rPr>
          <w:rFonts w:ascii="Arial" w:cs="Arial" w:eastAsia="Arial" w:hAnsi="Arial"/>
          <w:color w:val="333333"/>
          <w:sz w:val="22"/>
          <w:szCs w:val="22"/>
        </w:rPr>
        <w:t xml:space="preserve">This policy is reviewed annually by the HR Department. Any changes will be communicated through the HRMS portal and company email. Employees are responsible for staying informed about policy updates.</w:t>
      </w:r>
    </w:p>
    <w:p>
      <w:r>
        <w:rPr>
          <w:sz w:val="24"/>
          <w:szCs w:val="24"/>
        </w:rPr>
        <w:t xml:space="preserve"/>
      </w:r>
    </w:p>
    <w:p>
      <w:pPr>
        <w:spacing w:before="80" w:after="80"/>
      </w:pPr>
      <w:r>
        <w:rPr>
          <w:rFonts w:ascii="Arial" w:cs="Arial" w:eastAsia="Arial" w:hAnsi="Arial"/>
          <w:b/>
          <w:bCs/>
          <w:color w:val="333333"/>
          <w:sz w:val="22"/>
          <w:szCs w:val="22"/>
        </w:rPr>
        <w:t xml:space="preserve">Approved by: Chief Human Resources Officer (CHRO), NEXT-GEN HRMS Pvt. Ltd.</w:t>
      </w:r>
    </w:p>
    <w:p>
      <w:pPr>
        <w:spacing w:before="80" w:after="80"/>
      </w:pPr>
      <w:r>
        <w:rPr>
          <w:rFonts w:ascii="Arial" w:cs="Arial" w:eastAsia="Arial" w:hAnsi="Arial"/>
          <w:color w:val="333333"/>
          <w:sz w:val="22"/>
          <w:szCs w:val="22"/>
        </w:rPr>
        <w:t xml:space="preserve">Last Revised: January 1, 2025 | Next Review: December 31,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tabs>
        <w:tab w:val="right" w:pos="9360"/>
      </w:tabs>
    </w:pPr>
    <w:r>
      <w:rPr>
        <w:rFonts w:ascii="Arial" w:cs="Arial" w:eastAsia="Arial" w:hAnsi="Arial"/>
        <w:color w:val="999999"/>
        <w:sz w:val="18"/>
        <w:szCs w:val="18"/>
      </w:rPr>
      <w:t xml:space="preserve">CONFIDENTIAL — NEXT-GEN HRMS Internal Document</w:t>
    </w:r>
    <w:r>
      <w:rPr>
        <w:rFonts w:ascii="Arial" w:cs="Arial" w:eastAsia="Arial" w:hAnsi="Arial"/>
        <w:color w:val="999999"/>
        <w:sz w:val="18"/>
        <w:szCs w:val="18"/>
      </w:rPr>
      <w:t xml:space="preserve">	HR Department | hr@nextgenhrms.com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1"/>
      </w:pBdr>
      <w:tabs>
        <w:tab w:val="right" w:pos="9360"/>
      </w:tabs>
    </w:pPr>
    <w:r>
      <w:rPr>
        <w:rFonts w:ascii="Arial" w:cs="Arial" w:eastAsia="Arial" w:hAnsi="Arial"/>
        <w:b/>
        <w:bCs/>
        <w:color w:val="1E3A5F"/>
        <w:sz w:val="20"/>
        <w:szCs w:val="20"/>
      </w:rPr>
      <w:t xml:space="preserve">NEXT-GEN HRMS  |  </w:t>
    </w:r>
    <w:r>
      <w:rPr>
        <w:rFonts w:ascii="Arial" w:cs="Arial" w:eastAsia="Arial" w:hAnsi="Arial"/>
        <w:color w:val="666666"/>
        <w:sz w:val="20"/>
        <w:szCs w:val="20"/>
      </w:rPr>
      <w:t xml:space="preserve">Leave Policy</w:t>
    </w:r>
    <w:r>
      <w:rPr>
        <w:rFonts w:ascii="Arial" w:cs="Arial" w:eastAsia="Arial" w:hAnsi="Arial"/>
        <w:color w:val="999999"/>
        <w:sz w:val="20"/>
        <w:szCs w:val="20"/>
      </w:rPr>
      <w:t xml:space="preserve">  Pg. </w:t>
    </w:r>
    <w:fldSimple w:instr="[object Objec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2026-02-22T08:07:57.950Z</dcterms:created>
  <dcterms:modified xsi:type="dcterms:W3CDTF">2026-02-22T08:07:57.951Z</dcterms:modified>
</cp:coreProperties>
</file>

<file path=docProps/custom.xml><?xml version="1.0" encoding="utf-8"?>
<Properties xmlns="http://schemas.openxmlformats.org/officeDocument/2006/custom-properties" xmlns:vt="http://schemas.openxmlformats.org/officeDocument/2006/docPropsVTypes"/>
</file>