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r>
        <w:rPr>
          <w:sz w:val="48"/>
          <w:szCs w:val="48"/>
        </w:rPr>
        <w:t xml:space="preserve"/>
      </w:r>
    </w:p>
    <w:p>
      <w:pPr>
        <w:jc w:val="center"/>
      </w:pPr>
      <w:r>
        <w:rPr>
          <w:rFonts w:ascii="Arial" w:cs="Arial" w:eastAsia="Arial" w:hAnsi="Arial"/>
          <w:b/>
          <w:bCs/>
          <w:color w:val="1E3A5F"/>
          <w:sz w:val="52"/>
          <w:szCs w:val="52"/>
        </w:rPr>
        <w:t xml:space="preserve">NEXT-GEN HRMS</w:t>
      </w:r>
    </w:p>
    <w:p>
      <w:pPr>
        <w:jc w:val="center"/>
      </w:pPr>
      <w:r>
        <w:rPr>
          <w:rFonts w:ascii="Arial" w:cs="Arial" w:eastAsia="Arial" w:hAnsi="Arial"/>
          <w:color w:val="2E86AB"/>
          <w:sz w:val="26"/>
          <w:szCs w:val="26"/>
        </w:rPr>
        <w:t xml:space="preserve">Human Resource Management System</w:t>
      </w:r>
    </w:p>
    <w:p>
      <w:r>
        <w:rPr>
          <w:sz w:val="48"/>
          <w:szCs w:val="48"/>
        </w:rPr>
        <w:t xml:space="preserve"/>
      </w:r>
    </w:p>
    <w:p>
      <w:r>
        <w:rPr>
          <w:sz w:val="48"/>
          <w:szCs w:val="48"/>
        </w:rPr>
        <w:t xml:space="preserve"/>
      </w:r>
    </w:p>
    <w:p>
      <w:pPr>
        <w:pBdr>
          <w:top w:val="single" w:color="1E3A5F" w:sz="8"/>
          <w:bottom w:val="single" w:color="1E3A5F" w:sz="8"/>
        </w:pBdr>
        <w:spacing w:before="240" w:after="240"/>
        <w:jc w:val="center"/>
      </w:pPr>
      <w:r>
        <w:rPr>
          <w:rFonts w:ascii="Arial" w:cs="Arial" w:eastAsia="Arial" w:hAnsi="Arial"/>
          <w:b/>
          <w:bCs/>
          <w:color w:val="1E3A5F"/>
          <w:sz w:val="44"/>
          <w:szCs w:val="44"/>
        </w:rPr>
        <w:t xml:space="preserve">HR HANDBOOK</w:t>
      </w:r>
    </w:p>
    <w:p>
      <w:r>
        <w:rPr>
          <w:sz w:val="24"/>
          <w:szCs w:val="24"/>
        </w:rPr>
        <w:t xml:space="preserve"/>
      </w:r>
    </w:p>
    <w:p>
      <w:pPr>
        <w:jc w:val="center"/>
      </w:pPr>
      <w:r>
        <w:rPr>
          <w:rFonts w:ascii="Arial" w:cs="Arial" w:eastAsia="Arial" w:hAnsi="Arial"/>
          <w:i/>
          <w:iCs/>
          <w:color w:val="555555"/>
          <w:sz w:val="26"/>
          <w:szCs w:val="26"/>
        </w:rPr>
        <w:t xml:space="preserve">Your Complete Guide to Working at NEXT-GEN HRMS</w:t>
      </w:r>
    </w:p>
    <w:p>
      <w:r>
        <w:rPr>
          <w:sz w:val="24"/>
          <w:szCs w:val="24"/>
        </w:rPr>
        <w:t xml:space="preserve"/>
      </w:r>
    </w:p>
    <w:p>
      <w:r>
        <w:rPr>
          <w:sz w:val="24"/>
          <w:szCs w:val="24"/>
        </w:rPr>
        <w:t xml:space="preserve"/>
      </w:r>
    </w:p>
    <w:p>
      <w:pPr>
        <w:jc w:val="center"/>
      </w:pPr>
      <w:r>
        <w:rPr>
          <w:rFonts w:ascii="Arial" w:cs="Arial" w:eastAsia="Arial" w:hAnsi="Arial"/>
          <w:color w:val="777777"/>
          <w:sz w:val="22"/>
          <w:szCs w:val="22"/>
        </w:rPr>
        <w:t xml:space="preserve">Version: 2.0</w:t>
      </w:r>
    </w:p>
    <w:p>
      <w:pPr>
        <w:jc w:val="center"/>
      </w:pPr>
      <w:r>
        <w:rPr>
          <w:rFonts w:ascii="Arial" w:cs="Arial" w:eastAsia="Arial" w:hAnsi="Arial"/>
          <w:color w:val="777777"/>
          <w:sz w:val="22"/>
          <w:szCs w:val="22"/>
        </w:rPr>
        <w:t xml:space="preserve">Effective Date: January 1, 2025</w:t>
      </w:r>
    </w:p>
    <w:p>
      <w:pPr>
        <w:jc w:val="center"/>
      </w:pPr>
      <w:r>
        <w:rPr>
          <w:rFonts w:ascii="Arial" w:cs="Arial" w:eastAsia="Arial" w:hAnsi="Arial"/>
          <w:color w:val="777777"/>
          <w:sz w:val="22"/>
          <w:szCs w:val="22"/>
        </w:rPr>
        <w:t xml:space="preserve">Issued by: Human Resources Department</w:t>
      </w:r>
    </w:p>
    <w:p>
      <w:r>
        <w:br w:type="page"/>
      </w:r>
    </w:p>
    <w:p>
      <w:pPr>
        <w:pStyle w:val="Heading1"/>
        <w:pBdr>
          <w:bottom w:val="single" w:color="2E86AB" w:sz="4" w:space="4"/>
        </w:pBdr>
        <w:spacing w:before="360" w:after="120"/>
      </w:pPr>
      <w:r>
        <w:rPr>
          <w:rFonts w:ascii="Arial" w:cs="Arial" w:eastAsia="Arial" w:hAnsi="Arial"/>
          <w:b/>
          <w:bCs/>
          <w:color w:val="1E3A5F"/>
          <w:sz w:val="32"/>
          <w:szCs w:val="32"/>
        </w:rPr>
        <w:t xml:space="preserve">Welcome to NEXT-GEN HRMS</w:t>
      </w:r>
    </w:p>
    <w:p>
      <w:pPr>
        <w:spacing w:before="80" w:after="80"/>
      </w:pPr>
      <w:r>
        <w:rPr>
          <w:rFonts w:ascii="Arial" w:cs="Arial" w:eastAsia="Arial" w:hAnsi="Arial"/>
          <w:color w:val="333333"/>
          <w:sz w:val="22"/>
          <w:szCs w:val="22"/>
        </w:rPr>
        <w:t xml:space="preserve">We are delighted to welcome you to NEXT-GEN HRMS Pvt. Ltd. — a technology-driven company redefining how organizations manage their most valuable asset: their people. This HR Handbook is your comprehensive guide to our culture, policies, benefits, and the standards we uphold as a team.</w:t>
      </w:r>
    </w:p>
    <w:p>
      <w:pPr>
        <w:spacing w:before="80" w:after="80"/>
      </w:pPr>
      <w:r>
        <w:rPr>
          <w:rFonts w:ascii="Arial" w:cs="Arial" w:eastAsia="Arial" w:hAnsi="Arial"/>
          <w:color w:val="333333"/>
          <w:sz w:val="22"/>
          <w:szCs w:val="22"/>
        </w:rPr>
        <w:t xml:space="preserve">Please read this handbook carefully and keep it as a reference throughout your tenure. The policies herein are binding and form part of your employment agreement.</w:t>
      </w:r>
    </w:p>
    <w:p>
      <w:pPr>
        <w:pStyle w:val="Heading1"/>
        <w:pBdr>
          <w:bottom w:val="single" w:color="2E86AB" w:sz="4" w:space="4"/>
        </w:pBdr>
        <w:spacing w:before="360" w:after="120"/>
      </w:pPr>
      <w:r>
        <w:rPr>
          <w:rFonts w:ascii="Arial" w:cs="Arial" w:eastAsia="Arial" w:hAnsi="Arial"/>
          <w:b/>
          <w:bCs/>
          <w:color w:val="1E3A5F"/>
          <w:sz w:val="32"/>
          <w:szCs w:val="32"/>
        </w:rPr>
        <w:t xml:space="preserve">1. About NEXT-GEN HRMS</w:t>
      </w:r>
    </w:p>
    <w:p>
      <w:pPr>
        <w:pStyle w:val="Heading2"/>
        <w:spacing w:before="240" w:after="80"/>
      </w:pPr>
      <w:r>
        <w:rPr>
          <w:rFonts w:ascii="Arial" w:cs="Arial" w:eastAsia="Arial" w:hAnsi="Arial"/>
          <w:b/>
          <w:bCs/>
          <w:color w:val="2E86AB"/>
          <w:sz w:val="26"/>
          <w:szCs w:val="26"/>
        </w:rPr>
        <w:t xml:space="preserve">1.1 Our Mission</w:t>
      </w:r>
    </w:p>
    <w:p>
      <w:pPr>
        <w:spacing w:before="80" w:after="80"/>
      </w:pPr>
      <w:r>
        <w:rPr>
          <w:rFonts w:ascii="Arial" w:cs="Arial" w:eastAsia="Arial" w:hAnsi="Arial"/>
          <w:color w:val="333333"/>
          <w:sz w:val="22"/>
          <w:szCs w:val="22"/>
        </w:rPr>
        <w:t xml:space="preserve">To empower organizations with intelligent, integrated HR technology that transforms workforce management into a strategic advantage.</w:t>
      </w:r>
    </w:p>
    <w:p>
      <w:pPr>
        <w:pStyle w:val="Heading2"/>
        <w:spacing w:before="240" w:after="80"/>
      </w:pPr>
      <w:r>
        <w:rPr>
          <w:rFonts w:ascii="Arial" w:cs="Arial" w:eastAsia="Arial" w:hAnsi="Arial"/>
          <w:b/>
          <w:bCs/>
          <w:color w:val="2E86AB"/>
          <w:sz w:val="26"/>
          <w:szCs w:val="26"/>
        </w:rPr>
        <w:t xml:space="preserve">1.2 Our Vision</w:t>
      </w:r>
    </w:p>
    <w:p>
      <w:pPr>
        <w:spacing w:before="80" w:after="80"/>
      </w:pPr>
      <w:r>
        <w:rPr>
          <w:rFonts w:ascii="Arial" w:cs="Arial" w:eastAsia="Arial" w:hAnsi="Arial"/>
          <w:color w:val="333333"/>
          <w:sz w:val="22"/>
          <w:szCs w:val="22"/>
        </w:rPr>
        <w:t xml:space="preserve">To be the most trusted HR platform in South Asia, enabling a world where every employee thrives and every organization excels.</w:t>
      </w:r>
    </w:p>
    <w:p>
      <w:pPr>
        <w:pStyle w:val="Heading2"/>
        <w:spacing w:before="240" w:after="80"/>
      </w:pPr>
      <w:r>
        <w:rPr>
          <w:rFonts w:ascii="Arial" w:cs="Arial" w:eastAsia="Arial" w:hAnsi="Arial"/>
          <w:b/>
          <w:bCs/>
          <w:color w:val="2E86AB"/>
          <w:sz w:val="26"/>
          <w:szCs w:val="26"/>
        </w:rPr>
        <w:t xml:space="preserve">1.3 Our Core Values</w:t>
      </w:r>
    </w:p>
    <w:p>
      <w:pPr>
        <w:pStyle w:val="ListParagraph"/>
        <w:numPr>
          <w:ilvl w:val="0"/>
          <w:numId w:val="2"/>
        </w:numPr>
        <w:spacing w:before="40" w:after="40"/>
      </w:pPr>
      <w:r>
        <w:rPr>
          <w:rFonts w:ascii="Arial" w:cs="Arial" w:eastAsia="Arial" w:hAnsi="Arial"/>
          <w:color w:val="333333"/>
          <w:sz w:val="22"/>
          <w:szCs w:val="22"/>
        </w:rPr>
        <w:t xml:space="preserve">Innovation — We challenge the status quo and embrace technology-led solutions.</w:t>
      </w:r>
    </w:p>
    <w:p>
      <w:pPr>
        <w:pStyle w:val="ListParagraph"/>
        <w:numPr>
          <w:ilvl w:val="0"/>
          <w:numId w:val="2"/>
        </w:numPr>
        <w:spacing w:before="40" w:after="40"/>
      </w:pPr>
      <w:r>
        <w:rPr>
          <w:rFonts w:ascii="Arial" w:cs="Arial" w:eastAsia="Arial" w:hAnsi="Arial"/>
          <w:color w:val="333333"/>
          <w:sz w:val="22"/>
          <w:szCs w:val="22"/>
        </w:rPr>
        <w:t xml:space="preserve">Integrity — We act with honesty, transparency, and accountability in everything we do.</w:t>
      </w:r>
    </w:p>
    <w:p>
      <w:pPr>
        <w:pStyle w:val="ListParagraph"/>
        <w:numPr>
          <w:ilvl w:val="0"/>
          <w:numId w:val="2"/>
        </w:numPr>
        <w:spacing w:before="40" w:after="40"/>
      </w:pPr>
      <w:r>
        <w:rPr>
          <w:rFonts w:ascii="Arial" w:cs="Arial" w:eastAsia="Arial" w:hAnsi="Arial"/>
          <w:color w:val="333333"/>
          <w:sz w:val="22"/>
          <w:szCs w:val="22"/>
        </w:rPr>
        <w:t xml:space="preserve">Collaboration — We believe great outcomes emerge from diverse, empowered teams.</w:t>
      </w:r>
    </w:p>
    <w:p>
      <w:pPr>
        <w:pStyle w:val="ListParagraph"/>
        <w:numPr>
          <w:ilvl w:val="0"/>
          <w:numId w:val="2"/>
        </w:numPr>
        <w:spacing w:before="40" w:after="40"/>
      </w:pPr>
      <w:r>
        <w:rPr>
          <w:rFonts w:ascii="Arial" w:cs="Arial" w:eastAsia="Arial" w:hAnsi="Arial"/>
          <w:color w:val="333333"/>
          <w:sz w:val="22"/>
          <w:szCs w:val="22"/>
        </w:rPr>
        <w:t xml:space="preserve">Customer-Centricity — Our clients' success is our success.</w:t>
      </w:r>
    </w:p>
    <w:p>
      <w:pPr>
        <w:pStyle w:val="ListParagraph"/>
        <w:numPr>
          <w:ilvl w:val="0"/>
          <w:numId w:val="2"/>
        </w:numPr>
        <w:spacing w:before="40" w:after="40"/>
      </w:pPr>
      <w:r>
        <w:rPr>
          <w:rFonts w:ascii="Arial" w:cs="Arial" w:eastAsia="Arial" w:hAnsi="Arial"/>
          <w:color w:val="333333"/>
          <w:sz w:val="22"/>
          <w:szCs w:val="22"/>
        </w:rPr>
        <w:t xml:space="preserve">Continuous Learning — We invest in the growth of our people and our products.</w:t>
      </w:r>
    </w:p>
    <w:p>
      <w:pPr>
        <w:pStyle w:val="Heading1"/>
        <w:pBdr>
          <w:bottom w:val="single" w:color="2E86AB" w:sz="4" w:space="4"/>
        </w:pBdr>
        <w:spacing w:before="360" w:after="120"/>
      </w:pPr>
      <w:r>
        <w:rPr>
          <w:rFonts w:ascii="Arial" w:cs="Arial" w:eastAsia="Arial" w:hAnsi="Arial"/>
          <w:b/>
          <w:bCs/>
          <w:color w:val="1E3A5F"/>
          <w:sz w:val="32"/>
          <w:szCs w:val="32"/>
        </w:rPr>
        <w:t xml:space="preserve">2. Employment &amp; Onboarding</w:t>
      </w:r>
    </w:p>
    <w:p>
      <w:pPr>
        <w:pStyle w:val="Heading2"/>
        <w:spacing w:before="240" w:after="80"/>
      </w:pPr>
      <w:r>
        <w:rPr>
          <w:rFonts w:ascii="Arial" w:cs="Arial" w:eastAsia="Arial" w:hAnsi="Arial"/>
          <w:b/>
          <w:bCs/>
          <w:color w:val="2E86AB"/>
          <w:sz w:val="26"/>
          <w:szCs w:val="26"/>
        </w:rPr>
        <w:t xml:space="preserve">2.1 Employment Classification</w:t>
      </w:r>
    </w:p>
    <w:p>
      <w:pPr>
        <w:spacing w:before="80" w:after="80"/>
      </w:pPr>
      <w:r>
        <w:rPr>
          <w:rFonts w:ascii="Arial" w:cs="Arial" w:eastAsia="Arial" w:hAnsi="Arial"/>
          <w:color w:val="333333"/>
          <w:sz w:val="22"/>
          <w:szCs w:val="22"/>
        </w:rPr>
        <w:t xml:space="preserve">NEXT-GEN HRMS employs individuals across the following categories:</w:t>
      </w:r>
    </w:p>
    <w:p>
      <w:pPr>
        <w:pStyle w:val="ListParagraph"/>
        <w:numPr>
          <w:ilvl w:val="0"/>
          <w:numId w:val="2"/>
        </w:numPr>
        <w:spacing w:before="40" w:after="40"/>
      </w:pPr>
      <w:r>
        <w:rPr>
          <w:rFonts w:ascii="Arial" w:cs="Arial" w:eastAsia="Arial" w:hAnsi="Arial"/>
          <w:color w:val="333333"/>
          <w:sz w:val="22"/>
          <w:szCs w:val="22"/>
        </w:rPr>
        <w:t xml:space="preserve">Full-Time Permanent Employee: Works standard hours (40 hrs/week) with full benefits.</w:t>
      </w:r>
    </w:p>
    <w:p>
      <w:pPr>
        <w:pStyle w:val="ListParagraph"/>
        <w:numPr>
          <w:ilvl w:val="0"/>
          <w:numId w:val="2"/>
        </w:numPr>
        <w:spacing w:before="40" w:after="40"/>
      </w:pPr>
      <w:r>
        <w:rPr>
          <w:rFonts w:ascii="Arial" w:cs="Arial" w:eastAsia="Arial" w:hAnsi="Arial"/>
          <w:color w:val="333333"/>
          <w:sz w:val="22"/>
          <w:szCs w:val="22"/>
        </w:rPr>
        <w:t xml:space="preserve">Part-Time Employee: Works fewer than 25 hrs/week with pro-rated benefits.</w:t>
      </w:r>
    </w:p>
    <w:p>
      <w:pPr>
        <w:pStyle w:val="ListParagraph"/>
        <w:numPr>
          <w:ilvl w:val="0"/>
          <w:numId w:val="2"/>
        </w:numPr>
        <w:spacing w:before="40" w:after="40"/>
      </w:pPr>
      <w:r>
        <w:rPr>
          <w:rFonts w:ascii="Arial" w:cs="Arial" w:eastAsia="Arial" w:hAnsi="Arial"/>
          <w:color w:val="333333"/>
          <w:sz w:val="22"/>
          <w:szCs w:val="22"/>
        </w:rPr>
        <w:t xml:space="preserve">Contractual / Fixed-Term Employee: Employed for a defined project or period.</w:t>
      </w:r>
    </w:p>
    <w:p>
      <w:pPr>
        <w:pStyle w:val="ListParagraph"/>
        <w:numPr>
          <w:ilvl w:val="0"/>
          <w:numId w:val="2"/>
        </w:numPr>
        <w:spacing w:before="40" w:after="40"/>
      </w:pPr>
      <w:r>
        <w:rPr>
          <w:rFonts w:ascii="Arial" w:cs="Arial" w:eastAsia="Arial" w:hAnsi="Arial"/>
          <w:color w:val="333333"/>
          <w:sz w:val="22"/>
          <w:szCs w:val="22"/>
        </w:rPr>
        <w:t xml:space="preserve">Intern / Trainee: Enrolled in a structured learning program.</w:t>
      </w:r>
    </w:p>
    <w:p>
      <w:pPr>
        <w:pStyle w:val="Heading2"/>
        <w:spacing w:before="240" w:after="80"/>
      </w:pPr>
      <w:r>
        <w:rPr>
          <w:rFonts w:ascii="Arial" w:cs="Arial" w:eastAsia="Arial" w:hAnsi="Arial"/>
          <w:b/>
          <w:bCs/>
          <w:color w:val="2E86AB"/>
          <w:sz w:val="26"/>
          <w:szCs w:val="26"/>
        </w:rPr>
        <w:t xml:space="preserve">2.2 Probation Period</w:t>
      </w:r>
    </w:p>
    <w:p>
      <w:pPr>
        <w:spacing w:before="80" w:after="80"/>
      </w:pPr>
      <w:r>
        <w:rPr>
          <w:rFonts w:ascii="Arial" w:cs="Arial" w:eastAsia="Arial" w:hAnsi="Arial"/>
          <w:color w:val="333333"/>
          <w:sz w:val="22"/>
          <w:szCs w:val="22"/>
        </w:rPr>
        <w:t xml:space="preserve">All new employees undergo a probation period of 90 days from the Date of Joining. During this period, performance is closely monitored, and the employment may be confirmed, extended, or terminated with 7 days' notice. Extension of probation (up to 90 additional days) may be communicated at least 15 days before the probation end date.</w:t>
      </w:r>
    </w:p>
    <w:p>
      <w:pPr>
        <w:pStyle w:val="Heading2"/>
        <w:spacing w:before="240" w:after="80"/>
      </w:pPr>
      <w:r>
        <w:rPr>
          <w:rFonts w:ascii="Arial" w:cs="Arial" w:eastAsia="Arial" w:hAnsi="Arial"/>
          <w:b/>
          <w:bCs/>
          <w:color w:val="2E86AB"/>
          <w:sz w:val="26"/>
          <w:szCs w:val="26"/>
        </w:rPr>
        <w:t xml:space="preserve">2.3 Onboarding Process</w:t>
      </w:r>
    </w:p>
    <w:p>
      <w:pPr>
        <w:pStyle w:val="ListParagraph"/>
        <w:numPr>
          <w:ilvl w:val="0"/>
          <w:numId w:val="2"/>
        </w:numPr>
        <w:spacing w:before="40" w:after="40"/>
      </w:pPr>
      <w:r>
        <w:rPr>
          <w:rFonts w:ascii="Arial" w:cs="Arial" w:eastAsia="Arial" w:hAnsi="Arial"/>
          <w:color w:val="333333"/>
          <w:sz w:val="22"/>
          <w:szCs w:val="22"/>
        </w:rPr>
        <w:t xml:space="preserve">Day 1: ID card issuance, system access setup, and HR orientation session.</w:t>
      </w:r>
    </w:p>
    <w:p>
      <w:pPr>
        <w:pStyle w:val="ListParagraph"/>
        <w:numPr>
          <w:ilvl w:val="0"/>
          <w:numId w:val="2"/>
        </w:numPr>
        <w:spacing w:before="40" w:after="40"/>
      </w:pPr>
      <w:r>
        <w:rPr>
          <w:rFonts w:ascii="Arial" w:cs="Arial" w:eastAsia="Arial" w:hAnsi="Arial"/>
          <w:color w:val="333333"/>
          <w:sz w:val="22"/>
          <w:szCs w:val="22"/>
        </w:rPr>
        <w:t xml:space="preserve">Week 1: Department introduction, tool access, and buddy assignment.</w:t>
      </w:r>
    </w:p>
    <w:p>
      <w:pPr>
        <w:pStyle w:val="ListParagraph"/>
        <w:numPr>
          <w:ilvl w:val="0"/>
          <w:numId w:val="2"/>
        </w:numPr>
        <w:spacing w:before="40" w:after="40"/>
      </w:pPr>
      <w:r>
        <w:rPr>
          <w:rFonts w:ascii="Arial" w:cs="Arial" w:eastAsia="Arial" w:hAnsi="Arial"/>
          <w:color w:val="333333"/>
          <w:sz w:val="22"/>
          <w:szCs w:val="22"/>
        </w:rPr>
        <w:t xml:space="preserve">Month 1: Role-specific training, performance goal setting with manager.</w:t>
      </w:r>
    </w:p>
    <w:p>
      <w:pPr>
        <w:pStyle w:val="ListParagraph"/>
        <w:numPr>
          <w:ilvl w:val="0"/>
          <w:numId w:val="2"/>
        </w:numPr>
        <w:spacing w:before="40" w:after="40"/>
      </w:pPr>
      <w:r>
        <w:rPr>
          <w:rFonts w:ascii="Arial" w:cs="Arial" w:eastAsia="Arial" w:hAnsi="Arial"/>
          <w:color w:val="333333"/>
          <w:sz w:val="22"/>
          <w:szCs w:val="22"/>
        </w:rPr>
        <w:t xml:space="preserve">Day 90: Probation review, confirmation letter issuance (if applicable).</w:t>
      </w:r>
    </w:p>
    <w:p>
      <w:pPr>
        <w:pStyle w:val="Heading1"/>
        <w:pBdr>
          <w:bottom w:val="single" w:color="2E86AB" w:sz="4" w:space="4"/>
        </w:pBdr>
        <w:spacing w:before="360" w:after="120"/>
      </w:pPr>
      <w:r>
        <w:rPr>
          <w:rFonts w:ascii="Arial" w:cs="Arial" w:eastAsia="Arial" w:hAnsi="Arial"/>
          <w:b/>
          <w:bCs/>
          <w:color w:val="1E3A5F"/>
          <w:sz w:val="32"/>
          <w:szCs w:val="32"/>
        </w:rPr>
        <w:t xml:space="preserve">3. Working Hours &amp; Attendance</w:t>
      </w:r>
    </w:p>
    <w:p>
      <w:pPr>
        <w:pStyle w:val="Heading2"/>
        <w:spacing w:before="240" w:after="80"/>
      </w:pPr>
      <w:r>
        <w:rPr>
          <w:rFonts w:ascii="Arial" w:cs="Arial" w:eastAsia="Arial" w:hAnsi="Arial"/>
          <w:b/>
          <w:bCs/>
          <w:color w:val="2E86AB"/>
          <w:sz w:val="26"/>
          <w:szCs w:val="26"/>
        </w:rPr>
        <w:t xml:space="preserve">3.1 Standard Working Hours</w:t>
      </w:r>
    </w:p>
    <w:p>
      <w:pPr>
        <w:spacing w:before="80" w:after="80"/>
      </w:pPr>
      <w:r>
        <w:rPr>
          <w:rFonts w:ascii="Arial" w:cs="Arial" w:eastAsia="Arial" w:hAnsi="Arial"/>
          <w:color w:val="333333"/>
          <w:sz w:val="22"/>
          <w:szCs w:val="22"/>
        </w:rPr>
        <w:t xml:space="preserve">The standard workweek at NEXT-GEN HRMS is Monday to Friday, 9:00 AM to 6:00 PM (IST), including a 1-hour lunch break. Total billable work hours per day: 8 hours.</w:t>
      </w:r>
    </w:p>
    <w:p>
      <w:pPr>
        <w:pStyle w:val="Heading2"/>
        <w:spacing w:before="240" w:after="80"/>
      </w:pPr>
      <w:r>
        <w:rPr>
          <w:rFonts w:ascii="Arial" w:cs="Arial" w:eastAsia="Arial" w:hAnsi="Arial"/>
          <w:b/>
          <w:bCs/>
          <w:color w:val="2E86AB"/>
          <w:sz w:val="26"/>
          <w:szCs w:val="26"/>
        </w:rPr>
        <w:t xml:space="preserve">3.2 Flexible Work Arrangements</w:t>
      </w:r>
    </w:p>
    <w:p>
      <w:pPr>
        <w:spacing w:before="80" w:after="80"/>
      </w:pPr>
      <w:r>
        <w:rPr>
          <w:rFonts w:ascii="Arial" w:cs="Arial" w:eastAsia="Arial" w:hAnsi="Arial"/>
          <w:color w:val="333333"/>
          <w:sz w:val="22"/>
          <w:szCs w:val="22"/>
        </w:rPr>
        <w:t xml:space="preserve">With prior approval from the reporting manager and HR, employees may opt for flexible start times between 8:00 AM and 10:30 AM, provided 8 working hours are completed daily. Flex arrangements are not applicable to roles requiring client-facing or shift-based coverage.</w:t>
      </w:r>
    </w:p>
    <w:p>
      <w:pPr>
        <w:pStyle w:val="Heading2"/>
        <w:spacing w:before="240" w:after="80"/>
      </w:pPr>
      <w:r>
        <w:rPr>
          <w:rFonts w:ascii="Arial" w:cs="Arial" w:eastAsia="Arial" w:hAnsi="Arial"/>
          <w:b/>
          <w:bCs/>
          <w:color w:val="2E86AB"/>
          <w:sz w:val="26"/>
          <w:szCs w:val="26"/>
        </w:rPr>
        <w:t xml:space="preserve">3.3 Remote Work Policy</w:t>
      </w:r>
    </w:p>
    <w:p>
      <w:pPr>
        <w:spacing w:before="80" w:after="80"/>
      </w:pPr>
      <w:r>
        <w:rPr>
          <w:rFonts w:ascii="Arial" w:cs="Arial" w:eastAsia="Arial" w:hAnsi="Arial"/>
          <w:color w:val="333333"/>
          <w:sz w:val="22"/>
          <w:szCs w:val="22"/>
        </w:rPr>
        <w:t xml:space="preserve">NEXT-GEN HRMS supports a hybrid work model. Employees may work remotely up to 2 days per week after confirmation of employment, subject to role suitability and manager approval. Remote work days must be logged on the HRMS portal. Core hours (10:00 AM – 4:00 PM IST) must be observed during remote work.</w:t>
      </w:r>
    </w:p>
    <w:p>
      <w:pPr>
        <w:pStyle w:val="Heading1"/>
        <w:pBdr>
          <w:bottom w:val="single" w:color="2E86AB" w:sz="4" w:space="4"/>
        </w:pBdr>
        <w:spacing w:before="360" w:after="120"/>
      </w:pPr>
      <w:r>
        <w:rPr>
          <w:rFonts w:ascii="Arial" w:cs="Arial" w:eastAsia="Arial" w:hAnsi="Arial"/>
          <w:b/>
          <w:bCs/>
          <w:color w:val="1E3A5F"/>
          <w:sz w:val="32"/>
          <w:szCs w:val="32"/>
        </w:rPr>
        <w:t xml:space="preserve">4. Code of Conduct</w:t>
      </w:r>
    </w:p>
    <w:p>
      <w:pPr>
        <w:pStyle w:val="Heading2"/>
        <w:spacing w:before="240" w:after="80"/>
      </w:pPr>
      <w:r>
        <w:rPr>
          <w:rFonts w:ascii="Arial" w:cs="Arial" w:eastAsia="Arial" w:hAnsi="Arial"/>
          <w:b/>
          <w:bCs/>
          <w:color w:val="2E86AB"/>
          <w:sz w:val="26"/>
          <w:szCs w:val="26"/>
        </w:rPr>
        <w:t xml:space="preserve">4.1 Professional Behavior</w:t>
      </w:r>
    </w:p>
    <w:p>
      <w:pPr>
        <w:spacing w:before="80" w:after="80"/>
      </w:pPr>
      <w:r>
        <w:rPr>
          <w:rFonts w:ascii="Arial" w:cs="Arial" w:eastAsia="Arial" w:hAnsi="Arial"/>
          <w:color w:val="333333"/>
          <w:sz w:val="22"/>
          <w:szCs w:val="22"/>
        </w:rPr>
        <w:t xml:space="preserve">All employees are expected to maintain a high standard of professional conduct at all times — in the workplace, at client sites, during company events, and on social media when representing NEXT-GEN HRMS.</w:t>
      </w:r>
    </w:p>
    <w:p>
      <w:pPr>
        <w:pStyle w:val="ListParagraph"/>
        <w:numPr>
          <w:ilvl w:val="0"/>
          <w:numId w:val="2"/>
        </w:numPr>
        <w:spacing w:before="40" w:after="40"/>
      </w:pPr>
      <w:r>
        <w:rPr>
          <w:rFonts w:ascii="Arial" w:cs="Arial" w:eastAsia="Arial" w:hAnsi="Arial"/>
          <w:color w:val="333333"/>
          <w:sz w:val="22"/>
          <w:szCs w:val="22"/>
        </w:rPr>
        <w:t xml:space="preserve">Treat all colleagues, clients, and visitors with dignity and respect.</w:t>
      </w:r>
    </w:p>
    <w:p>
      <w:pPr>
        <w:pStyle w:val="ListParagraph"/>
        <w:numPr>
          <w:ilvl w:val="0"/>
          <w:numId w:val="2"/>
        </w:numPr>
        <w:spacing w:before="40" w:after="40"/>
      </w:pPr>
      <w:r>
        <w:rPr>
          <w:rFonts w:ascii="Arial" w:cs="Arial" w:eastAsia="Arial" w:hAnsi="Arial"/>
          <w:color w:val="333333"/>
          <w:sz w:val="22"/>
          <w:szCs w:val="22"/>
        </w:rPr>
        <w:t xml:space="preserve">Avoid use of offensive language, intimidation, or discriminatory remarks.</w:t>
      </w:r>
    </w:p>
    <w:p>
      <w:pPr>
        <w:pStyle w:val="ListParagraph"/>
        <w:numPr>
          <w:ilvl w:val="0"/>
          <w:numId w:val="2"/>
        </w:numPr>
        <w:spacing w:before="40" w:after="40"/>
      </w:pPr>
      <w:r>
        <w:rPr>
          <w:rFonts w:ascii="Arial" w:cs="Arial" w:eastAsia="Arial" w:hAnsi="Arial"/>
          <w:color w:val="333333"/>
          <w:sz w:val="22"/>
          <w:szCs w:val="22"/>
        </w:rPr>
        <w:t xml:space="preserve">Disclose any conflicts of interest to your manager and HR in writing.</w:t>
      </w:r>
    </w:p>
    <w:p>
      <w:pPr>
        <w:pStyle w:val="ListParagraph"/>
        <w:numPr>
          <w:ilvl w:val="0"/>
          <w:numId w:val="2"/>
        </w:numPr>
        <w:spacing w:before="40" w:after="40"/>
      </w:pPr>
      <w:r>
        <w:rPr>
          <w:rFonts w:ascii="Arial" w:cs="Arial" w:eastAsia="Arial" w:hAnsi="Arial"/>
          <w:color w:val="333333"/>
          <w:sz w:val="22"/>
          <w:szCs w:val="22"/>
        </w:rPr>
        <w:t xml:space="preserve">Protect confidential information and intellectual property at all times.</w:t>
      </w:r>
    </w:p>
    <w:p>
      <w:pPr>
        <w:pStyle w:val="Heading2"/>
        <w:spacing w:before="240" w:after="80"/>
      </w:pPr>
      <w:r>
        <w:rPr>
          <w:rFonts w:ascii="Arial" w:cs="Arial" w:eastAsia="Arial" w:hAnsi="Arial"/>
          <w:b/>
          <w:bCs/>
          <w:color w:val="2E86AB"/>
          <w:sz w:val="26"/>
          <w:szCs w:val="26"/>
        </w:rPr>
        <w:t xml:space="preserve">4.2 Anti-Harassment &amp; Non-Discrimination</w:t>
      </w:r>
    </w:p>
    <w:p>
      <w:pPr>
        <w:spacing w:before="80" w:after="80"/>
      </w:pPr>
      <w:r>
        <w:rPr>
          <w:rFonts w:ascii="Arial" w:cs="Arial" w:eastAsia="Arial" w:hAnsi="Arial"/>
          <w:color w:val="333333"/>
          <w:sz w:val="22"/>
          <w:szCs w:val="22"/>
        </w:rPr>
        <w:t xml:space="preserve">NEXT-GEN HRMS has zero tolerance for any form of harassment, bullying, or discrimination based on gender, religion, caste, age, disability, sexual orientation, marital status, or any other protected characteristic. Violations will be addressed under our POSH Policy and may result in immediate termination. Complaints must be raised with the Internal Complaints Committee (ICC).</w:t>
      </w:r>
    </w:p>
    <w:p>
      <w:pPr>
        <w:pStyle w:val="Heading2"/>
        <w:spacing w:before="240" w:after="80"/>
      </w:pPr>
      <w:r>
        <w:rPr>
          <w:rFonts w:ascii="Arial" w:cs="Arial" w:eastAsia="Arial" w:hAnsi="Arial"/>
          <w:b/>
          <w:bCs/>
          <w:color w:val="2E86AB"/>
          <w:sz w:val="26"/>
          <w:szCs w:val="26"/>
        </w:rPr>
        <w:t xml:space="preserve">4.3 Dress Code</w:t>
      </w:r>
    </w:p>
    <w:p>
      <w:pPr>
        <w:spacing w:before="80" w:after="80"/>
      </w:pPr>
      <w:r>
        <w:rPr>
          <w:rFonts w:ascii="Arial" w:cs="Arial" w:eastAsia="Arial" w:hAnsi="Arial"/>
          <w:color w:val="333333"/>
          <w:sz w:val="22"/>
          <w:szCs w:val="22"/>
        </w:rPr>
        <w:t xml:space="preserve">The company follows a business casual dress code from Monday to Thursday. Fridays are casual dress days. Client meeting days require business formal attire. Clothing with offensive language or imagery is strictly prohibited at all times.</w:t>
      </w:r>
    </w:p>
    <w:p>
      <w:pPr>
        <w:pStyle w:val="Heading1"/>
        <w:pBdr>
          <w:bottom w:val="single" w:color="2E86AB" w:sz="4" w:space="4"/>
        </w:pBdr>
        <w:spacing w:before="360" w:after="120"/>
      </w:pPr>
      <w:r>
        <w:rPr>
          <w:rFonts w:ascii="Arial" w:cs="Arial" w:eastAsia="Arial" w:hAnsi="Arial"/>
          <w:b/>
          <w:bCs/>
          <w:color w:val="1E3A5F"/>
          <w:sz w:val="32"/>
          <w:szCs w:val="32"/>
        </w:rPr>
        <w:t xml:space="preserve">5. Compensation &amp; Benefits</w:t>
      </w:r>
    </w:p>
    <w:p>
      <w:pPr>
        <w:pStyle w:val="Heading2"/>
        <w:spacing w:before="240" w:after="80"/>
      </w:pPr>
      <w:r>
        <w:rPr>
          <w:rFonts w:ascii="Arial" w:cs="Arial" w:eastAsia="Arial" w:hAnsi="Arial"/>
          <w:b/>
          <w:bCs/>
          <w:color w:val="2E86AB"/>
          <w:sz w:val="26"/>
          <w:szCs w:val="26"/>
        </w:rPr>
        <w:t xml:space="preserve">5.1 Salary Structure</w:t>
      </w:r>
    </w:p>
    <w:p>
      <w:pPr>
        <w:spacing w:before="80" w:after="80"/>
      </w:pPr>
      <w:r>
        <w:rPr>
          <w:rFonts w:ascii="Arial" w:cs="Arial" w:eastAsia="Arial" w:hAnsi="Arial"/>
          <w:color w:val="333333"/>
          <w:sz w:val="22"/>
          <w:szCs w:val="22"/>
        </w:rPr>
        <w:t xml:space="preserve">Employee compensation comprises: Basic Salary (40% of CTC), House Rent Allowance (20% of CTC), Special Allowance (25% of CTC), Provident Fund — Employer Contribution (12% of Basic), Medical Allowance (₹1,250/month), and Performance Bonus (up to 15% of annual CTC based on appraisal).</w:t>
      </w:r>
    </w:p>
    <w:p>
      <w:pPr>
        <w:pStyle w:val="Heading2"/>
        <w:spacing w:before="240" w:after="80"/>
      </w:pPr>
      <w:r>
        <w:rPr>
          <w:rFonts w:ascii="Arial" w:cs="Arial" w:eastAsia="Arial" w:hAnsi="Arial"/>
          <w:b/>
          <w:bCs/>
          <w:color w:val="2E86AB"/>
          <w:sz w:val="26"/>
          <w:szCs w:val="26"/>
        </w:rPr>
        <w:t xml:space="preserve">5.2 Salary Disbursement</w:t>
      </w:r>
    </w:p>
    <w:p>
      <w:pPr>
        <w:spacing w:before="80" w:after="80"/>
      </w:pPr>
      <w:r>
        <w:rPr>
          <w:rFonts w:ascii="Arial" w:cs="Arial" w:eastAsia="Arial" w:hAnsi="Arial"/>
          <w:color w:val="333333"/>
          <w:sz w:val="22"/>
          <w:szCs w:val="22"/>
        </w:rPr>
        <w:t xml:space="preserve">Salaries are credited to the employee's registered bank account on the last working day of each month. Salary slips are generated and available on the NEXT-GEN HRMS portal by the 2nd of the following month.</w:t>
      </w:r>
    </w:p>
    <w:p>
      <w:pPr>
        <w:pStyle w:val="Heading2"/>
        <w:spacing w:before="240" w:after="80"/>
      </w:pPr>
      <w:r>
        <w:rPr>
          <w:rFonts w:ascii="Arial" w:cs="Arial" w:eastAsia="Arial" w:hAnsi="Arial"/>
          <w:b/>
          <w:bCs/>
          <w:color w:val="2E86AB"/>
          <w:sz w:val="26"/>
          <w:szCs w:val="26"/>
        </w:rPr>
        <w:t xml:space="preserve">5.3 Benefits</w:t>
      </w:r>
    </w:p>
    <w:p>
      <w:pPr>
        <w:pStyle w:val="ListParagraph"/>
        <w:numPr>
          <w:ilvl w:val="0"/>
          <w:numId w:val="2"/>
        </w:numPr>
        <w:spacing w:before="40" w:after="40"/>
      </w:pPr>
      <w:r>
        <w:rPr>
          <w:rFonts w:ascii="Arial" w:cs="Arial" w:eastAsia="Arial" w:hAnsi="Arial"/>
          <w:color w:val="333333"/>
          <w:sz w:val="22"/>
          <w:szCs w:val="22"/>
        </w:rPr>
        <w:t xml:space="preserve">Health Insurance: Group Mediclaim of ₹5,00,000 per employee + spouse + 2 children.</w:t>
      </w:r>
    </w:p>
    <w:p>
      <w:pPr>
        <w:pStyle w:val="ListParagraph"/>
        <w:numPr>
          <w:ilvl w:val="0"/>
          <w:numId w:val="2"/>
        </w:numPr>
        <w:spacing w:before="40" w:after="40"/>
      </w:pPr>
      <w:r>
        <w:rPr>
          <w:rFonts w:ascii="Arial" w:cs="Arial" w:eastAsia="Arial" w:hAnsi="Arial"/>
          <w:color w:val="333333"/>
          <w:sz w:val="22"/>
          <w:szCs w:val="22"/>
        </w:rPr>
        <w:t xml:space="preserve">Term Life Insurance: Coverage of 3x annual CTC.</w:t>
      </w:r>
    </w:p>
    <w:p>
      <w:pPr>
        <w:pStyle w:val="ListParagraph"/>
        <w:numPr>
          <w:ilvl w:val="0"/>
          <w:numId w:val="2"/>
        </w:numPr>
        <w:spacing w:before="40" w:after="40"/>
      </w:pPr>
      <w:r>
        <w:rPr>
          <w:rFonts w:ascii="Arial" w:cs="Arial" w:eastAsia="Arial" w:hAnsi="Arial"/>
          <w:color w:val="333333"/>
          <w:sz w:val="22"/>
          <w:szCs w:val="22"/>
        </w:rPr>
        <w:t xml:space="preserve">Accidental Disability Cover: ₹25,00,000.</w:t>
      </w:r>
    </w:p>
    <w:p>
      <w:pPr>
        <w:pStyle w:val="ListParagraph"/>
        <w:numPr>
          <w:ilvl w:val="0"/>
          <w:numId w:val="2"/>
        </w:numPr>
        <w:spacing w:before="40" w:after="40"/>
      </w:pPr>
      <w:r>
        <w:rPr>
          <w:rFonts w:ascii="Arial" w:cs="Arial" w:eastAsia="Arial" w:hAnsi="Arial"/>
          <w:color w:val="333333"/>
          <w:sz w:val="22"/>
          <w:szCs w:val="22"/>
        </w:rPr>
        <w:t xml:space="preserve">Gratuity: As per Payment of Gratuity Act (eligible after 5 years of service).</w:t>
      </w:r>
    </w:p>
    <w:p>
      <w:pPr>
        <w:pStyle w:val="ListParagraph"/>
        <w:numPr>
          <w:ilvl w:val="0"/>
          <w:numId w:val="2"/>
        </w:numPr>
        <w:spacing w:before="40" w:after="40"/>
      </w:pPr>
      <w:r>
        <w:rPr>
          <w:rFonts w:ascii="Arial" w:cs="Arial" w:eastAsia="Arial" w:hAnsi="Arial"/>
          <w:color w:val="333333"/>
          <w:sz w:val="22"/>
          <w:szCs w:val="22"/>
        </w:rPr>
        <w:t xml:space="preserve">Provident Fund: EPF contribution as per statutory norms.</w:t>
      </w:r>
    </w:p>
    <w:p>
      <w:pPr>
        <w:pStyle w:val="ListParagraph"/>
        <w:numPr>
          <w:ilvl w:val="0"/>
          <w:numId w:val="2"/>
        </w:numPr>
        <w:spacing w:before="40" w:after="40"/>
      </w:pPr>
      <w:r>
        <w:rPr>
          <w:rFonts w:ascii="Arial" w:cs="Arial" w:eastAsia="Arial" w:hAnsi="Arial"/>
          <w:color w:val="333333"/>
          <w:sz w:val="22"/>
          <w:szCs w:val="22"/>
        </w:rPr>
        <w:t xml:space="preserve">Meal Coupons: ₹2,200/month via Sodexo/Zeta.</w:t>
      </w:r>
    </w:p>
    <w:p>
      <w:pPr>
        <w:pStyle w:val="ListParagraph"/>
        <w:numPr>
          <w:ilvl w:val="0"/>
          <w:numId w:val="2"/>
        </w:numPr>
        <w:spacing w:before="40" w:after="40"/>
      </w:pPr>
      <w:r>
        <w:rPr>
          <w:rFonts w:ascii="Arial" w:cs="Arial" w:eastAsia="Arial" w:hAnsi="Arial"/>
          <w:color w:val="333333"/>
          <w:sz w:val="22"/>
          <w:szCs w:val="22"/>
        </w:rPr>
        <w:t xml:space="preserve">Annual Leave Encashment: Up to 30 days of Privilege Leave.</w:t>
      </w:r>
    </w:p>
    <w:p>
      <w:pPr>
        <w:pStyle w:val="Heading1"/>
        <w:pBdr>
          <w:bottom w:val="single" w:color="2E86AB" w:sz="4" w:space="4"/>
        </w:pBdr>
        <w:spacing w:before="360" w:after="120"/>
      </w:pPr>
      <w:r>
        <w:rPr>
          <w:rFonts w:ascii="Arial" w:cs="Arial" w:eastAsia="Arial" w:hAnsi="Arial"/>
          <w:b/>
          <w:bCs/>
          <w:color w:val="1E3A5F"/>
          <w:sz w:val="32"/>
          <w:szCs w:val="32"/>
        </w:rPr>
        <w:t xml:space="preserve">6. Performance Management</w:t>
      </w:r>
    </w:p>
    <w:p>
      <w:pPr>
        <w:pStyle w:val="Heading2"/>
        <w:spacing w:before="240" w:after="80"/>
      </w:pPr>
      <w:r>
        <w:rPr>
          <w:rFonts w:ascii="Arial" w:cs="Arial" w:eastAsia="Arial" w:hAnsi="Arial"/>
          <w:b/>
          <w:bCs/>
          <w:color w:val="2E86AB"/>
          <w:sz w:val="26"/>
          <w:szCs w:val="26"/>
        </w:rPr>
        <w:t xml:space="preserve">6.1 Appraisal Cycle</w:t>
      </w:r>
    </w:p>
    <w:p>
      <w:pPr>
        <w:spacing w:before="80" w:after="80"/>
      </w:pPr>
      <w:r>
        <w:rPr>
          <w:rFonts w:ascii="Arial" w:cs="Arial" w:eastAsia="Arial" w:hAnsi="Arial"/>
          <w:color w:val="333333"/>
          <w:sz w:val="22"/>
          <w:szCs w:val="22"/>
        </w:rPr>
        <w:t xml:space="preserve">NEXT-GEN HRMS follows a bi-annual appraisal cycle: Mid-Year Review (July) and Annual Appraisal (December). Employees are assessed on KPIs, OKRs, behavioral competencies, and peer feedback.</w:t>
      </w:r>
    </w:p>
    <w:p>
      <w:pPr>
        <w:pStyle w:val="Heading2"/>
        <w:spacing w:before="240" w:after="80"/>
      </w:pPr>
      <w:r>
        <w:rPr>
          <w:rFonts w:ascii="Arial" w:cs="Arial" w:eastAsia="Arial" w:hAnsi="Arial"/>
          <w:b/>
          <w:bCs/>
          <w:color w:val="2E86AB"/>
          <w:sz w:val="26"/>
          <w:szCs w:val="26"/>
        </w:rPr>
        <w:t xml:space="preserve">6.2 Performance Improvement Plan (PIP)</w:t>
      </w:r>
    </w:p>
    <w:p>
      <w:pPr>
        <w:spacing w:before="80" w:after="80"/>
      </w:pPr>
      <w:r>
        <w:rPr>
          <w:rFonts w:ascii="Arial" w:cs="Arial" w:eastAsia="Arial" w:hAnsi="Arial"/>
          <w:color w:val="333333"/>
          <w:sz w:val="22"/>
          <w:szCs w:val="22"/>
        </w:rPr>
        <w:t xml:space="preserve">Employees consistently rated 'Below Expectations' for two consecutive cycles may be placed on a 60-day Performance Improvement Plan. The PIP outlines specific goals, timelines, and support mechanisms. Failure to meet PIP objectives may result in termination.</w:t>
      </w:r>
    </w:p>
    <w:p>
      <w:pPr>
        <w:pStyle w:val="Heading1"/>
        <w:pBdr>
          <w:bottom w:val="single" w:color="2E86AB" w:sz="4" w:space="4"/>
        </w:pBdr>
        <w:spacing w:before="360" w:after="120"/>
      </w:pPr>
      <w:r>
        <w:rPr>
          <w:rFonts w:ascii="Arial" w:cs="Arial" w:eastAsia="Arial" w:hAnsi="Arial"/>
          <w:b/>
          <w:bCs/>
          <w:color w:val="1E3A5F"/>
          <w:sz w:val="32"/>
          <w:szCs w:val="32"/>
        </w:rPr>
        <w:t xml:space="preserve">7. Learning &amp; Development</w:t>
      </w:r>
    </w:p>
    <w:p>
      <w:pPr>
        <w:spacing w:before="80" w:after="80"/>
      </w:pPr>
      <w:r>
        <w:rPr>
          <w:rFonts w:ascii="Arial" w:cs="Arial" w:eastAsia="Arial" w:hAnsi="Arial"/>
          <w:color w:val="333333"/>
          <w:sz w:val="22"/>
          <w:szCs w:val="22"/>
        </w:rPr>
        <w:t xml:space="preserve">NEXT-GEN HRMS is committed to continuous learning. Each employee receives an annual L&amp;D budget of ₹20,000 for external certifications, courses, or conferences. Internal learning resources include access to LinkedIn Learning, internal workshops, and an LMS accessible through the HRMS portal.</w:t>
      </w:r>
    </w:p>
    <w:p>
      <w:pPr>
        <w:pStyle w:val="Heading1"/>
        <w:pBdr>
          <w:bottom w:val="single" w:color="2E86AB" w:sz="4" w:space="4"/>
        </w:pBdr>
        <w:spacing w:before="360" w:after="120"/>
      </w:pPr>
      <w:r>
        <w:rPr>
          <w:rFonts w:ascii="Arial" w:cs="Arial" w:eastAsia="Arial" w:hAnsi="Arial"/>
          <w:b/>
          <w:bCs/>
          <w:color w:val="1E3A5F"/>
          <w:sz w:val="32"/>
          <w:szCs w:val="32"/>
        </w:rPr>
        <w:t xml:space="preserve">8. Separation &amp; Exit Process</w:t>
      </w:r>
    </w:p>
    <w:p>
      <w:pPr>
        <w:pStyle w:val="Heading2"/>
        <w:spacing w:before="240" w:after="80"/>
      </w:pPr>
      <w:r>
        <w:rPr>
          <w:rFonts w:ascii="Arial" w:cs="Arial" w:eastAsia="Arial" w:hAnsi="Arial"/>
          <w:b/>
          <w:bCs/>
          <w:color w:val="2E86AB"/>
          <w:sz w:val="26"/>
          <w:szCs w:val="26"/>
        </w:rPr>
        <w:t xml:space="preserve">8.1 Resignation</w:t>
      </w:r>
    </w:p>
    <w:p>
      <w:pPr>
        <w:spacing w:before="80" w:after="80"/>
      </w:pPr>
      <w:r>
        <w:rPr>
          <w:rFonts w:ascii="Arial" w:cs="Arial" w:eastAsia="Arial" w:hAnsi="Arial"/>
          <w:color w:val="333333"/>
          <w:sz w:val="22"/>
          <w:szCs w:val="22"/>
        </w:rPr>
        <w:t xml:space="preserve">Employees wishing to resign must submit a formal resignation letter through the HRMS portal. The notice period is as follows: Probationary employees — 7 days; Permanent employees (up to 3 years) — 30 days; Permanent employees (above 3 years) — 60 days.</w:t>
      </w:r>
    </w:p>
    <w:p>
      <w:pPr>
        <w:pStyle w:val="Heading2"/>
        <w:spacing w:before="240" w:after="80"/>
      </w:pPr>
      <w:r>
        <w:rPr>
          <w:rFonts w:ascii="Arial" w:cs="Arial" w:eastAsia="Arial" w:hAnsi="Arial"/>
          <w:b/>
          <w:bCs/>
          <w:color w:val="2E86AB"/>
          <w:sz w:val="26"/>
          <w:szCs w:val="26"/>
        </w:rPr>
        <w:t xml:space="preserve">8.2 Exit Formalities</w:t>
      </w:r>
    </w:p>
    <w:p>
      <w:pPr>
        <w:pStyle w:val="ListParagraph"/>
        <w:numPr>
          <w:ilvl w:val="0"/>
          <w:numId w:val="2"/>
        </w:numPr>
        <w:spacing w:before="40" w:after="40"/>
      </w:pPr>
      <w:r>
        <w:rPr>
          <w:rFonts w:ascii="Arial" w:cs="Arial" w:eastAsia="Arial" w:hAnsi="Arial"/>
          <w:color w:val="333333"/>
          <w:sz w:val="22"/>
          <w:szCs w:val="22"/>
        </w:rPr>
        <w:t xml:space="preserve">Submit company assets (laptop, ID card, access cards) to IT/Admin.</w:t>
      </w:r>
    </w:p>
    <w:p>
      <w:pPr>
        <w:pStyle w:val="ListParagraph"/>
        <w:numPr>
          <w:ilvl w:val="0"/>
          <w:numId w:val="2"/>
        </w:numPr>
        <w:spacing w:before="40" w:after="40"/>
      </w:pPr>
      <w:r>
        <w:rPr>
          <w:rFonts w:ascii="Arial" w:cs="Arial" w:eastAsia="Arial" w:hAnsi="Arial"/>
          <w:color w:val="333333"/>
          <w:sz w:val="22"/>
          <w:szCs w:val="22"/>
        </w:rPr>
        <w:t xml:space="preserve">Complete knowledge transfer documentation.</w:t>
      </w:r>
    </w:p>
    <w:p>
      <w:pPr>
        <w:pStyle w:val="ListParagraph"/>
        <w:numPr>
          <w:ilvl w:val="0"/>
          <w:numId w:val="2"/>
        </w:numPr>
        <w:spacing w:before="40" w:after="40"/>
      </w:pPr>
      <w:r>
        <w:rPr>
          <w:rFonts w:ascii="Arial" w:cs="Arial" w:eastAsia="Arial" w:hAnsi="Arial"/>
          <w:color w:val="333333"/>
          <w:sz w:val="22"/>
          <w:szCs w:val="22"/>
        </w:rPr>
        <w:t xml:space="preserve">Clear all financial dues.</w:t>
      </w:r>
    </w:p>
    <w:p>
      <w:pPr>
        <w:pStyle w:val="ListParagraph"/>
        <w:numPr>
          <w:ilvl w:val="0"/>
          <w:numId w:val="2"/>
        </w:numPr>
        <w:spacing w:before="40" w:after="40"/>
      </w:pPr>
      <w:r>
        <w:rPr>
          <w:rFonts w:ascii="Arial" w:cs="Arial" w:eastAsia="Arial" w:hAnsi="Arial"/>
          <w:color w:val="333333"/>
          <w:sz w:val="22"/>
          <w:szCs w:val="22"/>
        </w:rPr>
        <w:t xml:space="preserve">Attend an exit interview with HR.</w:t>
      </w:r>
    </w:p>
    <w:p>
      <w:pPr>
        <w:pStyle w:val="ListParagraph"/>
        <w:numPr>
          <w:ilvl w:val="0"/>
          <w:numId w:val="2"/>
        </w:numPr>
        <w:spacing w:before="40" w:after="40"/>
      </w:pPr>
      <w:r>
        <w:rPr>
          <w:rFonts w:ascii="Arial" w:cs="Arial" w:eastAsia="Arial" w:hAnsi="Arial"/>
          <w:color w:val="333333"/>
          <w:sz w:val="22"/>
          <w:szCs w:val="22"/>
        </w:rPr>
        <w:t xml:space="preserve">Obtain relieving letter and experience certificate from HR.</w:t>
      </w:r>
    </w:p>
    <w:p>
      <w:pPr>
        <w:spacing w:before="80" w:after="80"/>
      </w:pPr>
      <w:r>
        <w:rPr>
          <w:rFonts w:ascii="Arial" w:cs="Arial" w:eastAsia="Arial" w:hAnsi="Arial"/>
          <w:color w:val="333333"/>
          <w:sz w:val="22"/>
          <w:szCs w:val="22"/>
        </w:rPr>
        <w:t xml:space="preserve">Full &amp; final settlement is processed within 45 working days of the last working day.</w:t>
      </w:r>
    </w:p>
    <w:p>
      <w:pPr>
        <w:pStyle w:val="Heading1"/>
        <w:pBdr>
          <w:bottom w:val="single" w:color="2E86AB" w:sz="4" w:space="4"/>
        </w:pBdr>
        <w:spacing w:before="360" w:after="120"/>
      </w:pPr>
      <w:r>
        <w:rPr>
          <w:rFonts w:ascii="Arial" w:cs="Arial" w:eastAsia="Arial" w:hAnsi="Arial"/>
          <w:b/>
          <w:bCs/>
          <w:color w:val="1E3A5F"/>
          <w:sz w:val="32"/>
          <w:szCs w:val="32"/>
        </w:rPr>
        <w:t xml:space="preserve">9. Grievance Redressal</w:t>
      </w:r>
    </w:p>
    <w:p>
      <w:pPr>
        <w:spacing w:before="80" w:after="80"/>
      </w:pPr>
      <w:r>
        <w:rPr>
          <w:rFonts w:ascii="Arial" w:cs="Arial" w:eastAsia="Arial" w:hAnsi="Arial"/>
          <w:color w:val="333333"/>
          <w:sz w:val="22"/>
          <w:szCs w:val="22"/>
        </w:rPr>
        <w:t xml:space="preserve">NEXT-GEN HRMS believes in a fair and transparent work environment. Employees with grievances are encouraged to first approach their immediate manager. If unresolved within 5 working days, the matter should be escalated to HR via the HRMS Grievance Portal. All grievances are handled with strict confidentiality.</w:t>
      </w:r>
    </w:p>
    <w:p>
      <w:r>
        <w:rPr>
          <w:sz w:val="24"/>
          <w:szCs w:val="24"/>
        </w:rPr>
        <w:t xml:space="preserve"/>
      </w:r>
    </w:p>
    <w:p>
      <w:pPr>
        <w:spacing w:before="80" w:after="80"/>
      </w:pPr>
      <w:r>
        <w:rPr>
          <w:rFonts w:ascii="Arial" w:cs="Arial" w:eastAsia="Arial" w:hAnsi="Arial"/>
          <w:i/>
          <w:iCs/>
          <w:color w:val="333333"/>
          <w:sz w:val="22"/>
          <w:szCs w:val="22"/>
        </w:rPr>
        <w:t xml:space="preserve">This handbook was last updated on January 1, 2025. Employees acknowledge receipt of this handbook upon joining. NEXT-GEN HRMS reserves the right to modify any policy in this handbook at its discretion with due notice.</w:t>
      </w:r>
    </w:p>
    <w:p>
      <w:pPr>
        <w:spacing w:before="80" w:after="80"/>
      </w:pPr>
      <w:r>
        <w:rPr>
          <w:rFonts w:ascii="Arial" w:cs="Arial" w:eastAsia="Arial" w:hAnsi="Arial"/>
          <w:b/>
          <w:bCs/>
          <w:color w:val="333333"/>
          <w:sz w:val="22"/>
          <w:szCs w:val="22"/>
        </w:rPr>
        <w:t xml:space="preserve">Approved by: CHRO, NEXT-GEN HRMS Pvt. Ltd.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360"/>
      </w:tabs>
    </w:pPr>
    <w:r>
      <w:rPr>
        <w:rFonts w:ascii="Arial" w:cs="Arial" w:eastAsia="Arial" w:hAnsi="Arial"/>
        <w:color w:val="999999"/>
        <w:sz w:val="18"/>
        <w:szCs w:val="18"/>
      </w:rPr>
      <w:t xml:space="preserve">CONFIDENTIAL — NEXT-GEN HRMS Internal Document</w:t>
    </w:r>
    <w:r>
      <w:rPr>
        <w:rFonts w:ascii="Arial" w:cs="Arial" w:eastAsia="Arial" w:hAnsi="Arial"/>
        <w:color w:val="999999"/>
        <w:sz w:val="18"/>
        <w:szCs w:val="18"/>
      </w:rPr>
      <w:t xml:space="preserve">	HR Department | hr@nextgenhrms.com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1"/>
      </w:pBdr>
      <w:tabs>
        <w:tab w:val="right" w:pos="9360"/>
      </w:tabs>
    </w:pPr>
    <w:r>
      <w:rPr>
        <w:rFonts w:ascii="Arial" w:cs="Arial" w:eastAsia="Arial" w:hAnsi="Arial"/>
        <w:b/>
        <w:bCs/>
        <w:color w:val="1E3A5F"/>
        <w:sz w:val="20"/>
        <w:szCs w:val="20"/>
      </w:rPr>
      <w:t xml:space="preserve">NEXT-GEN HRMS  |  </w:t>
    </w:r>
    <w:r>
      <w:rPr>
        <w:rFonts w:ascii="Arial" w:cs="Arial" w:eastAsia="Arial" w:hAnsi="Arial"/>
        <w:color w:val="666666"/>
        <w:sz w:val="20"/>
        <w:szCs w:val="20"/>
      </w:rPr>
      <w:t xml:space="preserve">HR Handbook</w:t>
    </w:r>
    <w:r>
      <w:rPr>
        <w:rFonts w:ascii="Arial" w:cs="Arial" w:eastAsia="Arial" w:hAnsi="Arial"/>
        <w:color w:val="999999"/>
        <w:sz w:val="20"/>
        <w:szCs w:val="20"/>
      </w:rPr>
      <w:t xml:space="preserve">  Pg. </w:t>
    </w:r>
    <w:fldSimple w:instr="[object Objec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2026-02-22T08:07:58.034Z</dcterms:created>
  <dcterms:modified xsi:type="dcterms:W3CDTF">2026-02-22T08:07:58.034Z</dcterms:modified>
</cp:coreProperties>
</file>

<file path=docProps/custom.xml><?xml version="1.0" encoding="utf-8"?>
<Properties xmlns="http://schemas.openxmlformats.org/officeDocument/2006/custom-properties" xmlns:vt="http://schemas.openxmlformats.org/officeDocument/2006/docPropsVTypes"/>
</file>