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jc w:val="center"/>
      </w:pPr>
      <w:r>
        <w:rPr>
          <w:rFonts w:ascii="Arial" w:cs="Arial" w:eastAsia="Arial" w:hAnsi="Arial"/>
          <w:b/>
          <w:bCs/>
          <w:color w:val="1E3A5F"/>
          <w:sz w:val="52"/>
          <w:szCs w:val="52"/>
        </w:rPr>
        <w:t xml:space="preserve">NEXT-GEN HRMS</w:t>
      </w:r>
    </w:p>
    <w:p>
      <w:pPr>
        <w:jc w:val="center"/>
      </w:pPr>
      <w:r>
        <w:rPr>
          <w:rFonts w:ascii="Arial" w:cs="Arial" w:eastAsia="Arial" w:hAnsi="Arial"/>
          <w:color w:val="2E86AB"/>
          <w:sz w:val="26"/>
          <w:szCs w:val="26"/>
        </w:rPr>
        <w:t xml:space="preserve">Human Resource Management System</w:t>
      </w:r>
    </w:p>
    <w:p>
      <w:r>
        <w:rPr>
          <w:sz w:val="48"/>
          <w:szCs w:val="48"/>
        </w:rPr>
        <w:t xml:space="preserve"/>
      </w:r>
    </w:p>
    <w:p>
      <w:r>
        <w:rPr>
          <w:sz w:val="48"/>
          <w:szCs w:val="48"/>
        </w:rPr>
        <w:t xml:space="preserve"/>
      </w:r>
    </w:p>
    <w:p>
      <w:pPr>
        <w:pBdr>
          <w:top w:val="single" w:color="1E3A5F" w:sz="8"/>
          <w:bottom w:val="single" w:color="1E3A5F" w:sz="8"/>
        </w:pBdr>
        <w:spacing w:before="240" w:after="240"/>
        <w:jc w:val="center"/>
      </w:pPr>
      <w:r>
        <w:rPr>
          <w:rFonts w:ascii="Arial" w:cs="Arial" w:eastAsia="Arial" w:hAnsi="Arial"/>
          <w:b/>
          <w:bCs/>
          <w:color w:val="1E3A5F"/>
          <w:sz w:val="44"/>
          <w:szCs w:val="44"/>
        </w:rPr>
        <w:t xml:space="preserve">RECRUITMENT &amp; SELECTION PROCESS</w:t>
      </w:r>
    </w:p>
    <w:p>
      <w:r>
        <w:rPr>
          <w:sz w:val="24"/>
          <w:szCs w:val="24"/>
        </w:rPr>
        <w:t xml:space="preserve"/>
      </w:r>
    </w:p>
    <w:p>
      <w:pPr>
        <w:jc w:val="center"/>
      </w:pPr>
      <w:r>
        <w:rPr>
          <w:rFonts w:ascii="Arial" w:cs="Arial" w:eastAsia="Arial" w:hAnsi="Arial"/>
          <w:i/>
          <w:iCs/>
          <w:color w:val="555555"/>
          <w:sz w:val="26"/>
          <w:szCs w:val="26"/>
        </w:rPr>
        <w:t xml:space="preserve">End-to-end talent acquisition framework for all roles at NEXT-GEN HRMS</w:t>
      </w:r>
    </w:p>
    <w:p>
      <w:r>
        <w:rPr>
          <w:sz w:val="24"/>
          <w:szCs w:val="24"/>
        </w:rPr>
        <w:t xml:space="preserve"/>
      </w:r>
    </w:p>
    <w:p>
      <w:r>
        <w:rPr>
          <w:sz w:val="24"/>
          <w:szCs w:val="24"/>
        </w:rPr>
        <w:t xml:space="preserve"/>
      </w:r>
    </w:p>
    <w:p>
      <w:pPr>
        <w:jc w:val="center"/>
      </w:pPr>
      <w:r>
        <w:rPr>
          <w:rFonts w:ascii="Arial" w:cs="Arial" w:eastAsia="Arial" w:hAnsi="Arial"/>
          <w:color w:val="777777"/>
          <w:sz w:val="22"/>
          <w:szCs w:val="22"/>
        </w:rPr>
        <w:t xml:space="preserve">Version: 2.3</w:t>
      </w:r>
    </w:p>
    <w:p>
      <w:pPr>
        <w:jc w:val="center"/>
      </w:pPr>
      <w:r>
        <w:rPr>
          <w:rFonts w:ascii="Arial" w:cs="Arial" w:eastAsia="Arial" w:hAnsi="Arial"/>
          <w:color w:val="777777"/>
          <w:sz w:val="22"/>
          <w:szCs w:val="22"/>
        </w:rPr>
        <w:t xml:space="preserve">Effective Date: January 1, 2025</w:t>
      </w:r>
    </w:p>
    <w:p>
      <w:pPr>
        <w:jc w:val="center"/>
      </w:pPr>
      <w:r>
        <w:rPr>
          <w:rFonts w:ascii="Arial" w:cs="Arial" w:eastAsia="Arial" w:hAnsi="Arial"/>
          <w:color w:val="777777"/>
          <w:sz w:val="22"/>
          <w:szCs w:val="22"/>
        </w:rPr>
        <w:t xml:space="preserve">Issued by: Human Resources Department</w:t>
      </w:r>
    </w:p>
    <w:p>
      <w:r>
        <w:br w:type="page"/>
      </w:r>
    </w:p>
    <w:p>
      <w:pPr>
        <w:pStyle w:val="Heading1"/>
        <w:pBdr>
          <w:bottom w:val="single" w:color="2E86AB" w:sz="4" w:space="4"/>
        </w:pBdr>
        <w:spacing w:before="360" w:after="120"/>
      </w:pPr>
      <w:r>
        <w:rPr>
          <w:rFonts w:ascii="Arial" w:cs="Arial" w:eastAsia="Arial" w:hAnsi="Arial"/>
          <w:b/>
          <w:bCs/>
          <w:color w:val="1E3A5F"/>
          <w:sz w:val="32"/>
          <w:szCs w:val="32"/>
        </w:rPr>
        <w:t xml:space="preserve">1. Purpose &amp; Scope</w:t>
      </w:r>
    </w:p>
    <w:p>
      <w:pPr>
        <w:spacing w:before="80" w:after="80"/>
      </w:pPr>
      <w:r>
        <w:rPr>
          <w:rFonts w:ascii="Arial" w:cs="Arial" w:eastAsia="Arial" w:hAnsi="Arial"/>
          <w:color w:val="333333"/>
          <w:sz w:val="22"/>
          <w:szCs w:val="22"/>
        </w:rPr>
        <w:t xml:space="preserve">This document defines the standard recruitment and selection process at NEXT-GEN HRMS Pvt. Ltd. It applies to all hiring activities across departments, including full-time, part-time, contract, intern, and leadership roles. The goal is to ensure a fair, consistent, and efficient process that attracts top talent aligned with NEXT-GEN HRMS's culture and values.</w:t>
      </w:r>
    </w:p>
    <w:p>
      <w:pPr>
        <w:pStyle w:val="Heading1"/>
        <w:pBdr>
          <w:bottom w:val="single" w:color="2E86AB" w:sz="4" w:space="4"/>
        </w:pBdr>
        <w:spacing w:before="360" w:after="120"/>
      </w:pPr>
      <w:r>
        <w:rPr>
          <w:rFonts w:ascii="Arial" w:cs="Arial" w:eastAsia="Arial" w:hAnsi="Arial"/>
          <w:b/>
          <w:bCs/>
          <w:color w:val="1E3A5F"/>
          <w:sz w:val="32"/>
          <w:szCs w:val="32"/>
        </w:rPr>
        <w:t xml:space="preserve">2. Recruitment Principles</w:t>
      </w:r>
    </w:p>
    <w:p>
      <w:pPr>
        <w:pStyle w:val="ListParagraph"/>
        <w:numPr>
          <w:ilvl w:val="0"/>
          <w:numId w:val="2"/>
        </w:numPr>
        <w:spacing w:before="40" w:after="40"/>
      </w:pPr>
      <w:r>
        <w:rPr>
          <w:rFonts w:ascii="Arial" w:cs="Arial" w:eastAsia="Arial" w:hAnsi="Arial"/>
          <w:color w:val="333333"/>
          <w:sz w:val="22"/>
          <w:szCs w:val="22"/>
        </w:rPr>
        <w:t xml:space="preserve">Merit-Based Selection: All candidates are evaluated solely on qualifications, skills, and competencies relevant to the role.</w:t>
      </w:r>
    </w:p>
    <w:p>
      <w:pPr>
        <w:pStyle w:val="ListParagraph"/>
        <w:numPr>
          <w:ilvl w:val="0"/>
          <w:numId w:val="2"/>
        </w:numPr>
        <w:spacing w:before="40" w:after="40"/>
      </w:pPr>
      <w:r>
        <w:rPr>
          <w:rFonts w:ascii="Arial" w:cs="Arial" w:eastAsia="Arial" w:hAnsi="Arial"/>
          <w:color w:val="333333"/>
          <w:sz w:val="22"/>
          <w:szCs w:val="22"/>
        </w:rPr>
        <w:t xml:space="preserve">Equal Opportunity: NEXT-GEN HRMS is an equal opportunity employer. No candidate shall be discriminated against based on gender, religion, caste, age, nationality, disability, or any other protected attribute.</w:t>
      </w:r>
    </w:p>
    <w:p>
      <w:pPr>
        <w:pStyle w:val="ListParagraph"/>
        <w:numPr>
          <w:ilvl w:val="0"/>
          <w:numId w:val="2"/>
        </w:numPr>
        <w:spacing w:before="40" w:after="40"/>
      </w:pPr>
      <w:r>
        <w:rPr>
          <w:rFonts w:ascii="Arial" w:cs="Arial" w:eastAsia="Arial" w:hAnsi="Arial"/>
          <w:color w:val="333333"/>
          <w:sz w:val="22"/>
          <w:szCs w:val="22"/>
        </w:rPr>
        <w:t xml:space="preserve">Speed with Quality: Target Time-to-Fill (TTF): 30 days for non-leadership roles; 45–60 days for leadership roles.</w:t>
      </w:r>
    </w:p>
    <w:p>
      <w:pPr>
        <w:pStyle w:val="ListParagraph"/>
        <w:numPr>
          <w:ilvl w:val="0"/>
          <w:numId w:val="2"/>
        </w:numPr>
        <w:spacing w:before="40" w:after="40"/>
      </w:pPr>
      <w:r>
        <w:rPr>
          <w:rFonts w:ascii="Arial" w:cs="Arial" w:eastAsia="Arial" w:hAnsi="Arial"/>
          <w:color w:val="333333"/>
          <w:sz w:val="22"/>
          <w:szCs w:val="22"/>
        </w:rPr>
        <w:t xml:space="preserve">Candidate Experience: Every applicant deserves timely, respectful, and transparent communication.</w:t>
      </w:r>
    </w:p>
    <w:p>
      <w:pPr>
        <w:pStyle w:val="ListParagraph"/>
        <w:numPr>
          <w:ilvl w:val="0"/>
          <w:numId w:val="2"/>
        </w:numPr>
        <w:spacing w:before="40" w:after="40"/>
      </w:pPr>
      <w:r>
        <w:rPr>
          <w:rFonts w:ascii="Arial" w:cs="Arial" w:eastAsia="Arial" w:hAnsi="Arial"/>
          <w:color w:val="333333"/>
          <w:sz w:val="22"/>
          <w:szCs w:val="22"/>
        </w:rPr>
        <w:t xml:space="preserve">Compliance: All hiring follows applicable labor laws including the Equal Remuneration Act, Maternity Benefit Act, and Persons with Disabilities Act.</w:t>
      </w:r>
    </w:p>
    <w:p>
      <w:pPr>
        <w:pStyle w:val="Heading1"/>
        <w:pBdr>
          <w:bottom w:val="single" w:color="2E86AB" w:sz="4" w:space="4"/>
        </w:pBdr>
        <w:spacing w:before="360" w:after="120"/>
      </w:pPr>
      <w:r>
        <w:rPr>
          <w:rFonts w:ascii="Arial" w:cs="Arial" w:eastAsia="Arial" w:hAnsi="Arial"/>
          <w:b/>
          <w:bCs/>
          <w:color w:val="1E3A5F"/>
          <w:sz w:val="32"/>
          <w:szCs w:val="32"/>
        </w:rPr>
        <w:t xml:space="preserve">3. Workforce Planning &amp; Manpower Requisition</w:t>
      </w:r>
    </w:p>
    <w:p>
      <w:pPr>
        <w:pStyle w:val="Heading2"/>
        <w:spacing w:before="240" w:after="80"/>
      </w:pPr>
      <w:r>
        <w:rPr>
          <w:rFonts w:ascii="Arial" w:cs="Arial" w:eastAsia="Arial" w:hAnsi="Arial"/>
          <w:b/>
          <w:bCs/>
          <w:color w:val="2E86AB"/>
          <w:sz w:val="26"/>
          <w:szCs w:val="26"/>
        </w:rPr>
        <w:t xml:space="preserve">3.1 Annual Manpower Planning</w:t>
      </w:r>
    </w:p>
    <w:p>
      <w:pPr>
        <w:spacing w:before="80" w:after="80"/>
      </w:pPr>
      <w:r>
        <w:rPr>
          <w:rFonts w:ascii="Arial" w:cs="Arial" w:eastAsia="Arial" w:hAnsi="Arial"/>
          <w:color w:val="333333"/>
          <w:sz w:val="22"/>
          <w:szCs w:val="22"/>
        </w:rPr>
        <w:t xml:space="preserve">Department Heads submit annual manpower plans to the CHRO by November 30 each year. Plans are reviewed against business growth projections, attrition forecasts, and budget allocations. Approved plans are integrated into the HR Annual Operating Plan.</w:t>
      </w:r>
    </w:p>
    <w:p>
      <w:pPr>
        <w:pStyle w:val="Heading2"/>
        <w:spacing w:before="240" w:after="80"/>
      </w:pPr>
      <w:r>
        <w:rPr>
          <w:rFonts w:ascii="Arial" w:cs="Arial" w:eastAsia="Arial" w:hAnsi="Arial"/>
          <w:b/>
          <w:bCs/>
          <w:color w:val="2E86AB"/>
          <w:sz w:val="26"/>
          <w:szCs w:val="26"/>
        </w:rPr>
        <w:t xml:space="preserve">3.2 Manpower Requisition Form (MRF)</w:t>
      </w:r>
    </w:p>
    <w:p>
      <w:pPr>
        <w:spacing w:before="80" w:after="80"/>
      </w:pPr>
      <w:r>
        <w:rPr>
          <w:rFonts w:ascii="Arial" w:cs="Arial" w:eastAsia="Arial" w:hAnsi="Arial"/>
          <w:color w:val="333333"/>
          <w:sz w:val="22"/>
          <w:szCs w:val="22"/>
        </w:rPr>
        <w:t xml:space="preserve">All new hiring must be initiated with a formally approved Manpower Requisition Form (MRF) submitted through the HRMS Recruitment Module. The MRF must include:</w:t>
      </w:r>
    </w:p>
    <w:p>
      <w:pPr>
        <w:pStyle w:val="ListParagraph"/>
        <w:numPr>
          <w:ilvl w:val="0"/>
          <w:numId w:val="2"/>
        </w:numPr>
        <w:spacing w:before="40" w:after="40"/>
      </w:pPr>
      <w:r>
        <w:rPr>
          <w:rFonts w:ascii="Arial" w:cs="Arial" w:eastAsia="Arial" w:hAnsi="Arial"/>
          <w:color w:val="333333"/>
          <w:sz w:val="22"/>
          <w:szCs w:val="22"/>
        </w:rPr>
        <w:t xml:space="preserve">Position title and department</w:t>
      </w:r>
    </w:p>
    <w:p>
      <w:pPr>
        <w:pStyle w:val="ListParagraph"/>
        <w:numPr>
          <w:ilvl w:val="0"/>
          <w:numId w:val="2"/>
        </w:numPr>
        <w:spacing w:before="40" w:after="40"/>
      </w:pPr>
      <w:r>
        <w:rPr>
          <w:rFonts w:ascii="Arial" w:cs="Arial" w:eastAsia="Arial" w:hAnsi="Arial"/>
          <w:color w:val="333333"/>
          <w:sz w:val="22"/>
          <w:szCs w:val="22"/>
        </w:rPr>
        <w:t xml:space="preserve">Number of vacancies</w:t>
      </w:r>
    </w:p>
    <w:p>
      <w:pPr>
        <w:pStyle w:val="ListParagraph"/>
        <w:numPr>
          <w:ilvl w:val="0"/>
          <w:numId w:val="2"/>
        </w:numPr>
        <w:spacing w:before="40" w:after="40"/>
      </w:pPr>
      <w:r>
        <w:rPr>
          <w:rFonts w:ascii="Arial" w:cs="Arial" w:eastAsia="Arial" w:hAnsi="Arial"/>
          <w:color w:val="333333"/>
          <w:sz w:val="22"/>
          <w:szCs w:val="22"/>
        </w:rPr>
        <w:t xml:space="preserve">Justification (new position / backfill / expansion)</w:t>
      </w:r>
    </w:p>
    <w:p>
      <w:pPr>
        <w:pStyle w:val="ListParagraph"/>
        <w:numPr>
          <w:ilvl w:val="0"/>
          <w:numId w:val="2"/>
        </w:numPr>
        <w:spacing w:before="40" w:after="40"/>
      </w:pPr>
      <w:r>
        <w:rPr>
          <w:rFonts w:ascii="Arial" w:cs="Arial" w:eastAsia="Arial" w:hAnsi="Arial"/>
          <w:color w:val="333333"/>
          <w:sz w:val="22"/>
          <w:szCs w:val="22"/>
        </w:rPr>
        <w:t xml:space="preserve">Budget grade / CTC band</w:t>
      </w:r>
    </w:p>
    <w:p>
      <w:pPr>
        <w:pStyle w:val="ListParagraph"/>
        <w:numPr>
          <w:ilvl w:val="0"/>
          <w:numId w:val="2"/>
        </w:numPr>
        <w:spacing w:before="40" w:after="40"/>
      </w:pPr>
      <w:r>
        <w:rPr>
          <w:rFonts w:ascii="Arial" w:cs="Arial" w:eastAsia="Arial" w:hAnsi="Arial"/>
          <w:color w:val="333333"/>
          <w:sz w:val="22"/>
          <w:szCs w:val="22"/>
        </w:rPr>
        <w:t xml:space="preserve">Target Date of Joining</w:t>
      </w:r>
    </w:p>
    <w:p>
      <w:pPr>
        <w:pStyle w:val="ListParagraph"/>
        <w:numPr>
          <w:ilvl w:val="0"/>
          <w:numId w:val="2"/>
        </w:numPr>
        <w:spacing w:before="40" w:after="40"/>
      </w:pPr>
      <w:r>
        <w:rPr>
          <w:rFonts w:ascii="Arial" w:cs="Arial" w:eastAsia="Arial" w:hAnsi="Arial"/>
          <w:color w:val="333333"/>
          <w:sz w:val="22"/>
          <w:szCs w:val="22"/>
        </w:rPr>
        <w:t xml:space="preserve">Job Description (JD) attached</w:t>
      </w:r>
    </w:p>
    <w:p>
      <w:pPr>
        <w:spacing w:before="80" w:after="80"/>
      </w:pPr>
      <w:r>
        <w:rPr>
          <w:rFonts w:ascii="Arial" w:cs="Arial" w:eastAsia="Arial" w:hAnsi="Arial"/>
          <w:color w:val="333333"/>
          <w:sz w:val="22"/>
          <w:szCs w:val="22"/>
        </w:rPr>
        <w:t xml:space="preserve">The MRF must be approved by: the requesting Department Head → Finance (budget clearance) → CHRO. Recruitment begins only upon full MRF approval.</w:t>
      </w:r>
    </w:p>
    <w:p>
      <w:pPr>
        <w:pStyle w:val="Heading1"/>
        <w:pBdr>
          <w:bottom w:val="single" w:color="2E86AB" w:sz="4" w:space="4"/>
        </w:pBdr>
        <w:spacing w:before="360" w:after="120"/>
      </w:pPr>
      <w:r>
        <w:rPr>
          <w:rFonts w:ascii="Arial" w:cs="Arial" w:eastAsia="Arial" w:hAnsi="Arial"/>
          <w:b/>
          <w:bCs/>
          <w:color w:val="1E3A5F"/>
          <w:sz w:val="32"/>
          <w:szCs w:val="32"/>
        </w:rPr>
        <w:t xml:space="preserve">4. Sourcing Strategy</w:t>
      </w:r>
    </w:p>
    <w:p>
      <w:pPr>
        <w:pStyle w:val="Heading2"/>
        <w:spacing w:before="240" w:after="80"/>
      </w:pPr>
      <w:r>
        <w:rPr>
          <w:rFonts w:ascii="Arial" w:cs="Arial" w:eastAsia="Arial" w:hAnsi="Arial"/>
          <w:b/>
          <w:bCs/>
          <w:color w:val="2E86AB"/>
          <w:sz w:val="26"/>
          <w:szCs w:val="26"/>
        </w:rPr>
        <w:t xml:space="preserve">4.1 Internal Job Posting (IJP)</w:t>
      </w:r>
    </w:p>
    <w:p>
      <w:pPr>
        <w:spacing w:before="80" w:after="80"/>
      </w:pPr>
      <w:r>
        <w:rPr>
          <w:rFonts w:ascii="Arial" w:cs="Arial" w:eastAsia="Arial" w:hAnsi="Arial"/>
          <w:color w:val="333333"/>
          <w:sz w:val="22"/>
          <w:szCs w:val="22"/>
        </w:rPr>
        <w:t xml:space="preserve">All open positions are first posted internally on the HRMS portal for 5 working days. Eligible internal candidates who meet the qualifications may apply through the portal. Internal applications are given first preference.</w:t>
      </w:r>
    </w:p>
    <w:p>
      <w:pPr>
        <w:pStyle w:val="Heading2"/>
        <w:spacing w:before="240" w:after="80"/>
      </w:pPr>
      <w:r>
        <w:rPr>
          <w:rFonts w:ascii="Arial" w:cs="Arial" w:eastAsia="Arial" w:hAnsi="Arial"/>
          <w:b/>
          <w:bCs/>
          <w:color w:val="2E86AB"/>
          <w:sz w:val="26"/>
          <w:szCs w:val="26"/>
        </w:rPr>
        <w:t xml:space="preserve">4.2 External Sourcing Channels</w:t>
      </w:r>
    </w:p>
    <w:p>
      <w:pPr>
        <w:spacing w:before="80" w:after="80"/>
      </w:pPr>
      <w:r>
        <w:rPr>
          <w:rFonts w:ascii="Arial" w:cs="Arial" w:eastAsia="Arial" w:hAnsi="Arial"/>
          <w:color w:val="333333"/>
          <w:sz w:val="22"/>
          <w:szCs w:val="22"/>
        </w:rPr>
        <w:t xml:space="preserve">If the position is not filled internally, the following external channels are activated:</w:t>
      </w:r>
    </w:p>
    <w:p>
      <w:pPr>
        <w:pStyle w:val="ListParagraph"/>
        <w:numPr>
          <w:ilvl w:val="0"/>
          <w:numId w:val="2"/>
        </w:numPr>
        <w:spacing w:before="40" w:after="40"/>
      </w:pPr>
      <w:r>
        <w:rPr>
          <w:rFonts w:ascii="Arial" w:cs="Arial" w:eastAsia="Arial" w:hAnsi="Arial"/>
          <w:color w:val="333333"/>
          <w:sz w:val="22"/>
          <w:szCs w:val="22"/>
        </w:rPr>
        <w:t xml:space="preserve">Job boards: LinkedIn, Naukri.com, Indeed, Glassdoor</w:t>
      </w:r>
    </w:p>
    <w:p>
      <w:pPr>
        <w:pStyle w:val="ListParagraph"/>
        <w:numPr>
          <w:ilvl w:val="0"/>
          <w:numId w:val="2"/>
        </w:numPr>
        <w:spacing w:before="40" w:after="40"/>
      </w:pPr>
      <w:r>
        <w:rPr>
          <w:rFonts w:ascii="Arial" w:cs="Arial" w:eastAsia="Arial" w:hAnsi="Arial"/>
          <w:color w:val="333333"/>
          <w:sz w:val="22"/>
          <w:szCs w:val="22"/>
        </w:rPr>
        <w:t xml:space="preserve">Company careers page: careers.nextgenhrms.com</w:t>
      </w:r>
    </w:p>
    <w:p>
      <w:pPr>
        <w:pStyle w:val="ListParagraph"/>
        <w:numPr>
          <w:ilvl w:val="0"/>
          <w:numId w:val="2"/>
        </w:numPr>
        <w:spacing w:before="40" w:after="40"/>
      </w:pPr>
      <w:r>
        <w:rPr>
          <w:rFonts w:ascii="Arial" w:cs="Arial" w:eastAsia="Arial" w:hAnsi="Arial"/>
          <w:color w:val="333333"/>
          <w:sz w:val="22"/>
          <w:szCs w:val="22"/>
        </w:rPr>
        <w:t xml:space="preserve">Employee Referral Program (ERP): Referral bonus up to ₹25,000 for successful placements</w:t>
      </w:r>
    </w:p>
    <w:p>
      <w:pPr>
        <w:pStyle w:val="ListParagraph"/>
        <w:numPr>
          <w:ilvl w:val="0"/>
          <w:numId w:val="2"/>
        </w:numPr>
        <w:spacing w:before="40" w:after="40"/>
      </w:pPr>
      <w:r>
        <w:rPr>
          <w:rFonts w:ascii="Arial" w:cs="Arial" w:eastAsia="Arial" w:hAnsi="Arial"/>
          <w:color w:val="333333"/>
          <w:sz w:val="22"/>
          <w:szCs w:val="22"/>
        </w:rPr>
        <w:t xml:space="preserve">Empaneled recruitment agencies / headhunters (for senior and specialized roles)</w:t>
      </w:r>
    </w:p>
    <w:p>
      <w:pPr>
        <w:pStyle w:val="ListParagraph"/>
        <w:numPr>
          <w:ilvl w:val="0"/>
          <w:numId w:val="2"/>
        </w:numPr>
        <w:spacing w:before="40" w:after="40"/>
      </w:pPr>
      <w:r>
        <w:rPr>
          <w:rFonts w:ascii="Arial" w:cs="Arial" w:eastAsia="Arial" w:hAnsi="Arial"/>
          <w:color w:val="333333"/>
          <w:sz w:val="22"/>
          <w:szCs w:val="22"/>
        </w:rPr>
        <w:t xml:space="preserve">Campus recruitment: Engineering and management institutes (annual drive in Q4)</w:t>
      </w:r>
    </w:p>
    <w:p>
      <w:pPr>
        <w:pStyle w:val="ListParagraph"/>
        <w:numPr>
          <w:ilvl w:val="0"/>
          <w:numId w:val="2"/>
        </w:numPr>
        <w:spacing w:before="40" w:after="40"/>
      </w:pPr>
      <w:r>
        <w:rPr>
          <w:rFonts w:ascii="Arial" w:cs="Arial" w:eastAsia="Arial" w:hAnsi="Arial"/>
          <w:color w:val="333333"/>
          <w:sz w:val="22"/>
          <w:szCs w:val="22"/>
        </w:rPr>
        <w:t xml:space="preserve">Social media hiring campaigns (LinkedIn, Twitter/X)</w:t>
      </w:r>
    </w:p>
    <w:p>
      <w:pPr>
        <w:pStyle w:val="Heading1"/>
        <w:pBdr>
          <w:bottom w:val="single" w:color="2E86AB" w:sz="4" w:space="4"/>
        </w:pBdr>
        <w:spacing w:before="360" w:after="120"/>
      </w:pPr>
      <w:r>
        <w:rPr>
          <w:rFonts w:ascii="Arial" w:cs="Arial" w:eastAsia="Arial" w:hAnsi="Arial"/>
          <w:b/>
          <w:bCs/>
          <w:color w:val="1E3A5F"/>
          <w:sz w:val="32"/>
          <w:szCs w:val="32"/>
        </w:rPr>
        <w:t xml:space="preserve">5. Recruitment Process Flowchart</w:t>
      </w:r>
    </w:p>
    <w:p>
      <w:pPr>
        <w:spacing w:before="80" w:after="80"/>
      </w:pPr>
      <w:r>
        <w:rPr>
          <w:rFonts w:ascii="Arial" w:cs="Arial" w:eastAsia="Arial" w:hAnsi="Arial"/>
          <w:color w:val="333333"/>
          <w:sz w:val="22"/>
          <w:szCs w:val="22"/>
        </w:rPr>
        <w:t xml:space="preserve">The standard recruitment flow at NEXT-GEN HRMS comprises the following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SLA</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MRF Approval</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Dept Head + Finance + CHRO</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2–3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JD Finalization &amp; Job Posting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Recruiter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 days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Resume Screening</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HR Recruiter</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3–5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Telephonic / Video Screening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Recruiter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2–3 days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5</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Technical / Functional Interview</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Hiring Manager</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3–5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Interview (Culture Fit)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BP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 days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7</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Leadership Panel Interview (if applicable)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Director / VP</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2–3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Reference Check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 days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9</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Offer Discussion &amp; Negotiation</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HR + CHRO</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1–2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Offer Letter Issuance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 day</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11</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Pre-Joining Documentation</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HR + Candidate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Before DOJ</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Background Verification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Empaneled Agency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7–10 days</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13</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Onboarding &amp; Induction</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HR + IT + Admin</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DOJ</w:t>
            </w:r>
          </w:p>
        </w:tc>
      </w:tr>
    </w:tbl>
    <w:p>
      <w:r>
        <w:rPr>
          <w:sz w:val="20"/>
          <w:szCs w:val="20"/>
        </w:rPr>
        <w:t xml:space="preserve"/>
      </w:r>
    </w:p>
    <w:p>
      <w:pPr>
        <w:pStyle w:val="Heading1"/>
        <w:pBdr>
          <w:bottom w:val="single" w:color="2E86AB" w:sz="4" w:space="4"/>
        </w:pBdr>
        <w:spacing w:before="360" w:after="120"/>
      </w:pPr>
      <w:r>
        <w:rPr>
          <w:rFonts w:ascii="Arial" w:cs="Arial" w:eastAsia="Arial" w:hAnsi="Arial"/>
          <w:b/>
          <w:bCs/>
          <w:color w:val="1E3A5F"/>
          <w:sz w:val="32"/>
          <w:szCs w:val="32"/>
        </w:rPr>
        <w:t xml:space="preserve">6. Interview Process Guidelines</w:t>
      </w:r>
    </w:p>
    <w:p>
      <w:pPr>
        <w:pStyle w:val="Heading2"/>
        <w:spacing w:before="240" w:after="80"/>
      </w:pPr>
      <w:r>
        <w:rPr>
          <w:rFonts w:ascii="Arial" w:cs="Arial" w:eastAsia="Arial" w:hAnsi="Arial"/>
          <w:b/>
          <w:bCs/>
          <w:color w:val="2E86AB"/>
          <w:sz w:val="26"/>
          <w:szCs w:val="26"/>
        </w:rPr>
        <w:t xml:space="preserve">6.1 Interview Panels</w:t>
      </w:r>
    </w:p>
    <w:p>
      <w:pPr>
        <w:spacing w:before="80" w:after="80"/>
      </w:pPr>
      <w:r>
        <w:rPr>
          <w:rFonts w:ascii="Arial" w:cs="Arial" w:eastAsia="Arial" w:hAnsi="Arial"/>
          <w:color w:val="333333"/>
          <w:sz w:val="22"/>
          <w:szCs w:val="22"/>
        </w:rPr>
        <w:t xml:space="preserve">Every interview panel must consist of at least 2 members. Panels must include at least one HR representative for cultural fit assessment. For managerial roles, a SKIP-level interview is mandatory.</w:t>
      </w:r>
    </w:p>
    <w:p>
      <w:pPr>
        <w:pStyle w:val="Heading2"/>
        <w:spacing w:before="240" w:after="80"/>
      </w:pPr>
      <w:r>
        <w:rPr>
          <w:rFonts w:ascii="Arial" w:cs="Arial" w:eastAsia="Arial" w:hAnsi="Arial"/>
          <w:b/>
          <w:bCs/>
          <w:color w:val="2E86AB"/>
          <w:sz w:val="26"/>
          <w:szCs w:val="26"/>
        </w:rPr>
        <w:t xml:space="preserve">6.2 Interview Format</w:t>
      </w:r>
    </w:p>
    <w:p>
      <w:pPr>
        <w:pStyle w:val="ListParagraph"/>
        <w:numPr>
          <w:ilvl w:val="0"/>
          <w:numId w:val="2"/>
        </w:numPr>
        <w:spacing w:before="40" w:after="40"/>
      </w:pPr>
      <w:r>
        <w:rPr>
          <w:rFonts w:ascii="Arial" w:cs="Arial" w:eastAsia="Arial" w:hAnsi="Arial"/>
          <w:color w:val="333333"/>
          <w:sz w:val="22"/>
          <w:szCs w:val="22"/>
        </w:rPr>
        <w:t xml:space="preserve">Round 1 — HR Screening Call: 20–30 minutes, assessing communication, culture fit, and basics of the role.</w:t>
      </w:r>
    </w:p>
    <w:p>
      <w:pPr>
        <w:pStyle w:val="ListParagraph"/>
        <w:numPr>
          <w:ilvl w:val="0"/>
          <w:numId w:val="2"/>
        </w:numPr>
        <w:spacing w:before="40" w:after="40"/>
      </w:pPr>
      <w:r>
        <w:rPr>
          <w:rFonts w:ascii="Arial" w:cs="Arial" w:eastAsia="Arial" w:hAnsi="Arial"/>
          <w:color w:val="333333"/>
          <w:sz w:val="22"/>
          <w:szCs w:val="22"/>
        </w:rPr>
        <w:t xml:space="preserve">Round 2 — Technical/Functional Assessment: 45–60 minutes with the technical panel; may include a take-home assignment for tech roles.</w:t>
      </w:r>
    </w:p>
    <w:p>
      <w:pPr>
        <w:pStyle w:val="ListParagraph"/>
        <w:numPr>
          <w:ilvl w:val="0"/>
          <w:numId w:val="2"/>
        </w:numPr>
        <w:spacing w:before="40" w:after="40"/>
      </w:pPr>
      <w:r>
        <w:rPr>
          <w:rFonts w:ascii="Arial" w:cs="Arial" w:eastAsia="Arial" w:hAnsi="Arial"/>
          <w:color w:val="333333"/>
          <w:sz w:val="22"/>
          <w:szCs w:val="22"/>
        </w:rPr>
        <w:t xml:space="preserve">Round 3 — Hiring Manager Interview: 30–45 minutes, assessing role fitment and team dynamics.</w:t>
      </w:r>
    </w:p>
    <w:p>
      <w:pPr>
        <w:pStyle w:val="ListParagraph"/>
        <w:numPr>
          <w:ilvl w:val="0"/>
          <w:numId w:val="2"/>
        </w:numPr>
        <w:spacing w:before="40" w:after="40"/>
      </w:pPr>
      <w:r>
        <w:rPr>
          <w:rFonts w:ascii="Arial" w:cs="Arial" w:eastAsia="Arial" w:hAnsi="Arial"/>
          <w:color w:val="333333"/>
          <w:sz w:val="22"/>
          <w:szCs w:val="22"/>
        </w:rPr>
        <w:t xml:space="preserve">Round 4 — Leadership Interview (Grade 4+): 30 minutes with VP/Director for values and vision alignment.</w:t>
      </w:r>
    </w:p>
    <w:p>
      <w:pPr>
        <w:pStyle w:val="Heading2"/>
        <w:spacing w:before="240" w:after="80"/>
      </w:pPr>
      <w:r>
        <w:rPr>
          <w:rFonts w:ascii="Arial" w:cs="Arial" w:eastAsia="Arial" w:hAnsi="Arial"/>
          <w:b/>
          <w:bCs/>
          <w:color w:val="2E86AB"/>
          <w:sz w:val="26"/>
          <w:szCs w:val="26"/>
        </w:rPr>
        <w:t xml:space="preserve">6.3 Interview Scorecard</w:t>
      </w:r>
    </w:p>
    <w:p>
      <w:pPr>
        <w:spacing w:before="80" w:after="80"/>
      </w:pPr>
      <w:r>
        <w:rPr>
          <w:rFonts w:ascii="Arial" w:cs="Arial" w:eastAsia="Arial" w:hAnsi="Arial"/>
          <w:color w:val="333333"/>
          <w:sz w:val="22"/>
          <w:szCs w:val="22"/>
        </w:rPr>
        <w:t xml:space="preserve">All interviewers must complete the structured Interview Scorecard on the HRMS Recruitment Module within 24 hours of the interview. Scores are given on the following competencies: Technical Expertise (1–10), Communication Skills (1–10), Problem Solving (1–10), Cultural Fit (1–10), and Leadership Potential (1–10 for senior roles). A composite score of 70/100 or above is required to progress the candidate.</w:t>
      </w:r>
    </w:p>
    <w:p>
      <w:pPr>
        <w:pStyle w:val="Heading2"/>
        <w:spacing w:before="240" w:after="80"/>
      </w:pPr>
      <w:r>
        <w:rPr>
          <w:rFonts w:ascii="Arial" w:cs="Arial" w:eastAsia="Arial" w:hAnsi="Arial"/>
          <w:b/>
          <w:bCs/>
          <w:color w:val="2E86AB"/>
          <w:sz w:val="26"/>
          <w:szCs w:val="26"/>
        </w:rPr>
        <w:t xml:space="preserve">6.4 Candidate Communication SLAs</w:t>
      </w:r>
    </w:p>
    <w:p>
      <w:pPr>
        <w:pStyle w:val="ListParagraph"/>
        <w:numPr>
          <w:ilvl w:val="0"/>
          <w:numId w:val="2"/>
        </w:numPr>
        <w:spacing w:before="40" w:after="40"/>
      </w:pPr>
      <w:r>
        <w:rPr>
          <w:rFonts w:ascii="Arial" w:cs="Arial" w:eastAsia="Arial" w:hAnsi="Arial"/>
          <w:color w:val="333333"/>
          <w:sz w:val="22"/>
          <w:szCs w:val="22"/>
        </w:rPr>
        <w:t xml:space="preserve">Interview scheduling: Within 2 working days of HR screening.</w:t>
      </w:r>
    </w:p>
    <w:p>
      <w:pPr>
        <w:pStyle w:val="ListParagraph"/>
        <w:numPr>
          <w:ilvl w:val="0"/>
          <w:numId w:val="2"/>
        </w:numPr>
        <w:spacing w:before="40" w:after="40"/>
      </w:pPr>
      <w:r>
        <w:rPr>
          <w:rFonts w:ascii="Arial" w:cs="Arial" w:eastAsia="Arial" w:hAnsi="Arial"/>
          <w:color w:val="333333"/>
          <w:sz w:val="22"/>
          <w:szCs w:val="22"/>
        </w:rPr>
        <w:t xml:space="preserve">Post-interview feedback: Within 3 working days of last interview round.</w:t>
      </w:r>
    </w:p>
    <w:p>
      <w:pPr>
        <w:pStyle w:val="ListParagraph"/>
        <w:numPr>
          <w:ilvl w:val="0"/>
          <w:numId w:val="2"/>
        </w:numPr>
        <w:spacing w:before="40" w:after="40"/>
      </w:pPr>
      <w:r>
        <w:rPr>
          <w:rFonts w:ascii="Arial" w:cs="Arial" w:eastAsia="Arial" w:hAnsi="Arial"/>
          <w:color w:val="333333"/>
          <w:sz w:val="22"/>
          <w:szCs w:val="22"/>
        </w:rPr>
        <w:t xml:space="preserve">Offer issuance (post-selection): Within 2 working days.</w:t>
      </w:r>
    </w:p>
    <w:p>
      <w:pPr>
        <w:pStyle w:val="ListParagraph"/>
        <w:numPr>
          <w:ilvl w:val="0"/>
          <w:numId w:val="2"/>
        </w:numPr>
        <w:spacing w:before="40" w:after="40"/>
      </w:pPr>
      <w:r>
        <w:rPr>
          <w:rFonts w:ascii="Arial" w:cs="Arial" w:eastAsia="Arial" w:hAnsi="Arial"/>
          <w:color w:val="333333"/>
          <w:sz w:val="22"/>
          <w:szCs w:val="22"/>
        </w:rPr>
        <w:t xml:space="preserve">Rejection communication: Within 5 working days.</w:t>
      </w:r>
    </w:p>
    <w:p>
      <w:pPr>
        <w:pStyle w:val="Heading1"/>
        <w:pBdr>
          <w:bottom w:val="single" w:color="2E86AB" w:sz="4" w:space="4"/>
        </w:pBdr>
        <w:spacing w:before="360" w:after="120"/>
      </w:pPr>
      <w:r>
        <w:rPr>
          <w:rFonts w:ascii="Arial" w:cs="Arial" w:eastAsia="Arial" w:hAnsi="Arial"/>
          <w:b/>
          <w:bCs/>
          <w:color w:val="1E3A5F"/>
          <w:sz w:val="32"/>
          <w:szCs w:val="32"/>
        </w:rPr>
        <w:t xml:space="preserve">7. Compensation Benchmarking &amp; Offer Process</w:t>
      </w:r>
    </w:p>
    <w:p>
      <w:pPr>
        <w:spacing w:before="80" w:after="80"/>
      </w:pPr>
      <w:r>
        <w:rPr>
          <w:rFonts w:ascii="Arial" w:cs="Arial" w:eastAsia="Arial" w:hAnsi="Arial"/>
          <w:color w:val="333333"/>
          <w:sz w:val="22"/>
          <w:szCs w:val="22"/>
        </w:rPr>
        <w:t xml:space="preserve">Compensation is benchmarked against industry salary surveys (Mercer, Korn Ferry) and internal pay bands. The HR team prepares the offer in consultation with the CHRO and Finance based on the candidate's experience, current CTC, and budget band. Offers exceeding the approved band require CHRO and CFO sign-off.</w:t>
      </w:r>
    </w:p>
    <w:p>
      <w:pPr>
        <w:spacing w:before="80" w:after="80"/>
      </w:pPr>
      <w:r>
        <w:rPr>
          <w:rFonts w:ascii="Arial" w:cs="Arial" w:eastAsia="Arial" w:hAnsi="Arial"/>
          <w:color w:val="333333"/>
          <w:sz w:val="22"/>
          <w:szCs w:val="22"/>
        </w:rPr>
        <w:t xml:space="preserve">Verbal offers may be extended only by the CHRO or authorized HR Head. Written offers are issued via the HRMS portal within 24 hours of verbal acceptance.</w:t>
      </w:r>
    </w:p>
    <w:p>
      <w:pPr>
        <w:pStyle w:val="Heading1"/>
        <w:pBdr>
          <w:bottom w:val="single" w:color="2E86AB" w:sz="4" w:space="4"/>
        </w:pBdr>
        <w:spacing w:before="360" w:after="120"/>
      </w:pPr>
      <w:r>
        <w:rPr>
          <w:rFonts w:ascii="Arial" w:cs="Arial" w:eastAsia="Arial" w:hAnsi="Arial"/>
          <w:b/>
          <w:bCs/>
          <w:color w:val="1E3A5F"/>
          <w:sz w:val="32"/>
          <w:szCs w:val="32"/>
        </w:rPr>
        <w:t xml:space="preserve">8. Employee Referral Program (ERP)</w:t>
      </w:r>
    </w:p>
    <w:p>
      <w:pPr>
        <w:spacing w:before="80" w:after="80"/>
      </w:pPr>
      <w:r>
        <w:rPr>
          <w:rFonts w:ascii="Arial" w:cs="Arial" w:eastAsia="Arial" w:hAnsi="Arial"/>
          <w:color w:val="333333"/>
          <w:sz w:val="22"/>
          <w:szCs w:val="22"/>
        </w:rPr>
        <w:t xml:space="preserve">NEXT-GEN HRMS encourages employees to refer qualified candidates. Referral bonuses are paid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Role Level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Referral Bonus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Payout Timeline</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Junior / Entry Level (Grade 1–2)</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₹5,000</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After 3 months of referral's joining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Mid-Level (Grade 3–4)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After 3 months of referral's joining</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Senior / Lead (Grade 5+)</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₹25,000</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color w:val="333333"/>
                <w:sz w:val="20"/>
                <w:szCs w:val="20"/>
              </w:rPr>
              <w:t xml:space="preserve">50% on joining; 50% after 6 months</w:t>
            </w:r>
          </w:p>
        </w:tc>
      </w:tr>
    </w:tbl>
    <w:p>
      <w:r>
        <w:rPr>
          <w:sz w:val="20"/>
          <w:szCs w:val="20"/>
        </w:rPr>
        <w:t xml:space="preserve"/>
      </w:r>
    </w:p>
    <w:p>
      <w:pPr>
        <w:spacing w:before="80" w:after="80"/>
      </w:pPr>
      <w:r>
        <w:rPr>
          <w:rFonts w:ascii="Arial" w:cs="Arial" w:eastAsia="Arial" w:hAnsi="Arial"/>
          <w:color w:val="333333"/>
          <w:sz w:val="22"/>
          <w:szCs w:val="22"/>
        </w:rPr>
        <w:t xml:space="preserve">Self-referrals, referrals of family members, or referrals that conflict with company policy are not eligible for the ERP bonus.</w:t>
      </w:r>
    </w:p>
    <w:p>
      <w:pPr>
        <w:pStyle w:val="Heading1"/>
        <w:pBdr>
          <w:bottom w:val="single" w:color="2E86AB" w:sz="4" w:space="4"/>
        </w:pBdr>
        <w:spacing w:before="360" w:after="120"/>
      </w:pPr>
      <w:r>
        <w:rPr>
          <w:rFonts w:ascii="Arial" w:cs="Arial" w:eastAsia="Arial" w:hAnsi="Arial"/>
          <w:b/>
          <w:bCs/>
          <w:color w:val="1E3A5F"/>
          <w:sz w:val="32"/>
          <w:szCs w:val="32"/>
        </w:rPr>
        <w:t xml:space="preserve">9. Campus Recruitment</w:t>
      </w:r>
    </w:p>
    <w:p>
      <w:pPr>
        <w:spacing w:before="80" w:after="80"/>
      </w:pPr>
      <w:r>
        <w:rPr>
          <w:rFonts w:ascii="Arial" w:cs="Arial" w:eastAsia="Arial" w:hAnsi="Arial"/>
          <w:color w:val="333333"/>
          <w:sz w:val="22"/>
          <w:szCs w:val="22"/>
        </w:rPr>
        <w:t xml:space="preserve">NEXT-GEN HRMS conducts annual campus recruitment at partner institutes. Eligible candidates must have a CGPA of 6.5 or above. Selection process: Pre-placement talk → Online aptitude test → Group Discussion → HR &amp; Technical Interview → Offer. Campus offers are made for roles including Software Developer Trainee, HR Executive Trainee, Business Development Trainee, and QA Analyst Trainee. Campus joining date is aligned to the academic calendar (typically June/July).</w:t>
      </w:r>
    </w:p>
    <w:p>
      <w:pPr>
        <w:pStyle w:val="Heading1"/>
        <w:pBdr>
          <w:bottom w:val="single" w:color="2E86AB" w:sz="4" w:space="4"/>
        </w:pBdr>
        <w:spacing w:before="360" w:after="120"/>
      </w:pPr>
      <w:r>
        <w:rPr>
          <w:rFonts w:ascii="Arial" w:cs="Arial" w:eastAsia="Arial" w:hAnsi="Arial"/>
          <w:b/>
          <w:bCs/>
          <w:color w:val="1E3A5F"/>
          <w:sz w:val="32"/>
          <w:szCs w:val="32"/>
        </w:rPr>
        <w:t xml:space="preserve">10. Background Verification (BGV)</w:t>
      </w:r>
    </w:p>
    <w:p>
      <w:pPr>
        <w:spacing w:before="80" w:after="80"/>
      </w:pPr>
      <w:r>
        <w:rPr>
          <w:rFonts w:ascii="Arial" w:cs="Arial" w:eastAsia="Arial" w:hAnsi="Arial"/>
          <w:color w:val="333333"/>
          <w:sz w:val="22"/>
          <w:szCs w:val="22"/>
        </w:rPr>
        <w:t xml:space="preserve">BGV is mandatory for all confirmed candidates and is conducted by an empaneled third-party agency. The following checks are performed: Identity Verification (Aadhaar/PAN), Educational Qualification Verification, Employment History (last 5 years), Criminal Record Check, and Reference Check (2 professional references). BGV must be initiated on the Date of Joining and completed within 10 working days. Any adverse finding will be reviewed by the CHRO and Legal team.</w:t>
      </w:r>
    </w:p>
    <w:p>
      <w:pPr>
        <w:pStyle w:val="Heading1"/>
        <w:pBdr>
          <w:bottom w:val="single" w:color="2E86AB" w:sz="4" w:space="4"/>
        </w:pBdr>
        <w:spacing w:before="360" w:after="120"/>
      </w:pPr>
      <w:r>
        <w:rPr>
          <w:rFonts w:ascii="Arial" w:cs="Arial" w:eastAsia="Arial" w:hAnsi="Arial"/>
          <w:b/>
          <w:bCs/>
          <w:color w:val="1E3A5F"/>
          <w:sz w:val="32"/>
          <w:szCs w:val="32"/>
        </w:rPr>
        <w:t xml:space="preserve">11. Recruitment Metrics &amp; Reporting</w:t>
      </w:r>
    </w:p>
    <w:p>
      <w:pPr>
        <w:spacing w:before="80" w:after="80"/>
      </w:pPr>
      <w:r>
        <w:rPr>
          <w:rFonts w:ascii="Arial" w:cs="Arial" w:eastAsia="Arial" w:hAnsi="Arial"/>
          <w:color w:val="333333"/>
          <w:sz w:val="22"/>
          <w:szCs w:val="22"/>
        </w:rPr>
        <w:t xml:space="preserve">The HR Recruitment team tracks and reports the following KPIs monthly to the CHRO:</w:t>
      </w:r>
    </w:p>
    <w:p>
      <w:pPr>
        <w:pStyle w:val="ListParagraph"/>
        <w:numPr>
          <w:ilvl w:val="0"/>
          <w:numId w:val="2"/>
        </w:numPr>
        <w:spacing w:before="40" w:after="40"/>
      </w:pPr>
      <w:r>
        <w:rPr>
          <w:rFonts w:ascii="Arial" w:cs="Arial" w:eastAsia="Arial" w:hAnsi="Arial"/>
          <w:color w:val="333333"/>
          <w:sz w:val="22"/>
          <w:szCs w:val="22"/>
        </w:rPr>
        <w:t xml:space="preserve">Time to Fill (TTF): Target &lt; 30 days</w:t>
      </w:r>
    </w:p>
    <w:p>
      <w:pPr>
        <w:pStyle w:val="ListParagraph"/>
        <w:numPr>
          <w:ilvl w:val="0"/>
          <w:numId w:val="2"/>
        </w:numPr>
        <w:spacing w:before="40" w:after="40"/>
      </w:pPr>
      <w:r>
        <w:rPr>
          <w:rFonts w:ascii="Arial" w:cs="Arial" w:eastAsia="Arial" w:hAnsi="Arial"/>
          <w:color w:val="333333"/>
          <w:sz w:val="22"/>
          <w:szCs w:val="22"/>
        </w:rPr>
        <w:t xml:space="preserve">Time to Offer (TTO): Target &lt; 20 days from first interview</w:t>
      </w:r>
    </w:p>
    <w:p>
      <w:pPr>
        <w:pStyle w:val="ListParagraph"/>
        <w:numPr>
          <w:ilvl w:val="0"/>
          <w:numId w:val="2"/>
        </w:numPr>
        <w:spacing w:before="40" w:after="40"/>
      </w:pPr>
      <w:r>
        <w:rPr>
          <w:rFonts w:ascii="Arial" w:cs="Arial" w:eastAsia="Arial" w:hAnsi="Arial"/>
          <w:color w:val="333333"/>
          <w:sz w:val="22"/>
          <w:szCs w:val="22"/>
        </w:rPr>
        <w:t xml:space="preserve">Offer Acceptance Rate (OAR): Target &gt; 80%</w:t>
      </w:r>
    </w:p>
    <w:p>
      <w:pPr>
        <w:pStyle w:val="ListParagraph"/>
        <w:numPr>
          <w:ilvl w:val="0"/>
          <w:numId w:val="2"/>
        </w:numPr>
        <w:spacing w:before="40" w:after="40"/>
      </w:pPr>
      <w:r>
        <w:rPr>
          <w:rFonts w:ascii="Arial" w:cs="Arial" w:eastAsia="Arial" w:hAnsi="Arial"/>
          <w:color w:val="333333"/>
          <w:sz w:val="22"/>
          <w:szCs w:val="22"/>
        </w:rPr>
        <w:t xml:space="preserve">First-Year Attrition: Target &lt; 15%</w:t>
      </w:r>
    </w:p>
    <w:p>
      <w:pPr>
        <w:pStyle w:val="ListParagraph"/>
        <w:numPr>
          <w:ilvl w:val="0"/>
          <w:numId w:val="2"/>
        </w:numPr>
        <w:spacing w:before="40" w:after="40"/>
      </w:pPr>
      <w:r>
        <w:rPr>
          <w:rFonts w:ascii="Arial" w:cs="Arial" w:eastAsia="Arial" w:hAnsi="Arial"/>
          <w:color w:val="333333"/>
          <w:sz w:val="22"/>
          <w:szCs w:val="22"/>
        </w:rPr>
        <w:t xml:space="preserve">Referral Hire Rate: Target &gt; 25%</w:t>
      </w:r>
    </w:p>
    <w:p>
      <w:pPr>
        <w:pStyle w:val="ListParagraph"/>
        <w:numPr>
          <w:ilvl w:val="0"/>
          <w:numId w:val="2"/>
        </w:numPr>
        <w:spacing w:before="40" w:after="40"/>
      </w:pPr>
      <w:r>
        <w:rPr>
          <w:rFonts w:ascii="Arial" w:cs="Arial" w:eastAsia="Arial" w:hAnsi="Arial"/>
          <w:color w:val="333333"/>
          <w:sz w:val="22"/>
          <w:szCs w:val="22"/>
        </w:rPr>
        <w:t xml:space="preserve">Cost per Hire: Monitored quarterly</w:t>
      </w:r>
    </w:p>
    <w:p>
      <w:pPr>
        <w:pStyle w:val="ListParagraph"/>
        <w:numPr>
          <w:ilvl w:val="0"/>
          <w:numId w:val="2"/>
        </w:numPr>
        <w:spacing w:before="40" w:after="40"/>
      </w:pPr>
      <w:r>
        <w:rPr>
          <w:rFonts w:ascii="Arial" w:cs="Arial" w:eastAsia="Arial" w:hAnsi="Arial"/>
          <w:color w:val="333333"/>
          <w:sz w:val="22"/>
          <w:szCs w:val="22"/>
        </w:rPr>
        <w:t xml:space="preserve">Diversity Hire Ratio: Minimum 35% female hires annually</w:t>
      </w:r>
    </w:p>
    <w:p>
      <w:pPr>
        <w:pStyle w:val="Heading1"/>
        <w:pBdr>
          <w:bottom w:val="single" w:color="2E86AB" w:sz="4" w:space="4"/>
        </w:pBdr>
        <w:spacing w:before="360" w:after="120"/>
      </w:pPr>
      <w:r>
        <w:rPr>
          <w:rFonts w:ascii="Arial" w:cs="Arial" w:eastAsia="Arial" w:hAnsi="Arial"/>
          <w:b/>
          <w:bCs/>
          <w:color w:val="1E3A5F"/>
          <w:sz w:val="32"/>
          <w:szCs w:val="32"/>
        </w:rPr>
        <w:t xml:space="preserve">12. Document Retention</w:t>
      </w:r>
    </w:p>
    <w:p>
      <w:pPr>
        <w:spacing w:before="80" w:after="80"/>
      </w:pPr>
      <w:r>
        <w:rPr>
          <w:rFonts w:ascii="Arial" w:cs="Arial" w:eastAsia="Arial" w:hAnsi="Arial"/>
          <w:color w:val="333333"/>
          <w:sz w:val="22"/>
          <w:szCs w:val="22"/>
        </w:rPr>
        <w:t xml:space="preserve">All recruitment records including MRFs, interview scorecards, BGV reports, and offer letters must be retained for a minimum of 3 years in the HRMS system. Physical documents, if any, are maintained in locked HR cabinets.</w:t>
      </w:r>
    </w:p>
    <w:p>
      <w:r>
        <w:rPr>
          <w:sz w:val="24"/>
          <w:szCs w:val="24"/>
        </w:rPr>
        <w:t xml:space="preserve"/>
      </w:r>
    </w:p>
    <w:p>
      <w:pPr>
        <w:spacing w:before="80" w:after="80"/>
      </w:pPr>
      <w:r>
        <w:rPr>
          <w:rFonts w:ascii="Arial" w:cs="Arial" w:eastAsia="Arial" w:hAnsi="Arial"/>
          <w:b/>
          <w:bCs/>
          <w:color w:val="333333"/>
          <w:sz w:val="22"/>
          <w:szCs w:val="22"/>
        </w:rPr>
        <w:t xml:space="preserve">Approved by: CHRO &amp; Head of Talent Acquisition, NEXT-GEN HRMS Pvt. Ltd.</w:t>
      </w:r>
    </w:p>
    <w:p>
      <w:pPr>
        <w:spacing w:before="80" w:after="80"/>
      </w:pPr>
      <w:r>
        <w:rPr>
          <w:rFonts w:ascii="Arial" w:cs="Arial" w:eastAsia="Arial" w:hAnsi="Arial"/>
          <w:color w:val="333333"/>
          <w:sz w:val="22"/>
          <w:szCs w:val="22"/>
        </w:rPr>
        <w:t xml:space="preserve">Effective Date: January 1, 2025 | Next Review: December 31,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Recruitment Process</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2026-02-22T08:07:58.133Z</dcterms:created>
  <dcterms:modified xsi:type="dcterms:W3CDTF">2026-02-22T08:07:58.133Z</dcterms:modified>
</cp:coreProperties>
</file>

<file path=docProps/custom.xml><?xml version="1.0" encoding="utf-8"?>
<Properties xmlns="http://schemas.openxmlformats.org/officeDocument/2006/custom-properties" xmlns:vt="http://schemas.openxmlformats.org/officeDocument/2006/docPropsVTypes"/>
</file>