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spacing w:before="0" w:after="280" w:line="252" w:lineRule="auto"/>
        <w:jc w:val="left"/>
      </w:pPr>
      <w:r>
        <w:rPr>
          <w:color w:val="000000"/>
        </w:rPr>
        <w:t>Plano de ação para detecção de COVID em radiografias de tórax</w:t>
      </w:r>
    </w:p>
    <w:p>
      <w:pPr>
        <w:pStyle w:val="Subtitle"/>
        <w:widowControl/>
        <w:spacing w:before="0" w:after="400" w:line="276" w:lineRule="auto"/>
        <w:jc w:val="left"/>
      </w:pPr>
      <w:r>
        <w:rPr>
          <w:color w:val="000000"/>
        </w:rPr>
        <w:t>Atividade 4.1  Diagnóstico técnico e reconstrução do projeto</w:t>
      </w:r>
    </w:p>
    <w:p>
      <w:pPr>
        <w:widowControl/>
        <w:spacing w:before="0" w:after="360" w:line="283" w:lineRule="auto"/>
        <w:jc w:val="left"/>
      </w:pPr>
      <w:r>
        <w:rPr>
          <w:color w:val="262626"/>
        </w:rPr>
        <w:t>A reconstrução do projeto começa pela detecção dos casos positivos e por uma avaliação que mantenha os pacientes separados entre as partições. Este relatório examina cinco falhas do cenário original, explica seus riscos clínicos e propõe um plano de execução. Também apresenta a comparação atual entre classificadores treinados com e sem imagens da cGAN. Incluir imagens sintéticas, por si só, não garante aumento de Recall.</w:t>
      </w:r>
    </w:p>
    <w:p>
      <w:pPr>
        <w:pStyle w:val="Heading1"/>
        <w:widowControl/>
        <w:spacing w:before="400" w:after="200" w:line="264" w:lineRule="auto"/>
        <w:jc w:val="left"/>
      </w:pPr>
      <w:r>
        <w:rPr>
          <w:color w:val="000000"/>
        </w:rPr>
        <w:t>Sumário</w:t>
      </w:r>
    </w:p>
    <w:p>
      <w:pPr>
        <w:keepNext/>
        <w:keepLines/>
        <w:widowControl/>
        <w:spacing w:before="0" w:after="100" w:line="264" w:lineRule="auto"/>
        <w:jc w:val="left"/>
      </w:pPr>
      <w:r>
        <w:rPr>
          <w:rFonts w:ascii="Segoe UI" w:hAnsi="Segoe UI"/>
          <w:b w:val="0"/>
          <w:i w:val="0"/>
          <w:color w:val="404040"/>
          <w:sz w:val="20"/>
        </w:rPr>
        <w:t>1 Cinco problemas e impactos clínicos</w:t>
      </w:r>
    </w:p>
    <w:p>
      <w:pPr>
        <w:keepNext/>
        <w:widowControl/>
        <w:spacing w:before="0" w:after="100" w:line="264" w:lineRule="auto"/>
        <w:jc w:val="left"/>
      </w:pPr>
      <w:r>
        <w:rPr>
          <w:rFonts w:ascii="Segoe UI" w:hAnsi="Segoe UI"/>
          <w:b w:val="0"/>
          <w:i w:val="0"/>
          <w:color w:val="404040"/>
          <w:sz w:val="20"/>
        </w:rPr>
        <w:t>2 Plano de reconstrução do projeto</w:t>
      </w:r>
    </w:p>
    <w:p>
      <w:pPr>
        <w:keepNext/>
        <w:widowControl/>
        <w:spacing w:before="0" w:after="100" w:line="264" w:lineRule="auto"/>
        <w:jc w:val="left"/>
      </w:pPr>
      <w:r>
        <w:rPr>
          <w:rFonts w:ascii="Segoe UI" w:hAnsi="Segoe UI"/>
          <w:b w:val="0"/>
          <w:i w:val="0"/>
          <w:color w:val="404040"/>
          <w:sz w:val="20"/>
        </w:rPr>
        <w:t>3 Implementação e resultados da execução atual</w:t>
      </w:r>
    </w:p>
    <w:p>
      <w:pPr>
        <w:keepNext w:val="0"/>
        <w:widowControl/>
        <w:spacing w:before="0" w:after="100" w:line="264" w:lineRule="auto"/>
        <w:jc w:val="left"/>
      </w:pPr>
      <w:r>
        <w:rPr>
          <w:rFonts w:ascii="Segoe UI" w:hAnsi="Segoe UI"/>
          <w:b w:val="0"/>
          <w:i w:val="0"/>
          <w:color w:val="404040"/>
          <w:sz w:val="20"/>
        </w:rPr>
        <w:t>4 Limitações e referências</w:t>
      </w:r>
    </w:p>
    <w:p>
      <w:pPr>
        <w:widowControl/>
        <w:spacing w:before="0" w:after="140" w:line="283" w:lineRule="auto"/>
        <w:jc w:val="left"/>
      </w:pPr>
      <w:r>
        <w:rPr>
          <w:color w:val="262626"/>
        </w:rPr>
        <w:br w:type="page"/>
      </w:r>
    </w:p>
    <w:p>
      <w:pPr>
        <w:pStyle w:val="Heading1"/>
        <w:widowControl/>
        <w:spacing w:before="400" w:after="200" w:line="264" w:lineRule="auto"/>
        <w:jc w:val="left"/>
      </w:pPr>
      <w:r>
        <w:rPr>
          <w:color w:val="000000"/>
        </w:rPr>
        <w:t>1 Cinco problemas e impactos clínicos</w:t>
      </w:r>
    </w:p>
    <w:p>
      <w:pPr>
        <w:pStyle w:val="Heading2"/>
        <w:keepLines/>
        <w:widowControl/>
        <w:spacing w:before="300" w:after="120" w:line="269" w:lineRule="auto"/>
        <w:jc w:val="left"/>
      </w:pPr>
      <w:r>
        <w:rPr>
          <w:color w:val="000000"/>
        </w:rPr>
        <w:t>1 Desbalanceamento das classes</w:t>
      </w:r>
    </w:p>
    <w:p>
      <w:pPr>
        <w:keepLines/>
        <w:widowControl/>
        <w:spacing w:before="0" w:after="140" w:line="283" w:lineRule="auto"/>
        <w:jc w:val="left"/>
      </w:pPr>
      <w:r>
        <w:rPr>
          <w:color w:val="262626"/>
        </w:rPr>
        <w:t>O cenário fornece 840 imagens Normal, 240 Pneumonia e 120 COVID-19. A classe Normal reúne 70% da coorte; COVID corresponde a 10%. Se esse desequilíbrio não for tratado no treinamento, o modelo pode favorecer a classe majoritária e detectar poucos casos da doença de maior interesse.</w:t>
      </w:r>
    </w:p>
    <w:p>
      <w:pPr>
        <w:widowControl/>
        <w:spacing w:before="0" w:after="140" w:line="283" w:lineRule="auto"/>
        <w:jc w:val="left"/>
      </w:pPr>
      <w:r>
        <w:rPr>
          <w:b/>
          <w:color w:val="262626"/>
        </w:rPr>
        <w:t xml:space="preserve">Impacto clínico </w:t>
      </w:r>
      <w:r>
        <w:rPr>
          <w:color w:val="262626"/>
        </w:rPr>
        <w:t>Um falso negativo pode atrasar a investigação, o acompanhamento e as medidas de controle de infecção. A previsão do modelo não deve determinar sozinha uma alta ou um diagnóstico.</w:t>
      </w:r>
    </w:p>
    <w:p>
      <w:pPr>
        <w:widowControl/>
        <w:spacing w:before="0" w:after="140" w:line="283" w:lineRule="auto"/>
        <w:jc w:val="left"/>
      </w:pPr>
      <w:r>
        <w:rPr>
          <w:b/>
          <w:color w:val="262626"/>
        </w:rPr>
        <w:t xml:space="preserve">Correção </w:t>
      </w:r>
      <w:r>
        <w:rPr>
          <w:color w:val="262626"/>
        </w:rPr>
        <w:t>Usar pesos de classe ou amostragem balanceada apenas no treino e comparar os resultados com augmentation convencional e sintética. Preservar a prevalência na validação e no teste. Medir Recall, precisão e especificidade por classe. No notebook, a GAN usa amostragem balanceada; os classificadores usam pesos calculados a partir dos dados reais de treino.</w:t>
      </w:r>
    </w:p>
    <w:p>
      <w:pPr>
        <w:pStyle w:val="Heading2"/>
        <w:widowControl/>
        <w:spacing w:before="300" w:after="120" w:line="269" w:lineRule="auto"/>
        <w:jc w:val="left"/>
      </w:pPr>
      <w:r>
        <w:rPr>
          <w:color w:val="000000"/>
        </w:rPr>
        <w:t>2 Divisão aleatória sem estratificação e agrupamento</w:t>
      </w:r>
    </w:p>
    <w:p>
      <w:pPr>
        <w:keepLines/>
        <w:widowControl/>
        <w:spacing w:before="0" w:after="140" w:line="283" w:lineRule="auto"/>
        <w:jc w:val="left"/>
      </w:pPr>
      <w:r>
        <w:rPr>
          <w:color w:val="262626"/>
        </w:rPr>
        <w:t>Uma divisão 80/20 sem estratificação pode deixar as classes em proporções diferentes no treino e no teste. Com 120 casos de COVID, porém, é muito improvável que nenhum deles apareça no teste. Outro risco é distribuir exames repetidos ou imagens do mesmo paciente entre partições distintas. Nesse caso, o desempenho medido pode parecer melhor do que seria em pacientes novos.</w:t>
      </w:r>
    </w:p>
    <w:p>
      <w:pPr>
        <w:widowControl/>
        <w:spacing w:before="0" w:after="140" w:line="283" w:lineRule="auto"/>
        <w:jc w:val="left"/>
      </w:pPr>
      <w:r>
        <w:rPr>
          <w:b/>
          <w:color w:val="262626"/>
        </w:rPr>
        <w:t xml:space="preserve">Impacto clínico </w:t>
      </w:r>
      <w:r>
        <w:rPr>
          <w:color w:val="262626"/>
        </w:rPr>
        <w:t>Uma sensibilidade superestimada pode levar à implantação de um modelo que perde casos em pacientes novos. A instabilidade dos resultados também dificulta avaliar a segurança do serviço.</w:t>
      </w:r>
    </w:p>
    <w:p>
      <w:pPr>
        <w:widowControl/>
        <w:spacing w:before="0" w:after="140" w:line="283" w:lineRule="auto"/>
        <w:jc w:val="left"/>
      </w:pPr>
      <w:r>
        <w:rPr>
          <w:b/>
          <w:color w:val="262626"/>
        </w:rPr>
        <w:t xml:space="preserve">Correção </w:t>
      </w:r>
      <w:r>
        <w:rPr>
          <w:color w:val="262626"/>
        </w:rPr>
        <w:t>Separar os dados por paciente ou estudo, estratificar os grupos e fixar treino, validação e teste antes de treinar a GAN. No experimento atual, preservamos a partição existente, usamos grupos de similaridade perceptual e verificamos hashes. Como a coorte não tem IDs clínicos, ainda não é possível comprovar a independência por paciente. Reservar dados de outro hospital e de outro período para validação externa.</w:t>
      </w:r>
    </w:p>
    <w:p>
      <w:pPr>
        <w:pStyle w:val="Heading2"/>
        <w:widowControl/>
        <w:spacing w:before="300" w:after="120" w:line="269" w:lineRule="auto"/>
        <w:jc w:val="left"/>
      </w:pPr>
      <w:r>
        <w:rPr>
          <w:color w:val="000000"/>
        </w:rPr>
        <w:t>3 Acurácia global como métrica principal</w:t>
      </w:r>
    </w:p>
    <w:p>
      <w:pPr>
        <w:keepLines/>
        <w:widowControl/>
        <w:spacing w:before="0" w:after="140" w:line="283" w:lineRule="auto"/>
        <w:jc w:val="left"/>
      </w:pPr>
      <w:r>
        <w:rPr>
          <w:color w:val="262626"/>
        </w:rPr>
        <w:t>Um classificador que sempre prevê Normal acertaria 70% desta coorte, mas teria Recall de COVID igual a zero. A acurácia global pode, assim, esconder todos os falsos negativos da classe de interesse. O valor de 90% corresponderia a outra distribuição de classes, não aos números apresentados.</w:t>
      </w:r>
    </w:p>
    <w:p>
      <w:pPr>
        <w:widowControl/>
        <w:spacing w:before="0" w:after="140" w:line="283" w:lineRule="auto"/>
        <w:jc w:val="left"/>
      </w:pPr>
      <w:r>
        <w:rPr>
          <w:b/>
          <w:color w:val="262626"/>
        </w:rPr>
        <w:t xml:space="preserve">Impacto clínico </w:t>
      </w:r>
      <w:r>
        <w:rPr>
          <w:color w:val="262626"/>
        </w:rPr>
        <w:t>O serviço poderia interpretar a acurácia como segurança e deixar casos positivos sem investigação adequada. Essa falha prejudica pacientes e a vigilância de infecção.</w:t>
      </w:r>
    </w:p>
    <w:p>
      <w:pPr>
        <w:widowControl/>
        <w:spacing w:before="0" w:after="140" w:line="283" w:lineRule="auto"/>
        <w:jc w:val="left"/>
      </w:pPr>
      <w:r>
        <w:rPr>
          <w:b/>
          <w:color w:val="262626"/>
        </w:rPr>
        <w:t xml:space="preserve">Correção </w:t>
      </w:r>
      <w:r>
        <w:rPr>
          <w:color w:val="262626"/>
        </w:rPr>
        <w:t>Usar o Recall de COVID como resultado principal da comparação e apresentar também falsos negativos, precisão, especificidade e F1 macro. O Recall divide o número de verdadeiros positivos pelo total de casos positivos reais. Relatar as contagens e a incerteza das estimativas. Escolher modelos e limiares na validação, sem consultar o teste.</w:t>
      </w:r>
    </w:p>
    <w:p>
      <w:pPr>
        <w:pStyle w:val="Heading2"/>
        <w:widowControl/>
        <w:spacing w:before="300" w:after="120" w:line="269" w:lineRule="auto"/>
        <w:jc w:val="left"/>
      </w:pPr>
      <w:r>
        <w:rPr>
          <w:color w:val="000000"/>
        </w:rPr>
        <w:t>4 Treinamento de uma ResNet do zero com poucos dados</w:t>
      </w:r>
    </w:p>
    <w:p>
      <w:pPr>
        <w:keepLines/>
        <w:widowControl/>
        <w:spacing w:before="0" w:after="140" w:line="283" w:lineRule="auto"/>
        <w:jc w:val="left"/>
      </w:pPr>
      <w:r>
        <w:rPr>
          <w:color w:val="262626"/>
        </w:rPr>
        <w:t>Com apenas 1.200 imagens, uma rede de alta capacidade treinada do zero pode memorizar exemplos ou sinais da fonte e falhar em dados novos. Essa é a falha descrita no cenário da atividade. O notebook anterior já inclui um classificador com transfer learning; portanto, não há evidência de que o mesmo erro persista nessa versão.</w:t>
      </w:r>
    </w:p>
    <w:p>
      <w:pPr>
        <w:widowControl/>
        <w:spacing w:before="0" w:after="140" w:line="283" w:lineRule="auto"/>
        <w:jc w:val="left"/>
      </w:pPr>
      <w:r>
        <w:rPr>
          <w:b/>
          <w:color w:val="262626"/>
        </w:rPr>
        <w:t xml:space="preserve">Impacto clínico </w:t>
      </w:r>
      <w:r>
        <w:rPr>
          <w:color w:val="262626"/>
        </w:rPr>
        <w:t>Uma rede que funciona apenas na amostra local pode falhar ao mudar de hospital, equipamento ou população. A aparente confiança da saída não garante que o padrão aprendido represente a doença.</w:t>
      </w:r>
    </w:p>
    <w:p>
      <w:pPr>
        <w:widowControl/>
        <w:spacing w:before="0" w:after="140" w:line="283" w:lineRule="auto"/>
        <w:jc w:val="left"/>
      </w:pPr>
      <w:r>
        <w:rPr>
          <w:b/>
          <w:color w:val="262626"/>
        </w:rPr>
        <w:t xml:space="preserve">Correção </w:t>
      </w:r>
      <w:r>
        <w:rPr>
          <w:color w:val="262626"/>
        </w:rPr>
        <w:t>Usar pesos pré-treinados e adaptar a camada de saída. Comparar extração de características com fine tuning controlado. O novo experimento usa EfficientNet B0 com pesos ImageNet e fine tuning completo, com a mesma configuração nos dois grupos de treinamento. Na reconstrução do projeto clínico, comparar também pesos pré-treinados em radiografias e controlar as diferenças entre fontes.</w:t>
      </w:r>
    </w:p>
    <w:p>
      <w:pPr>
        <w:pStyle w:val="Heading2"/>
        <w:widowControl/>
        <w:spacing w:before="300" w:after="120" w:line="269" w:lineRule="auto"/>
        <w:jc w:val="left"/>
      </w:pPr>
      <w:r>
        <w:rPr>
          <w:color w:val="000000"/>
        </w:rPr>
        <w:t>5 Ausência de augmentation no treinamento</w:t>
      </w:r>
    </w:p>
    <w:p>
      <w:pPr>
        <w:keepLines/>
        <w:widowControl/>
        <w:spacing w:before="0" w:after="140" w:line="283" w:lineRule="auto"/>
        <w:jc w:val="left"/>
      </w:pPr>
      <w:r>
        <w:rPr>
          <w:color w:val="262626"/>
        </w:rPr>
        <w:t>Sem transformações no treino, o classificador tem menos oportunidades de aprender a lidar com pequenas diferenças de posicionamento e exposição. Isso favorece overfitting em uma coorte pequena. Augmentation ajuda a variar os exemplos, mas não cria pacientes novos nem elimina automaticamente o viés de origem.</w:t>
      </w:r>
    </w:p>
    <w:p>
      <w:pPr>
        <w:widowControl/>
        <w:spacing w:before="0" w:after="140" w:line="283" w:lineRule="auto"/>
        <w:jc w:val="left"/>
      </w:pPr>
      <w:r>
        <w:rPr>
          <w:b/>
          <w:color w:val="262626"/>
        </w:rPr>
        <w:t xml:space="preserve">Impacto clínico </w:t>
      </w:r>
      <w:r>
        <w:rPr>
          <w:color w:val="262626"/>
        </w:rPr>
        <w:t>Mudanças de brilho ou enquadramento no serviço podem reduzir a sensibilidade. Transformações exageradas também podem apagar sinais relevantes e induzir decisões incorretas.</w:t>
      </w:r>
    </w:p>
    <w:p>
      <w:pPr>
        <w:widowControl/>
        <w:spacing w:before="0" w:after="140" w:line="283" w:lineRule="auto"/>
        <w:jc w:val="left"/>
      </w:pPr>
      <w:r>
        <w:rPr>
          <w:b/>
          <w:color w:val="262626"/>
        </w:rPr>
        <w:t xml:space="preserve">Correção </w:t>
      </w:r>
      <w:r>
        <w:rPr>
          <w:color w:val="262626"/>
        </w:rPr>
        <w:t>Aplicar pequenas rotações, deslocamentos e ajustes de brilho e contraste apenas no treino, respeitando a anatomia. Evitar mudanças na orientação clínica e transformações que produzam achados irreais. O notebook usa rotação de até 5 graus, deslocamento de até 3% e variações de brilho e contraste de 10% nos dois grupos. A GAN entra como intervenção adicional, cujo benefício precisa ser medido.</w:t>
      </w:r>
    </w:p>
    <w:p>
      <w:pPr>
        <w:pStyle w:val="Heading1"/>
        <w:widowControl/>
        <w:spacing w:before="400" w:after="200" w:line="264" w:lineRule="auto"/>
        <w:jc w:val="left"/>
      </w:pPr>
      <w:r>
        <w:rPr>
          <w:color w:val="000000"/>
        </w:rPr>
        <w:t>2 Plano de reconstrução do projeto</w:t>
      </w:r>
    </w:p>
    <w:p>
      <w:pPr>
        <w:pStyle w:val="Heading2"/>
        <w:keepLines/>
        <w:widowControl/>
        <w:spacing w:before="300" w:after="120" w:line="269" w:lineRule="auto"/>
        <w:jc w:val="left"/>
      </w:pPr>
      <w:r>
        <w:rPr>
          <w:color w:val="000000"/>
        </w:rPr>
        <w:t>1 Definir finalidade e reconstruir a coorte</w:t>
      </w:r>
    </w:p>
    <w:p>
      <w:pPr>
        <w:keepLines/>
        <w:widowControl/>
        <w:spacing w:before="0" w:after="140" w:line="283" w:lineRule="auto"/>
        <w:jc w:val="left"/>
      </w:pPr>
      <w:r>
        <w:rPr>
          <w:color w:val="262626"/>
        </w:rPr>
        <w:t>Definir com a equipe clínica quem será avaliado, qual decisão o modelo apoiará e como os diagnósticos dos rótulos foram confirmados. A radiografia de tórax e a saída da rede precisam ser interpretadas no contexto clínico; isoladamente, não bastam para estabelecer COVID. Documentar os critérios de inclusão, a confirmação dos rótulos, a origem das imagens, os direitos de uso, a desidentificação e os equipamentos. Antes de ampliar ou distribuir a coorte, conferir a correspondência entre as imagens agregadas e suas fontes originais.</w:t>
      </w:r>
    </w:p>
    <w:p>
      <w:pPr>
        <w:pStyle w:val="Heading2"/>
        <w:widowControl/>
        <w:spacing w:before="300" w:after="120" w:line="269" w:lineRule="auto"/>
        <w:jc w:val="left"/>
      </w:pPr>
      <w:r>
        <w:rPr>
          <w:color w:val="000000"/>
        </w:rPr>
        <w:t>2 Auditar qualidade e congelar as partições</w:t>
      </w:r>
    </w:p>
    <w:p>
      <w:pPr>
        <w:keepLines/>
        <w:widowControl/>
        <w:spacing w:before="0" w:after="140" w:line="283" w:lineRule="auto"/>
        <w:jc w:val="left"/>
      </w:pPr>
      <w:r>
        <w:rPr>
          <w:color w:val="262626"/>
        </w:rPr>
        <w:t>Identificar pacientes e estudos, reunir exames relacionados e revisar duplicatas exatas e perceptuais. Inspecionar inscrições e possíveis identificadores visíveis. Separar treino, validação e teste de forma estratificada por paciente, com uma avaliação externa por hospital e período. Guardar os manifestos, hashes e motivos de exclusão. Os grupos de similaridade usados nesta execução reduzem parte do risco de repetição, mas não substituem os IDs clínicos.</w:t>
      </w:r>
    </w:p>
    <w:p>
      <w:pPr>
        <w:pStyle w:val="Heading2"/>
        <w:widowControl/>
        <w:spacing w:before="300" w:after="120" w:line="269" w:lineRule="auto"/>
        <w:jc w:val="left"/>
      </w:pPr>
      <w:r>
        <w:rPr>
          <w:color w:val="000000"/>
        </w:rPr>
        <w:t>3 Estabelecer referências e pré-processamento</w:t>
      </w:r>
    </w:p>
    <w:p>
      <w:pPr>
        <w:keepLines/>
        <w:widowControl/>
        <w:spacing w:before="0" w:after="140" w:line="283" w:lineRule="auto"/>
        <w:jc w:val="left"/>
      </w:pPr>
      <w:r>
        <w:rPr>
          <w:color w:val="262626"/>
        </w:rPr>
        <w:t>Comparar um modelo de referência simples, transfer learning e fine tuning, com augmentation clinicamente plausível. Calcular a normalização e os pesos apenas no treino, que também deve orientar as escolhas de pré-processamento. Ajustar os hiperparâmetros na validação. Examinar o desempenho por classe, equipamento, hospital e subgrupos disponíveis. Investigar se o modelo usa bordas, texto ou sinais da origem como atalhos; mapas de atenção não provam causalidade.</w:t>
      </w:r>
    </w:p>
    <w:p>
      <w:pPr>
        <w:pStyle w:val="Heading2"/>
        <w:widowControl/>
        <w:spacing w:before="300" w:after="120" w:line="269" w:lineRule="auto"/>
        <w:jc w:val="left"/>
      </w:pPr>
      <w:r>
        <w:rPr>
          <w:color w:val="000000"/>
        </w:rPr>
        <w:t>4 Treinar e revisar a rede geradora</w:t>
      </w:r>
    </w:p>
    <w:p>
      <w:pPr>
        <w:keepLines/>
        <w:widowControl/>
        <w:spacing w:before="0" w:after="140" w:line="283" w:lineRule="auto"/>
        <w:jc w:val="left"/>
      </w:pPr>
      <w:r>
        <w:rPr>
          <w:color w:val="262626"/>
        </w:rPr>
        <w:t>Treinar a cGAN apenas com dados reais de treino. Registrar a inicialização, as perdas, as condições de classe e as grades geradas com ruído fixo. A implementação reaproveita embedding de classe, mapa condicional no discriminador, BCEWithLogitsLoss e Adam, com normalização espectral e suavização do alvo real. Ao examinar oscilações ou colapso de modos, verificar também a diversidade e a anatomia das imagens. Perdas estáveis não bastam. Para medir o efeito de uma medida de estabilização, comparar execuções com e sem ela, usando o mesmo orçamento e múltiplas sementes. Essa ablação não foi executada nesta entrega.</w:t>
      </w:r>
    </w:p>
    <w:p>
      <w:pPr>
        <w:pStyle w:val="Heading2"/>
        <w:widowControl/>
        <w:spacing w:before="300" w:after="120" w:line="269" w:lineRule="auto"/>
        <w:jc w:val="left"/>
      </w:pPr>
      <w:r>
        <w:rPr>
          <w:color w:val="000000"/>
        </w:rPr>
        <w:t>5 Avaliar utilidade dos sintéticos</w:t>
      </w:r>
    </w:p>
    <w:p>
      <w:pPr>
        <w:keepLines/>
        <w:widowControl/>
        <w:spacing w:before="0" w:after="140" w:line="283" w:lineRule="auto"/>
        <w:jc w:val="left"/>
      </w:pPr>
      <w:r>
        <w:rPr>
          <w:color w:val="262626"/>
        </w:rPr>
        <w:t>Registrar a origem sintética, o hash e a condição COVID de cada candidato. Revisar a anatomia e os possíveis achados com especialistas, investigar memorização e excluir duplicatas. Definir previamente a quantidade de sintéticos ou escolhê-la apenas na validação. Nenhuma imagem sintética deve entrar na validação ou no teste. Repetir a comparação pareada com os mesmos estados iniciais, pesos de classe, augmentation, número de atualizações e critérios de seleção. Os sintéticos atuais ainda não passaram por revisão clínica. A comparação mede seu efeito no treinamento, sem confirmar que representam a patologia.</w:t>
      </w:r>
    </w:p>
    <w:p>
      <w:pPr>
        <w:pStyle w:val="Heading2"/>
        <w:widowControl/>
        <w:spacing w:before="300" w:after="120" w:line="269" w:lineRule="auto"/>
        <w:jc w:val="left"/>
      </w:pPr>
      <w:r>
        <w:rPr>
          <w:color w:val="000000"/>
        </w:rPr>
        <w:t>6 Avaliar o teste e preparar implantação</w:t>
      </w:r>
    </w:p>
    <w:p>
      <w:pPr>
        <w:keepLines/>
        <w:widowControl/>
        <w:spacing w:before="0" w:after="140" w:line="283" w:lineRule="auto"/>
        <w:jc w:val="left"/>
      </w:pPr>
      <w:r>
        <w:rPr>
          <w:color w:val="262626"/>
        </w:rPr>
        <w:t>Fixar os modelos e medir Recall, falsos negativos, precisão, especificidade, F1 macro e calibração no mesmo teste real. Quando houver IDs, calcular intervalos por paciente e analisar diferenças pareadas. Confirmar os resultados em uma avaliação externa e realizar uma avaliação prospectiva com supervisão clínica. A equipe especializada deve definir os critérios de aceite; não há motivo para adotar um Recall universal. Monitorar a queda de desempenho por origem, população e tempo. Registrar versões e prever como suspender o sistema e retornar à versão anterior. Este experimento não autoriza automatizar altas ou decisões clínicas.</w:t>
      </w:r>
    </w:p>
    <w:p>
      <w:pPr>
        <w:pStyle w:val="Heading1"/>
        <w:widowControl/>
        <w:spacing w:before="400" w:after="200" w:line="264" w:lineRule="auto"/>
        <w:jc w:val="left"/>
      </w:pPr>
      <w:r>
        <w:rPr>
          <w:color w:val="000000"/>
        </w:rPr>
        <w:t>3 Implementação e resultados da execução atual</w:t>
      </w:r>
    </w:p>
    <w:p>
      <w:pPr>
        <w:keepLines/>
        <w:widowControl/>
        <w:spacing w:before="0" w:after="140" w:line="283" w:lineRule="auto"/>
        <w:jc w:val="left"/>
      </w:pPr>
      <w:r>
        <w:rPr>
          <w:color w:val="262626"/>
        </w:rPr>
        <w:t>O notebook atividade_4_1_cgan_covid.ipynb reúne o código completo, com uma explicação antes de cada célula e dois blocos de comparação. O bloco A usa somente imagens originais. O bloco B acrescenta 86 imagens novas, geradas com a condição COVID e usadas apenas no treino. Reaproveitamos a arquitetura condicional do projeto anterior, sem importar suas métricas nem seus checkpoints treinados.</w:t>
      </w:r>
    </w:p>
    <w:p>
      <w:pPr>
        <w:widowControl/>
        <w:spacing w:before="0" w:after="140" w:line="283" w:lineRule="auto"/>
        <w:jc w:val="left"/>
      </w:pPr>
      <w:r>
        <w:rPr>
          <w:color w:val="262626"/>
        </w:rPr>
        <w:t>A execução começou em 2026-10-05T23:44:46.676126-03:00 e usou uma NVIDIA GeForce RTX 3050 6GB Laptop GPU, com PyTorch 2.9.0+cu130. A cGAN foi treinada por 60 épocas. Cada classificador foi treinado por 12 épocas, em três sementes. A divisão preservada contém 857 imagens de treino, 171 de validação e 172 de teste. As imagens COVID somam 86, 17 e 17 nesses conjuntos, respectivamente.</w:t>
      </w:r>
    </w:p>
    <w:p>
      <w:pPr>
        <w:widowControl/>
        <w:spacing w:before="0" w:after="140" w:line="283" w:lineRule="auto"/>
        <w:jc w:val="left"/>
      </w:pPr>
      <w:r>
        <w:rPr>
          <w:color w:val="262626"/>
        </w:rPr>
        <w:t>O EfficientNet B0 parte de pesos ImageNet, recebe uma nova camada de saída com três classes e passa por fine tuning completo. Em cada par, os classificadores começam no mesmo estado e recebem 27 atualizações por época, com lote 32, AdamW, taxa de aprendizado de 0,0001 e pesos de classe calculados nos dados reais. Apenas a inclusão de sintéticos no treino muda entre os grupos. A melhor época é escolhida pelo F1 macro da validação; em caso de empate, fica a primeira. O uso de argmax e a proporção de sintéticos foram definidos antes da avaliação no teste.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1247"/>
        <w:gridCol w:w="2551"/>
        <w:gridCol w:w="1701"/>
        <w:gridCol w:w="2211"/>
        <w:gridCol w:w="1474"/>
      </w:tblGrid>
      <w:tr>
        <w:trPr>
          <w:tblHeader/>
          <w:cantSplit/>
          <w:cantSplit/>
          <w:tblHeader/>
        </w:trPr>
        <w:tc>
          <w:tcPr>
            <w:tcW w:type="dxa" w:w="1247"/>
            <w:vAlign w:val="center"/>
            <w:shd w:fill="E8ECEF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Segoe UI" w:hAnsi="Segoe UI"/>
                <w:b/>
                <w:i w:val="0"/>
                <w:color w:val="000000"/>
                <w:sz w:val="18"/>
              </w:rPr>
              <w:t>Semente</w:t>
            </w:r>
          </w:p>
        </w:tc>
        <w:tc>
          <w:tcPr>
            <w:tcW w:type="dxa" w:w="2551"/>
            <w:vAlign w:val="center"/>
            <w:shd w:fill="E8ECEF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Segoe UI" w:hAnsi="Segoe UI"/>
                <w:b/>
                <w:i w:val="0"/>
                <w:color w:val="000000"/>
                <w:sz w:val="18"/>
              </w:rPr>
              <w:t>Treinamento</w:t>
            </w:r>
          </w:p>
        </w:tc>
        <w:tc>
          <w:tcPr>
            <w:tcW w:type="dxa" w:w="1701"/>
            <w:vAlign w:val="center"/>
            <w:shd w:fill="E8ECEF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Segoe UI" w:hAnsi="Segoe UI"/>
                <w:b/>
                <w:i w:val="0"/>
                <w:color w:val="000000"/>
                <w:sz w:val="18"/>
              </w:rPr>
              <w:t>Recall COVID</w:t>
            </w:r>
          </w:p>
        </w:tc>
        <w:tc>
          <w:tcPr>
            <w:tcW w:type="dxa" w:w="2211"/>
            <w:vAlign w:val="center"/>
            <w:shd w:fill="E8ECEF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Segoe UI" w:hAnsi="Segoe UI"/>
                <w:b/>
                <w:i w:val="0"/>
                <w:color w:val="000000"/>
                <w:sz w:val="18"/>
              </w:rPr>
              <w:t>Falsos negativos</w:t>
            </w:r>
          </w:p>
        </w:tc>
        <w:tc>
          <w:tcPr>
            <w:tcW w:type="dxa" w:w="1474"/>
            <w:vAlign w:val="center"/>
            <w:shd w:fill="E8ECEF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Segoe UI" w:hAnsi="Segoe UI"/>
                <w:b/>
                <w:i w:val="0"/>
                <w:color w:val="000000"/>
                <w:sz w:val="18"/>
              </w:rPr>
              <w:t>F1 macro</w:t>
            </w:r>
          </w:p>
        </w:tc>
      </w:tr>
      <w:tr>
        <w:trPr>
          <w:cantSplit/>
          <w:cantSplit/>
        </w:trPr>
        <w:tc>
          <w:tcPr>
            <w:tcW w:type="dxa" w:w="1247"/>
            <w:vAlign w:val="center"/>
            <w:shd w:fill="F6F7F8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Segoe UI" w:hAnsi="Segoe UI"/>
                <w:b w:val="0"/>
                <w:i w:val="0"/>
                <w:color w:val="262626"/>
                <w:sz w:val="18"/>
              </w:rPr>
              <w:t>2026</w:t>
            </w:r>
          </w:p>
        </w:tc>
        <w:tc>
          <w:tcPr>
            <w:tcW w:type="dxa" w:w="2551"/>
            <w:vAlign w:val="center"/>
            <w:shd w:fill="F6F7F8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Segoe UI" w:hAnsi="Segoe UI"/>
                <w:b w:val="0"/>
                <w:i w:val="0"/>
                <w:color w:val="262626"/>
                <w:sz w:val="18"/>
              </w:rPr>
              <w:t>Originais</w:t>
            </w:r>
          </w:p>
        </w:tc>
        <w:tc>
          <w:tcPr>
            <w:tcW w:type="dxa" w:w="1701"/>
            <w:vAlign w:val="center"/>
            <w:shd w:fill="F6F7F8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Segoe UI" w:hAnsi="Segoe UI"/>
                <w:b w:val="0"/>
                <w:i w:val="0"/>
                <w:color w:val="262626"/>
                <w:sz w:val="18"/>
              </w:rPr>
              <w:t>82.35%</w:t>
            </w:r>
          </w:p>
        </w:tc>
        <w:tc>
          <w:tcPr>
            <w:tcW w:type="dxa" w:w="2211"/>
            <w:vAlign w:val="center"/>
            <w:shd w:fill="F6F7F8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Segoe UI" w:hAnsi="Segoe UI"/>
                <w:b w:val="0"/>
                <w:i w:val="0"/>
                <w:color w:val="262626"/>
                <w:sz w:val="18"/>
              </w:rPr>
              <w:t>3</w:t>
            </w:r>
          </w:p>
        </w:tc>
        <w:tc>
          <w:tcPr>
            <w:tcW w:type="dxa" w:w="1474"/>
            <w:vAlign w:val="center"/>
            <w:shd w:fill="F6F7F8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Segoe UI" w:hAnsi="Segoe UI"/>
                <w:b w:val="0"/>
                <w:i w:val="0"/>
                <w:color w:val="262626"/>
                <w:sz w:val="18"/>
              </w:rPr>
              <w:t>0.933</w:t>
            </w:r>
          </w:p>
        </w:tc>
      </w:tr>
      <w:tr>
        <w:trPr>
          <w:cantSplit/>
          <w:cantSplit/>
        </w:trPr>
        <w:tc>
          <w:tcPr>
            <w:tcW w:type="dxa" w:w="1247"/>
            <w:vAlign w:val="center"/>
            <w:shd w:fill="FFFFFF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Segoe UI" w:hAnsi="Segoe UI"/>
                <w:b w:val="0"/>
                <w:i w:val="0"/>
                <w:color w:val="262626"/>
                <w:sz w:val="18"/>
              </w:rPr>
              <w:t>2027</w:t>
            </w:r>
          </w:p>
        </w:tc>
        <w:tc>
          <w:tcPr>
            <w:tcW w:type="dxa" w:w="2551"/>
            <w:vAlign w:val="center"/>
            <w:shd w:fill="FFFFFF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Segoe UI" w:hAnsi="Segoe UI"/>
                <w:b w:val="0"/>
                <w:i w:val="0"/>
                <w:color w:val="262626"/>
                <w:sz w:val="18"/>
              </w:rPr>
              <w:t>Originais</w:t>
            </w:r>
          </w:p>
        </w:tc>
        <w:tc>
          <w:tcPr>
            <w:tcW w:type="dxa" w:w="1701"/>
            <w:vAlign w:val="center"/>
            <w:shd w:fill="FFFFFF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Segoe UI" w:hAnsi="Segoe UI"/>
                <w:b w:val="0"/>
                <w:i w:val="0"/>
                <w:color w:val="262626"/>
                <w:sz w:val="18"/>
              </w:rPr>
              <w:t>82.35%</w:t>
            </w:r>
          </w:p>
        </w:tc>
        <w:tc>
          <w:tcPr>
            <w:tcW w:type="dxa" w:w="2211"/>
            <w:vAlign w:val="center"/>
            <w:shd w:fill="FFFFFF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Segoe UI" w:hAnsi="Segoe UI"/>
                <w:b w:val="0"/>
                <w:i w:val="0"/>
                <w:color w:val="262626"/>
                <w:sz w:val="18"/>
              </w:rPr>
              <w:t>3</w:t>
            </w:r>
          </w:p>
        </w:tc>
        <w:tc>
          <w:tcPr>
            <w:tcW w:type="dxa" w:w="1474"/>
            <w:vAlign w:val="center"/>
            <w:shd w:fill="FFFFFF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Segoe UI" w:hAnsi="Segoe UI"/>
                <w:b w:val="0"/>
                <w:i w:val="0"/>
                <w:color w:val="262626"/>
                <w:sz w:val="18"/>
              </w:rPr>
              <w:t>0.947</w:t>
            </w:r>
          </w:p>
        </w:tc>
      </w:tr>
      <w:tr>
        <w:trPr>
          <w:cantSplit/>
          <w:cantSplit/>
        </w:trPr>
        <w:tc>
          <w:tcPr>
            <w:tcW w:type="dxa" w:w="1247"/>
            <w:vAlign w:val="center"/>
            <w:shd w:fill="F6F7F8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Segoe UI" w:hAnsi="Segoe UI"/>
                <w:b w:val="0"/>
                <w:i w:val="0"/>
                <w:color w:val="262626"/>
                <w:sz w:val="18"/>
              </w:rPr>
              <w:t>2028</w:t>
            </w:r>
          </w:p>
        </w:tc>
        <w:tc>
          <w:tcPr>
            <w:tcW w:type="dxa" w:w="2551"/>
            <w:vAlign w:val="center"/>
            <w:shd w:fill="F6F7F8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Segoe UI" w:hAnsi="Segoe UI"/>
                <w:b w:val="0"/>
                <w:i w:val="0"/>
                <w:color w:val="262626"/>
                <w:sz w:val="18"/>
              </w:rPr>
              <w:t>Originais</w:t>
            </w:r>
          </w:p>
        </w:tc>
        <w:tc>
          <w:tcPr>
            <w:tcW w:type="dxa" w:w="1701"/>
            <w:vAlign w:val="center"/>
            <w:shd w:fill="F6F7F8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Segoe UI" w:hAnsi="Segoe UI"/>
                <w:b w:val="0"/>
                <w:i w:val="0"/>
                <w:color w:val="262626"/>
                <w:sz w:val="18"/>
              </w:rPr>
              <w:t>76.47%</w:t>
            </w:r>
          </w:p>
        </w:tc>
        <w:tc>
          <w:tcPr>
            <w:tcW w:type="dxa" w:w="2211"/>
            <w:vAlign w:val="center"/>
            <w:shd w:fill="F6F7F8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Segoe UI" w:hAnsi="Segoe UI"/>
                <w:b w:val="0"/>
                <w:i w:val="0"/>
                <w:color w:val="262626"/>
                <w:sz w:val="18"/>
              </w:rPr>
              <w:t>4</w:t>
            </w:r>
          </w:p>
        </w:tc>
        <w:tc>
          <w:tcPr>
            <w:tcW w:type="dxa" w:w="1474"/>
            <w:vAlign w:val="center"/>
            <w:shd w:fill="F6F7F8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Segoe UI" w:hAnsi="Segoe UI"/>
                <w:b w:val="0"/>
                <w:i w:val="0"/>
                <w:color w:val="262626"/>
                <w:sz w:val="18"/>
              </w:rPr>
              <w:t>0.936</w:t>
            </w:r>
          </w:p>
        </w:tc>
      </w:tr>
      <w:tr>
        <w:trPr>
          <w:cantSplit/>
          <w:cantSplit/>
        </w:trPr>
        <w:tc>
          <w:tcPr>
            <w:tcW w:type="dxa" w:w="1247"/>
            <w:vAlign w:val="center"/>
            <w:shd w:fill="FFFFFF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Segoe UI" w:hAnsi="Segoe UI"/>
                <w:b w:val="0"/>
                <w:i w:val="0"/>
                <w:color w:val="262626"/>
                <w:sz w:val="18"/>
              </w:rPr>
              <w:t>2026</w:t>
            </w:r>
          </w:p>
        </w:tc>
        <w:tc>
          <w:tcPr>
            <w:tcW w:type="dxa" w:w="2551"/>
            <w:vAlign w:val="center"/>
            <w:shd w:fill="FFFFFF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Segoe UI" w:hAnsi="Segoe UI"/>
                <w:b w:val="0"/>
                <w:i w:val="0"/>
                <w:color w:val="262626"/>
                <w:sz w:val="18"/>
              </w:rPr>
              <w:t>Com sintéticos</w:t>
            </w:r>
          </w:p>
        </w:tc>
        <w:tc>
          <w:tcPr>
            <w:tcW w:type="dxa" w:w="1701"/>
            <w:vAlign w:val="center"/>
            <w:shd w:fill="FFFFFF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Segoe UI" w:hAnsi="Segoe UI"/>
                <w:b w:val="0"/>
                <w:i w:val="0"/>
                <w:color w:val="262626"/>
                <w:sz w:val="18"/>
              </w:rPr>
              <w:t>76.47%</w:t>
            </w:r>
          </w:p>
        </w:tc>
        <w:tc>
          <w:tcPr>
            <w:tcW w:type="dxa" w:w="2211"/>
            <w:vAlign w:val="center"/>
            <w:shd w:fill="FFFFFF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Segoe UI" w:hAnsi="Segoe UI"/>
                <w:b w:val="0"/>
                <w:i w:val="0"/>
                <w:color w:val="262626"/>
                <w:sz w:val="18"/>
              </w:rPr>
              <w:t>4</w:t>
            </w:r>
          </w:p>
        </w:tc>
        <w:tc>
          <w:tcPr>
            <w:tcW w:type="dxa" w:w="1474"/>
            <w:vAlign w:val="center"/>
            <w:shd w:fill="FFFFFF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Segoe UI" w:hAnsi="Segoe UI"/>
                <w:b w:val="0"/>
                <w:i w:val="0"/>
                <w:color w:val="262626"/>
                <w:sz w:val="18"/>
              </w:rPr>
              <w:t>0.933</w:t>
            </w:r>
          </w:p>
        </w:tc>
      </w:tr>
      <w:tr>
        <w:trPr>
          <w:cantSplit/>
          <w:cantSplit/>
        </w:trPr>
        <w:tc>
          <w:tcPr>
            <w:tcW w:type="dxa" w:w="1247"/>
            <w:vAlign w:val="center"/>
            <w:shd w:fill="F6F7F8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Segoe UI" w:hAnsi="Segoe UI"/>
                <w:b w:val="0"/>
                <w:i w:val="0"/>
                <w:color w:val="262626"/>
                <w:sz w:val="18"/>
              </w:rPr>
              <w:t>2027</w:t>
            </w:r>
          </w:p>
        </w:tc>
        <w:tc>
          <w:tcPr>
            <w:tcW w:type="dxa" w:w="2551"/>
            <w:vAlign w:val="center"/>
            <w:shd w:fill="F6F7F8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Segoe UI" w:hAnsi="Segoe UI"/>
                <w:b w:val="0"/>
                <w:i w:val="0"/>
                <w:color w:val="262626"/>
                <w:sz w:val="18"/>
              </w:rPr>
              <w:t>Com sintéticos</w:t>
            </w:r>
          </w:p>
        </w:tc>
        <w:tc>
          <w:tcPr>
            <w:tcW w:type="dxa" w:w="1701"/>
            <w:vAlign w:val="center"/>
            <w:shd w:fill="F6F7F8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Segoe UI" w:hAnsi="Segoe UI"/>
                <w:b w:val="0"/>
                <w:i w:val="0"/>
                <w:color w:val="262626"/>
                <w:sz w:val="18"/>
              </w:rPr>
              <w:t>82.35%</w:t>
            </w:r>
          </w:p>
        </w:tc>
        <w:tc>
          <w:tcPr>
            <w:tcW w:type="dxa" w:w="2211"/>
            <w:vAlign w:val="center"/>
            <w:shd w:fill="F6F7F8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Segoe UI" w:hAnsi="Segoe UI"/>
                <w:b w:val="0"/>
                <w:i w:val="0"/>
                <w:color w:val="262626"/>
                <w:sz w:val="18"/>
              </w:rPr>
              <w:t>3</w:t>
            </w:r>
          </w:p>
        </w:tc>
        <w:tc>
          <w:tcPr>
            <w:tcW w:type="dxa" w:w="1474"/>
            <w:vAlign w:val="center"/>
            <w:shd w:fill="F6F7F8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Segoe UI" w:hAnsi="Segoe UI"/>
                <w:b w:val="0"/>
                <w:i w:val="0"/>
                <w:color w:val="262626"/>
                <w:sz w:val="18"/>
              </w:rPr>
              <w:t>0.949</w:t>
            </w:r>
          </w:p>
        </w:tc>
      </w:tr>
      <w:tr>
        <w:trPr>
          <w:cantSplit/>
          <w:cantSplit/>
        </w:trPr>
        <w:tc>
          <w:tcPr>
            <w:tcW w:type="dxa" w:w="1247"/>
            <w:vAlign w:val="center"/>
            <w:shd w:fill="FFFFFF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Segoe UI" w:hAnsi="Segoe UI"/>
                <w:b w:val="0"/>
                <w:i w:val="0"/>
                <w:color w:val="262626"/>
                <w:sz w:val="18"/>
              </w:rPr>
              <w:t>2028</w:t>
            </w:r>
          </w:p>
        </w:tc>
        <w:tc>
          <w:tcPr>
            <w:tcW w:type="dxa" w:w="2551"/>
            <w:vAlign w:val="center"/>
            <w:shd w:fill="FFFFFF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Segoe UI" w:hAnsi="Segoe UI"/>
                <w:b w:val="0"/>
                <w:i w:val="0"/>
                <w:color w:val="262626"/>
                <w:sz w:val="18"/>
              </w:rPr>
              <w:t>Com sintéticos</w:t>
            </w:r>
          </w:p>
        </w:tc>
        <w:tc>
          <w:tcPr>
            <w:tcW w:type="dxa" w:w="1701"/>
            <w:vAlign w:val="center"/>
            <w:shd w:fill="FFFFFF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Segoe UI" w:hAnsi="Segoe UI"/>
                <w:b w:val="0"/>
                <w:i w:val="0"/>
                <w:color w:val="262626"/>
                <w:sz w:val="18"/>
              </w:rPr>
              <w:t>82.35%</w:t>
            </w:r>
          </w:p>
        </w:tc>
        <w:tc>
          <w:tcPr>
            <w:tcW w:type="dxa" w:w="2211"/>
            <w:vAlign w:val="center"/>
            <w:shd w:fill="FFFFFF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Segoe UI" w:hAnsi="Segoe UI"/>
                <w:b w:val="0"/>
                <w:i w:val="0"/>
                <w:color w:val="262626"/>
                <w:sz w:val="18"/>
              </w:rPr>
              <w:t>3</w:t>
            </w:r>
          </w:p>
        </w:tc>
        <w:tc>
          <w:tcPr>
            <w:tcW w:type="dxa" w:w="1474"/>
            <w:vAlign w:val="center"/>
            <w:shd w:fill="FFFFFF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Segoe UI" w:hAnsi="Segoe UI"/>
                <w:b w:val="0"/>
                <w:i w:val="0"/>
                <w:color w:val="262626"/>
                <w:sz w:val="18"/>
              </w:rPr>
              <w:t>0.957</w:t>
            </w:r>
          </w:p>
        </w:tc>
      </w:tr>
    </w:tbl>
    <w:p>
      <w:pPr>
        <w:widowControl/>
        <w:spacing w:before="0" w:after="60" w:line="60" w:lineRule="exact"/>
        <w:jc w:val="left"/>
      </w:pPr>
    </w:p>
    <w:p>
      <w:pPr>
        <w:widowControl/>
        <w:spacing w:before="0" w:after="140" w:line="283" w:lineRule="auto"/>
        <w:jc w:val="left"/>
      </w:pPr>
      <w:r>
        <w:rPr>
          <w:color w:val="262626"/>
        </w:rPr>
        <w:t>O Recall médio foi de 80.39% nos dois grupos, uma diferença de +0.00 pontos percentuais. Neste teste interno, acrescentar imagens sintéticas não alterou o Recall médio.</w:t>
      </w:r>
    </w:p>
    <w:p>
      <w:pPr>
        <w:widowControl/>
        <w:spacing w:before="0" w:after="140" w:line="283" w:lineRule="auto"/>
        <w:jc w:val="left"/>
      </w:pPr>
      <w:r>
        <w:rPr>
          <w:color w:val="262626"/>
        </w:rPr>
        <w:t>O intervalo de 95% da diferença média, calculado por bootstrap pareado, foi de -9.80 a +7.84 pontos percentuais. Foram feitas 10.000 reamostragens das mesmas 17 imagens COVID para os dois grupos, com a média das sementes e os modelos treinados mantidos fixos. O intervalo não mede a variação entre hospitais nem corrige a falta de IDs de pacientes. Em cada modelo, um único erro muda o Recall em aproximadamente 5,88 pontos percentuais.</w:t>
      </w:r>
    </w:p>
    <w:p>
      <w:pPr>
        <w:widowControl/>
        <w:spacing w:before="0" w:after="140" w:line="283" w:lineRule="auto"/>
        <w:jc w:val="left"/>
      </w:pPr>
      <w:r>
        <w:rPr>
          <w:color w:val="262626"/>
        </w:rPr>
        <w:t>A pasta da execução contém o ambiente, a configuração, as partições e seus hashes, além do histórico adversarial, das grades, dos PNGs sintéticos e do diagnóstico de memorização. Também guarda seis checkpoints de classificadores, previsões individuais, matrizes e métricas. O arquivo ultima_execucao.json aponta para a pasta concluída. O CSV comparacao_recall.csv traz os indicadores da tabela, a precisão, a especificidade e o intervalo de Wilson por modelo.</w:t>
      </w:r>
    </w:p>
    <w:p>
      <w:pPr>
        <w:pStyle w:val="Heading1"/>
        <w:widowControl/>
        <w:spacing w:before="400" w:after="200" w:line="264" w:lineRule="auto"/>
        <w:jc w:val="left"/>
      </w:pPr>
      <w:r>
        <w:rPr>
          <w:color w:val="000000"/>
        </w:rPr>
        <w:t>4 Limitações e referências</w:t>
      </w:r>
    </w:p>
    <w:p>
      <w:pPr>
        <w:keepLines/>
        <w:widowControl/>
        <w:spacing w:before="0" w:after="140" w:line="283" w:lineRule="auto"/>
        <w:jc w:val="left"/>
      </w:pPr>
      <w:r>
        <w:rPr>
          <w:color w:val="262626"/>
        </w:rPr>
        <w:t>Na inspeção visual, a grade desta execução apresentou formas torácicas aproximadas, texturas quadriculadas e limites anatômicos pouco definidos. Essas imagens precisam de revisão especializada e não permitem confirmar achados de COVID.</w:t>
      </w:r>
    </w:p>
    <w:p>
      <w:pPr>
        <w:widowControl/>
        <w:spacing w:before="0" w:after="140" w:line="283" w:lineRule="auto"/>
        <w:jc w:val="left"/>
      </w:pPr>
      <w:r>
        <w:rPr>
          <w:color w:val="262626"/>
        </w:rPr>
        <w:t>A coorte não tem IDs de pacientes, e os grupos perceptuais reduzem apenas parte do risco de repetição. Também há risco de associação entre a classe e a origem das imagens. Ainda faltam resolver a atribuição das fontes, a correspondência com os arquivos originais e a revisão de desidentificação. As imagens geradas passaram por verificações computacionais, mas sua anatomia e seus achados não foram revisados clinicamente. O experimento interno, por isso, não comprova eficácia diagnóstica, independência por paciente ou vantagem em outra instituição. As imagens geradas e os modelos não estão liberados para uso clínico.</w:t>
      </w:r>
    </w:p>
    <w:p>
      <w:pPr>
        <w:widowControl/>
        <w:spacing w:before="0" w:after="140" w:line="283" w:lineRule="auto"/>
        <w:jc w:val="left"/>
      </w:pPr>
      <w:r>
        <w:rPr>
          <w:color w:val="262626"/>
        </w:rPr>
        <w:t>A decisão de usar sintéticos deve seguir o resultado medido. Se o ganho for nulo, negativo ou impreciso, manter o modelo de referência e investir em dados reais e validação. Se houver ganho, repetir a comparação com pacientes independentes, revisar os sintéticos e validar os resultados externamente antes de considerar a implantação.</w:t>
      </w:r>
    </w:p>
    <w:p>
      <w:pPr>
        <w:widowControl/>
        <w:spacing w:before="0" w:after="140" w:line="283" w:lineRule="auto"/>
        <w:jc w:val="left"/>
      </w:pPr>
      <w:r>
        <w:rPr>
          <w:color w:val="262626"/>
        </w:rPr>
        <w:t>Fontes locais: idea.md; projeto_4_cgan_covid.ipynb, README.md, split_frozen.csv e politica_coorte_v2.json do projeto anterior. Os cinco erros examinados vêm do cenário da atividade e não devem ser atribuídos a todas as versões da implementação anterior.</w:t>
      </w:r>
    </w:p>
    <w:p>
      <w:pPr>
        <w:pStyle w:val="Heading2"/>
        <w:widowControl/>
        <w:spacing w:before="300" w:after="120" w:line="269" w:lineRule="auto"/>
        <w:jc w:val="left"/>
      </w:pPr>
      <w:r>
        <w:rPr>
          <w:color w:val="000000"/>
        </w:rPr>
        <w:t>Referências técnicas</w:t>
      </w:r>
    </w:p>
    <w:p>
      <w:pPr>
        <w:keepNext/>
        <w:keepLines/>
        <w:widowControl/>
        <w:spacing w:before="0" w:after="140" w:line="283" w:lineRule="auto"/>
        <w:jc w:val="left"/>
      </w:pPr>
      <w:r>
        <w:rPr>
          <w:color w:val="262626"/>
        </w:rPr>
        <w:t>PyTorch DCGAN Tutorial</w:t>
      </w:r>
    </w:p>
    <w:p>
      <w:pPr>
        <w:widowControl/>
        <w:spacing w:before="0" w:after="200" w:line="283" w:lineRule="auto"/>
        <w:jc w:val="left"/>
      </w:pPr>
      <w:hyperlink r:id="rId10">
        <w:r>
          <w:rPr>
            <w:color w:val="52616B"/>
            <w:sz w:val="19"/>
          </w:rPr>
          <w:t>Acessar publicação original</w:t>
        </w:r>
      </w:hyperlink>
    </w:p>
    <w:p>
      <w:pPr>
        <w:keepNext/>
        <w:widowControl/>
        <w:spacing w:before="0" w:after="140" w:line="283" w:lineRule="auto"/>
        <w:jc w:val="left"/>
      </w:pPr>
      <w:r>
        <w:rPr>
          <w:color w:val="262626"/>
        </w:rPr>
        <w:t>Yosinski e colaboradores 2014 How transferable are features in deep neural networks</w:t>
      </w:r>
    </w:p>
    <w:p>
      <w:pPr>
        <w:widowControl/>
        <w:spacing w:before="0" w:after="200" w:line="283" w:lineRule="auto"/>
        <w:jc w:val="left"/>
      </w:pPr>
      <w:hyperlink r:id="rId11">
        <w:r>
          <w:rPr>
            <w:color w:val="52616B"/>
            <w:sz w:val="19"/>
          </w:rPr>
          <w:t>Acessar publicação original</w:t>
        </w:r>
      </w:hyperlink>
    </w:p>
    <w:p>
      <w:pPr>
        <w:keepNext/>
        <w:widowControl/>
        <w:spacing w:before="0" w:after="140" w:line="283" w:lineRule="auto"/>
        <w:jc w:val="left"/>
      </w:pPr>
      <w:r>
        <w:rPr>
          <w:color w:val="262626"/>
        </w:rPr>
        <w:t>Organização Mundial da Saúde 2020 Use of chest imaging in COVID 19</w:t>
      </w:r>
    </w:p>
    <w:p>
      <w:pPr>
        <w:widowControl/>
        <w:spacing w:before="0" w:after="200" w:line="283" w:lineRule="auto"/>
        <w:jc w:val="left"/>
      </w:pPr>
      <w:hyperlink r:id="rId12">
        <w:r>
          <w:rPr>
            <w:color w:val="52616B"/>
            <w:sz w:val="19"/>
          </w:rPr>
          <w:t>Acessar publicação original</w:t>
        </w:r>
      </w:hyperlink>
    </w:p>
    <w:sectPr w:rsidR="00FC693F" w:rsidRPr="0006063C" w:rsidSect="00034616">
      <w:footerReference w:type="default" r:id="rId9"/>
      <w:pgSz w:w="11906" w:h="16838"/>
      <w:pgMar w:top="1191" w:right="1361" w:bottom="1134" w:left="1361" w:header="510" w:footer="53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Segoe UI" w:hAnsi="Segoe UI"/>
        <w:b w:val="0"/>
        <w:i w:val="0"/>
        <w:color w:val="686868"/>
        <w:sz w:val="16"/>
      </w:rPr>
      <w:t xml:space="preserve">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40" w:line="283" w:lineRule="auto" w:before="0"/>
      <w:jc w:val="left"/>
    </w:pPr>
    <w:rPr>
      <w:rFonts w:ascii="Segoe UI" w:hAnsi="Segoe UI"/>
      <w:b w:val="0"/>
      <w:i w:val="0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400" w:after="200" w:line="264" w:lineRule="auto"/>
      <w:jc w:val="left"/>
      <w:outlineLvl w:val="0"/>
    </w:pPr>
    <w:rPr>
      <w:rFonts w:ascii="Segoe UI" w:hAnsi="Segoe UI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300" w:after="120" w:line="269" w:lineRule="auto"/>
      <w:jc w:val="left"/>
      <w:outlineLvl w:val="1"/>
    </w:pPr>
    <w:rPr>
      <w:rFonts w:ascii="Segoe UI" w:hAnsi="Segoe UI"/>
      <w:b/>
      <w:bCs/>
      <w:i w:val="0"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widowControl/>
      <w:spacing w:after="280" w:line="252" w:lineRule="auto" w:before="0"/>
      <w:contextualSpacing/>
      <w:jc w:val="left"/>
    </w:pPr>
    <w:rPr>
      <w:rFonts w:ascii="Segoe UI" w:hAnsi="Segoe UI"/>
      <w:b/>
      <w:i w:val="0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widowControl/>
      <w:numPr>
        <w:ilvl w:val="1"/>
      </w:numPr>
      <w:spacing w:before="0" w:after="400" w:line="276" w:lineRule="auto"/>
      <w:jc w:val="left"/>
    </w:pPr>
    <w:rPr>
      <w:rFonts w:ascii="Segoe UI" w:hAnsi="Segoe UI"/>
      <w:b w:val="0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docs.pytorch.org/tutorials/beginner/dcgan_faces_tutorial" TargetMode="External"/><Relationship Id="rId11" Type="http://schemas.openxmlformats.org/officeDocument/2006/relationships/hyperlink" Target="https://proceedings.nips.cc/paper_files/paper/2014/hash/532a2f85b6977104bc93f8580abbb330-Abstract.html" TargetMode="External"/><Relationship Id="rId12" Type="http://schemas.openxmlformats.org/officeDocument/2006/relationships/hyperlink" Target="https://www.who.int/publications/i/item/use-of-chest-imaging-in-covid-1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ação para detecção de COVID em radiografias de tórax</dc:title>
  <dc:subject>Atividade 4.1  Diagnóstico técnico e reconstrução do projeto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