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del proyecto de demostración</w:t>
      </w:r>
    </w:p>
    <w:p>
      <w:r>
        <w:t>Proyecto ficticio: portal de soporte interno de Cliente Demostración. Ninguna empresa real está representada.</w:t>
      </w:r>
    </w:p>
    <w:p>
      <w:r>
        <w:t>El buzón compartido y la hoja de cálculo continuarán sólo para consulta histórica; no se migrarán registros.</w:t>
      </w:r>
    </w:p>
    <w:p>
      <w:r>
        <w:t>Usuarios: solicitante, analista y coordinador. El directorio corporativo existente autentica a los tres roles.</w:t>
      </w:r>
    </w:p>
    <w:p>
      <w:r>
        <w:t>El cliente proporcionará acceso al directorio, servicio SMTP de pruebas, catálogo de categorías y usuarios de prueba.</w:t>
      </w:r>
    </w:p>
    <w:p>
      <w:r>
        <w:t>Los adjuntos permitidos serán PDF, PNG o JPG de hasta 10 MB por archivo.</w:t>
      </w:r>
    </w:p>
    <w:p>
      <w:r>
        <w:t>Las notificaciones se enviarán por el servicio de correo del cliente; un fallo de correo no debe duplicar la solicitud.</w:t>
      </w:r>
    </w:p>
    <w:p>
      <w:r>
        <w:t>Desglose de 140 horas: análisis y diseño 24, construcción 80, pruebas QA 16, soporte a certificación del cliente 12 y despliegue/cierre 8.</w:t>
      </w:r>
    </w:p>
    <w:p>
      <w:r>
        <w:t>Entregables acordados: RFD, portal funcional, informe de pruebas, guía de despliegue y acta de aceptación pendiente de firma.</w:t>
      </w:r>
    </w:p>
    <w:p>
      <w:r>
        <w:t>Este material es demostrativo y no contiene datos operativos, secretos ni aprobaciones reales.</w:t>
      </w:r>
    </w:p>
    <w:p>
      <w:r>
        <w:t>Permisos acordados: sólo el coordinador asigna analistas; sólo el analista cambia estados; el solicitante registra y consulta únicamente sus solicitudes.</w:t>
      </w:r>
    </w:p>
    <w:p>
      <w:r>
        <w:t>El historial registrará usuario, fecha, estado anterior y estado nuevo, además de los eventos de asignación.</w:t>
      </w:r>
    </w:p>
    <w:p>
      <w:r>
        <w:t>El CSV incluirá folio, fecha de registro, categoría, prioridad, responsable y estado actual. Si no hay resultados, conservará los encabezados.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