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C7448" w:rsidTr="005C7448">
        <w:tc>
          <w:tcPr>
            <w:tcW w:w="2942" w:type="dxa"/>
          </w:tcPr>
          <w:p w:rsidR="005C7448" w:rsidRDefault="005C7448" w:rsidP="005C7448">
            <w:proofErr w:type="spellStart"/>
            <w:r>
              <w:t>kucoin</w:t>
            </w:r>
            <w:proofErr w:type="spellEnd"/>
          </w:p>
        </w:tc>
        <w:tc>
          <w:tcPr>
            <w:tcW w:w="2943" w:type="dxa"/>
          </w:tcPr>
          <w:p w:rsidR="005C7448" w:rsidRDefault="005C7448" w:rsidP="005C7448">
            <w:r>
              <w:t>@McKcPcBTC2023@</w:t>
            </w:r>
          </w:p>
        </w:tc>
        <w:tc>
          <w:tcPr>
            <w:tcW w:w="2943" w:type="dxa"/>
          </w:tcPr>
          <w:p w:rsidR="005C7448" w:rsidRDefault="005C7448" w:rsidP="005C7448"/>
        </w:tc>
      </w:tr>
      <w:tr w:rsidR="005C7448" w:rsidTr="005C7448">
        <w:tc>
          <w:tcPr>
            <w:tcW w:w="2942" w:type="dxa"/>
          </w:tcPr>
          <w:p w:rsidR="005C7448" w:rsidRDefault="005C7448" w:rsidP="005C7448"/>
        </w:tc>
        <w:tc>
          <w:tcPr>
            <w:tcW w:w="2943" w:type="dxa"/>
          </w:tcPr>
          <w:p w:rsidR="005C7448" w:rsidRDefault="005C7448" w:rsidP="005C7448"/>
        </w:tc>
        <w:tc>
          <w:tcPr>
            <w:tcW w:w="2943" w:type="dxa"/>
          </w:tcPr>
          <w:p w:rsidR="005C7448" w:rsidRDefault="005C7448" w:rsidP="005C7448"/>
        </w:tc>
      </w:tr>
      <w:tr w:rsidR="005C7448" w:rsidTr="005C7448">
        <w:tc>
          <w:tcPr>
            <w:tcW w:w="2942" w:type="dxa"/>
          </w:tcPr>
          <w:p w:rsidR="005C7448" w:rsidRDefault="005C7448" w:rsidP="005C7448"/>
        </w:tc>
        <w:tc>
          <w:tcPr>
            <w:tcW w:w="2943" w:type="dxa"/>
          </w:tcPr>
          <w:p w:rsidR="005C7448" w:rsidRDefault="005C7448" w:rsidP="005C7448"/>
        </w:tc>
        <w:tc>
          <w:tcPr>
            <w:tcW w:w="2943" w:type="dxa"/>
          </w:tcPr>
          <w:p w:rsidR="005C7448" w:rsidRDefault="005C7448" w:rsidP="005C7448"/>
        </w:tc>
      </w:tr>
    </w:tbl>
    <w:p w:rsidR="005C7448" w:rsidRPr="005C7448" w:rsidRDefault="005C7448" w:rsidP="005C7448"/>
    <w:p w:rsidR="005C7448" w:rsidRPr="005C7448" w:rsidRDefault="005C7448" w:rsidP="005C7448"/>
    <w:p w:rsidR="005C7448" w:rsidRPr="005C7448" w:rsidRDefault="005C7448" w:rsidP="005C7448"/>
    <w:p w:rsidR="00EB16FF" w:rsidRPr="00EB16FF" w:rsidRDefault="00EB16FF" w:rsidP="00EB16FF">
      <w:pPr>
        <w:shd w:val="clear" w:color="auto" w:fill="FAFAFC"/>
        <w:spacing w:before="100" w:beforeAutospacing="1" w:after="100" w:afterAutospacing="1" w:line="480" w:lineRule="atLeast"/>
        <w:outlineLvl w:val="1"/>
        <w:rPr>
          <w:rFonts w:ascii="Segoe UI" w:eastAsia="Times New Roman" w:hAnsi="Segoe UI" w:cs="Segoe UI"/>
          <w:b/>
          <w:bCs/>
          <w:spacing w:val="-9"/>
          <w:sz w:val="36"/>
          <w:szCs w:val="36"/>
          <w:lang w:val="es-EC"/>
        </w:rPr>
      </w:pPr>
      <w:r w:rsidRPr="00EB16FF">
        <w:rPr>
          <w:rFonts w:ascii="Segoe UI" w:eastAsia="Times New Roman" w:hAnsi="Segoe UI" w:cs="Segoe UI"/>
          <w:b/>
          <w:bCs/>
          <w:spacing w:val="-9"/>
          <w:sz w:val="36"/>
          <w:szCs w:val="36"/>
          <w:lang w:val="es-EC"/>
        </w:rPr>
        <w:t xml:space="preserve">¿Qué es un </w:t>
      </w:r>
      <w:proofErr w:type="spellStart"/>
      <w:r w:rsidRPr="00EB16FF">
        <w:rPr>
          <w:rFonts w:ascii="Segoe UI" w:eastAsia="Times New Roman" w:hAnsi="Segoe UI" w:cs="Segoe UI"/>
          <w:b/>
          <w:bCs/>
          <w:spacing w:val="-9"/>
          <w:sz w:val="36"/>
          <w:szCs w:val="36"/>
          <w:lang w:val="es-EC"/>
        </w:rPr>
        <w:t>token</w:t>
      </w:r>
      <w:proofErr w:type="spellEnd"/>
      <w:r w:rsidRPr="00EB16FF">
        <w:rPr>
          <w:rFonts w:ascii="Segoe UI" w:eastAsia="Times New Roman" w:hAnsi="Segoe UI" w:cs="Segoe UI"/>
          <w:b/>
          <w:bCs/>
          <w:spacing w:val="-9"/>
          <w:sz w:val="36"/>
          <w:szCs w:val="36"/>
          <w:lang w:val="es-EC"/>
        </w:rPr>
        <w:t xml:space="preserve"> ERC-20?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El término </w:t>
      </w:r>
      <w:r w:rsidRPr="00EB16FF">
        <w:rPr>
          <w:rStyle w:val="nfasis"/>
          <w:rFonts w:ascii="Segoe UI" w:hAnsi="Segoe UI" w:cs="Segoe UI"/>
          <w:color w:val="4A5760"/>
          <w:sz w:val="27"/>
          <w:szCs w:val="27"/>
          <w:lang w:val="es-EC"/>
        </w:rPr>
        <w:t>ERC-20</w:t>
      </w: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 significa "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Request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for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Comment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20", y es un estándar implementado para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tokens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fungibles creados sobre la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blockchain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de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.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Un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token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o activo fungible es una unidad de valor divisible, intercambiable y no única. Por ejemplo, 1 ETH tiene el mismo valor de otro ETH, 1 SHIB tiene el mismo valor de otro SHIB y 1 USD tiene el mismo valor de otro USD, sin importar dónde se emita.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Los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tokens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ERC-20, por lo tanto, son todos los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tokens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creados en el ecosistema de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que siguen este estándar, lo que permite que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developers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puedan crear aplicaciones con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tokens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que son interoperables con otros productos y servicios en la misma red.</w:t>
      </w:r>
    </w:p>
    <w:p w:rsidR="00EB16FF" w:rsidRPr="00EB16FF" w:rsidRDefault="00EB16FF" w:rsidP="00EB16FF">
      <w:pPr>
        <w:pStyle w:val="Ttulo2"/>
        <w:shd w:val="clear" w:color="auto" w:fill="FAFAFC"/>
        <w:spacing w:line="480" w:lineRule="atLeast"/>
        <w:rPr>
          <w:rFonts w:ascii="Segoe UI" w:hAnsi="Segoe UI" w:cs="Segoe UI"/>
          <w:spacing w:val="-9"/>
          <w:lang w:val="es-EC"/>
        </w:rPr>
      </w:pPr>
      <w:r w:rsidRPr="00EB16FF">
        <w:rPr>
          <w:rFonts w:ascii="Segoe UI" w:hAnsi="Segoe UI" w:cs="Segoe UI"/>
          <w:spacing w:val="-9"/>
          <w:lang w:val="es-EC"/>
        </w:rPr>
        <w:t xml:space="preserve">¿Qué es una dirección </w:t>
      </w:r>
      <w:proofErr w:type="spellStart"/>
      <w:r w:rsidRPr="00EB16FF">
        <w:rPr>
          <w:rFonts w:ascii="Segoe UI" w:hAnsi="Segoe UI" w:cs="Segoe UI"/>
          <w:spacing w:val="-9"/>
          <w:lang w:val="es-EC"/>
        </w:rPr>
        <w:t>cripto</w:t>
      </w:r>
      <w:proofErr w:type="spellEnd"/>
      <w:r w:rsidRPr="00EB16FF">
        <w:rPr>
          <w:rFonts w:ascii="Segoe UI" w:hAnsi="Segoe UI" w:cs="Segoe UI"/>
          <w:spacing w:val="-9"/>
          <w:lang w:val="es-EC"/>
        </w:rPr>
        <w:t>? ¿Por qué necesito una?</w:t>
      </w:r>
    </w:p>
    <w:p w:rsidR="00EB16FF" w:rsidRPr="00EB16FF" w:rsidRDefault="00EB16FF" w:rsidP="00EB16FF">
      <w:pPr>
        <w:pStyle w:val="NormalWeb"/>
        <w:spacing w:before="0" w:beforeAutospacing="0" w:after="240" w:afterAutospacing="0"/>
        <w:rPr>
          <w:lang w:val="es-EC"/>
        </w:rPr>
      </w:pPr>
      <w:r w:rsidRPr="00EB16FF">
        <w:rPr>
          <w:lang w:val="es-EC"/>
        </w:rPr>
        <w:t xml:space="preserve">Una dirección </w:t>
      </w:r>
      <w:proofErr w:type="spellStart"/>
      <w:r w:rsidRPr="00EB16FF">
        <w:rPr>
          <w:lang w:val="es-EC"/>
        </w:rPr>
        <w:t>cripto</w:t>
      </w:r>
      <w:proofErr w:type="spellEnd"/>
      <w:r w:rsidRPr="00EB16FF">
        <w:rPr>
          <w:lang w:val="es-EC"/>
        </w:rPr>
        <w:t xml:space="preserve"> es un identificador único compuesto por letras y números que sirve como una ubicación virtual a donde se puede enviar una </w:t>
      </w:r>
      <w:proofErr w:type="spellStart"/>
      <w:r w:rsidRPr="00EB16FF">
        <w:rPr>
          <w:lang w:val="es-EC"/>
        </w:rPr>
        <w:t>criptomoneda</w:t>
      </w:r>
      <w:proofErr w:type="spellEnd"/>
      <w:r w:rsidRPr="00EB16FF">
        <w:rPr>
          <w:lang w:val="es-EC"/>
        </w:rPr>
        <w:t xml:space="preserve">. </w:t>
      </w:r>
      <w:proofErr w:type="spellStart"/>
      <w:r w:rsidRPr="00EB16FF">
        <w:rPr>
          <w:lang w:val="es-EC"/>
        </w:rPr>
        <w:t>Podés</w:t>
      </w:r>
      <w:proofErr w:type="spellEnd"/>
      <w:r w:rsidRPr="00EB16FF">
        <w:rPr>
          <w:lang w:val="es-EC"/>
        </w:rPr>
        <w:t xml:space="preserve"> pensarlo como tu </w:t>
      </w:r>
      <w:r w:rsidRPr="00EB16FF">
        <w:rPr>
          <w:rStyle w:val="nfasis"/>
          <w:lang w:val="es-EC"/>
        </w:rPr>
        <w:t>dirección de e-mail</w:t>
      </w:r>
      <w:r w:rsidRPr="00EB16FF">
        <w:rPr>
          <w:lang w:val="es-EC"/>
        </w:rPr>
        <w:t xml:space="preserve">, pero en el ecosistema </w:t>
      </w:r>
      <w:proofErr w:type="spellStart"/>
      <w:r w:rsidRPr="00EB16FF">
        <w:rPr>
          <w:lang w:val="es-EC"/>
        </w:rPr>
        <w:t>cripto</w:t>
      </w:r>
      <w:proofErr w:type="spellEnd"/>
      <w:r w:rsidRPr="00EB16FF">
        <w:rPr>
          <w:lang w:val="es-EC"/>
        </w:rPr>
        <w:t>.</w:t>
      </w:r>
    </w:p>
    <w:p w:rsidR="00EB16FF" w:rsidRPr="00EB16FF" w:rsidRDefault="00EB16FF" w:rsidP="00EB16FF">
      <w:pPr>
        <w:pStyle w:val="NormalWeb"/>
        <w:spacing w:before="0" w:beforeAutospacing="0" w:after="240" w:afterAutospacing="0"/>
        <w:rPr>
          <w:lang w:val="es-EC"/>
        </w:rPr>
      </w:pPr>
      <w:r w:rsidRPr="00EB16FF">
        <w:rPr>
          <w:lang w:val="es-EC"/>
        </w:rPr>
        <w:t xml:space="preserve">Una </w:t>
      </w:r>
      <w:proofErr w:type="spellStart"/>
      <w:r w:rsidRPr="00EB16FF">
        <w:rPr>
          <w:lang w:val="es-EC"/>
        </w:rPr>
        <w:t>wallet</w:t>
      </w:r>
      <w:proofErr w:type="spellEnd"/>
      <w:r w:rsidRPr="00EB16FF">
        <w:rPr>
          <w:lang w:val="es-EC"/>
        </w:rPr>
        <w:t xml:space="preserve"> de </w:t>
      </w:r>
      <w:proofErr w:type="spellStart"/>
      <w:r w:rsidRPr="00EB16FF">
        <w:rPr>
          <w:lang w:val="es-EC"/>
        </w:rPr>
        <w:t>cripto</w:t>
      </w:r>
      <w:proofErr w:type="spellEnd"/>
      <w:r w:rsidRPr="00EB16FF">
        <w:rPr>
          <w:lang w:val="es-EC"/>
        </w:rPr>
        <w:t xml:space="preserve">, entonces, se compone de una o más direcciones, cada una compatible con una red </w:t>
      </w:r>
      <w:proofErr w:type="spellStart"/>
      <w:r w:rsidRPr="00EB16FF">
        <w:rPr>
          <w:lang w:val="es-EC"/>
        </w:rPr>
        <w:t>blockchain</w:t>
      </w:r>
      <w:proofErr w:type="spellEnd"/>
      <w:r w:rsidRPr="00EB16FF">
        <w:rPr>
          <w:lang w:val="es-EC"/>
        </w:rPr>
        <w:t xml:space="preserve"> específica, como </w:t>
      </w:r>
      <w:proofErr w:type="spellStart"/>
      <w:r w:rsidRPr="00EB16FF">
        <w:rPr>
          <w:lang w:val="es-EC"/>
        </w:rPr>
        <w:t>Ethereum</w:t>
      </w:r>
      <w:proofErr w:type="spellEnd"/>
      <w:r w:rsidRPr="00EB16FF">
        <w:rPr>
          <w:lang w:val="es-EC"/>
        </w:rPr>
        <w:t xml:space="preserve">, </w:t>
      </w:r>
      <w:proofErr w:type="spellStart"/>
      <w:r w:rsidRPr="00EB16FF">
        <w:rPr>
          <w:lang w:val="es-EC"/>
        </w:rPr>
        <w:t>Bitcoin</w:t>
      </w:r>
      <w:proofErr w:type="spellEnd"/>
      <w:r w:rsidRPr="00EB16FF">
        <w:rPr>
          <w:lang w:val="es-EC"/>
        </w:rPr>
        <w:t xml:space="preserve">, </w:t>
      </w:r>
      <w:proofErr w:type="spellStart"/>
      <w:r w:rsidRPr="00EB16FF">
        <w:rPr>
          <w:lang w:val="es-EC"/>
        </w:rPr>
        <w:t>Polkadot</w:t>
      </w:r>
      <w:proofErr w:type="spellEnd"/>
      <w:r w:rsidRPr="00EB16FF">
        <w:rPr>
          <w:lang w:val="es-EC"/>
        </w:rPr>
        <w:t xml:space="preserve"> y otras. Esas direcciones son lo que hacen que tu billetera se pueda encontrar y pueda realizar transacciones.</w:t>
      </w:r>
    </w:p>
    <w:p w:rsidR="00EB16FF" w:rsidRDefault="00EB16FF" w:rsidP="00EB16FF">
      <w:pPr>
        <w:pStyle w:val="NormalWeb"/>
        <w:spacing w:before="0" w:beforeAutospacing="0" w:after="240" w:afterAutospacing="0"/>
        <w:rPr>
          <w:lang w:val="es-EC"/>
        </w:rPr>
      </w:pPr>
      <w:r w:rsidRPr="00EB16FF">
        <w:rPr>
          <w:lang w:val="es-EC"/>
        </w:rPr>
        <w:t xml:space="preserve">Por lo tanto, tener una dirección </w:t>
      </w:r>
      <w:proofErr w:type="spellStart"/>
      <w:r w:rsidRPr="00EB16FF">
        <w:rPr>
          <w:lang w:val="es-EC"/>
        </w:rPr>
        <w:t>cripto</w:t>
      </w:r>
      <w:proofErr w:type="spellEnd"/>
      <w:r w:rsidRPr="00EB16FF">
        <w:rPr>
          <w:lang w:val="es-EC"/>
        </w:rPr>
        <w:t xml:space="preserve"> es fundamental para comprar, guardar y hacer trading con cualquier </w:t>
      </w:r>
      <w:proofErr w:type="spellStart"/>
      <w:r w:rsidRPr="00EB16FF">
        <w:rPr>
          <w:lang w:val="es-EC"/>
        </w:rPr>
        <w:t>criptomoneda</w:t>
      </w:r>
      <w:proofErr w:type="spellEnd"/>
      <w:r w:rsidRPr="00EB16FF">
        <w:rPr>
          <w:lang w:val="es-EC"/>
        </w:rPr>
        <w:t xml:space="preserve">. Además, sin una </w:t>
      </w:r>
      <w:proofErr w:type="spellStart"/>
      <w:r w:rsidRPr="00EB16FF">
        <w:rPr>
          <w:lang w:val="es-EC"/>
        </w:rPr>
        <w:t>wallet</w:t>
      </w:r>
      <w:proofErr w:type="spellEnd"/>
      <w:r w:rsidRPr="00EB16FF">
        <w:rPr>
          <w:lang w:val="es-EC"/>
        </w:rPr>
        <w:t xml:space="preserve">, tendrías que recordar cada dirección para cada </w:t>
      </w:r>
      <w:proofErr w:type="spellStart"/>
      <w:r w:rsidRPr="00EB16FF">
        <w:rPr>
          <w:lang w:val="es-EC"/>
        </w:rPr>
        <w:t>criptomoneda</w:t>
      </w:r>
      <w:proofErr w:type="spellEnd"/>
      <w:r w:rsidRPr="00EB16FF">
        <w:rPr>
          <w:lang w:val="es-EC"/>
        </w:rPr>
        <w:t xml:space="preserve"> con la que quieras hacer transacciones. Al usar </w:t>
      </w:r>
      <w:proofErr w:type="spellStart"/>
      <w:r w:rsidRPr="00EB16FF">
        <w:rPr>
          <w:lang w:val="es-EC"/>
        </w:rPr>
        <w:t>Bitso</w:t>
      </w:r>
      <w:proofErr w:type="spellEnd"/>
      <w:r w:rsidRPr="00EB16FF">
        <w:rPr>
          <w:lang w:val="es-EC"/>
        </w:rPr>
        <w:t xml:space="preserve"> como </w:t>
      </w:r>
      <w:proofErr w:type="spellStart"/>
      <w:r w:rsidRPr="00EB16FF">
        <w:rPr>
          <w:lang w:val="es-EC"/>
        </w:rPr>
        <w:t>wallet</w:t>
      </w:r>
      <w:proofErr w:type="spellEnd"/>
      <w:r w:rsidRPr="00EB16FF">
        <w:rPr>
          <w:lang w:val="es-EC"/>
        </w:rPr>
        <w:t xml:space="preserve">, todas las direcciones se organizan de forma simple en un solo lugar y la </w:t>
      </w:r>
      <w:proofErr w:type="spellStart"/>
      <w:r w:rsidRPr="00EB16FF">
        <w:rPr>
          <w:lang w:val="es-EC"/>
        </w:rPr>
        <w:t>wallet</w:t>
      </w:r>
      <w:proofErr w:type="spellEnd"/>
      <w:r w:rsidRPr="00EB16FF">
        <w:rPr>
          <w:lang w:val="es-EC"/>
        </w:rPr>
        <w:t xml:space="preserve"> se encarga de gestionarlas por vos, por lo que no </w:t>
      </w:r>
      <w:proofErr w:type="spellStart"/>
      <w:r w:rsidRPr="00EB16FF">
        <w:rPr>
          <w:lang w:val="es-EC"/>
        </w:rPr>
        <w:t>necesitás</w:t>
      </w:r>
      <w:proofErr w:type="spellEnd"/>
      <w:r w:rsidRPr="00EB16FF">
        <w:rPr>
          <w:lang w:val="es-EC"/>
        </w:rPr>
        <w:t xml:space="preserve"> recordarlas todas para ser parte del ecosistema </w:t>
      </w:r>
      <w:proofErr w:type="spellStart"/>
      <w:r w:rsidRPr="00EB16FF">
        <w:rPr>
          <w:lang w:val="es-EC"/>
        </w:rPr>
        <w:t>cripto</w:t>
      </w:r>
      <w:proofErr w:type="spellEnd"/>
      <w:r w:rsidRPr="00EB16FF">
        <w:rPr>
          <w:lang w:val="es-EC"/>
        </w:rPr>
        <w:t>.</w:t>
      </w:r>
    </w:p>
    <w:p w:rsidR="00EB16FF" w:rsidRPr="00EB16FF" w:rsidRDefault="00EB16FF" w:rsidP="00EB16FF">
      <w:pPr>
        <w:pStyle w:val="Ttulo2"/>
        <w:shd w:val="clear" w:color="auto" w:fill="FAFAFC"/>
        <w:spacing w:line="480" w:lineRule="atLeast"/>
        <w:rPr>
          <w:rFonts w:ascii="Segoe UI" w:hAnsi="Segoe UI" w:cs="Segoe UI"/>
          <w:spacing w:val="-9"/>
          <w:lang w:val="es-EC"/>
        </w:rPr>
      </w:pPr>
      <w:r w:rsidRPr="00EB16FF">
        <w:rPr>
          <w:rFonts w:ascii="Segoe UI" w:hAnsi="Segoe UI" w:cs="Segoe UI"/>
          <w:spacing w:val="-9"/>
          <w:lang w:val="es-EC"/>
        </w:rPr>
        <w:lastRenderedPageBreak/>
        <w:t>Direcciones compatibles con EVM: ¿Qué es una dirección de depósito compatible con la EVM?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El término </w:t>
      </w:r>
      <w:r w:rsidRPr="00EB16FF">
        <w:rPr>
          <w:rStyle w:val="nfasis"/>
          <w:rFonts w:ascii="Segoe UI" w:hAnsi="Segoe UI" w:cs="Segoe UI"/>
          <w:color w:val="4A5760"/>
          <w:sz w:val="27"/>
          <w:szCs w:val="27"/>
          <w:lang w:val="es-EC"/>
        </w:rPr>
        <w:t>EVM</w:t>
      </w: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 significa </w:t>
      </w:r>
      <w:proofErr w:type="spellStart"/>
      <w:r w:rsidRPr="00EB16FF">
        <w:rPr>
          <w:rStyle w:val="nfasis"/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Style w:val="nfasis"/>
          <w:rFonts w:ascii="Segoe UI" w:hAnsi="Segoe UI" w:cs="Segoe UI"/>
          <w:color w:val="4A5760"/>
          <w:sz w:val="27"/>
          <w:szCs w:val="27"/>
          <w:lang w:val="es-EC"/>
        </w:rPr>
        <w:t xml:space="preserve"> Virtual Machine</w:t>
      </w: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, que es el software que ejecuta contratos inteligentes y computa el estado de la red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después de que cada nuevo bloque se agrega a la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blockchain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.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Por lo tanto, </w:t>
      </w:r>
      <w:r w:rsidRPr="00EB16FF">
        <w:rPr>
          <w:rStyle w:val="nfasis"/>
          <w:rFonts w:ascii="Segoe UI" w:hAnsi="Segoe UI" w:cs="Segoe UI"/>
          <w:color w:val="4A5760"/>
          <w:sz w:val="27"/>
          <w:szCs w:val="27"/>
          <w:lang w:val="es-EC"/>
        </w:rPr>
        <w:t>la compatibilidad con la EVM</w:t>
      </w: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 hace referencia a la capacidad de otros protocolos para escribir y desplegar código de contrato inteligente que sea compatible con la Máquina Virtual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. Esta compatibilidad permite que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blockchains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como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Avalanche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,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Polygon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,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Fantom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,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Binance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Smart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Chain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y otras tengan código compatible con la red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Ethereum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.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Por su parte, una dirección de depósito compatible con la EVM es una dirección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cripto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que comparte el formato requerido por la EVM. Y dado que estas direcciones compatibles fueron diseñadas con el mismo formato,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podés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interactuar con redes compatibles con la EVM usando la misma dirección.</w:t>
      </w:r>
    </w:p>
    <w:p w:rsidR="00EB16FF" w:rsidRPr="00EB16FF" w:rsidRDefault="00EB16FF" w:rsidP="00EB16FF">
      <w:pPr>
        <w:pStyle w:val="NormalWeb"/>
        <w:shd w:val="clear" w:color="auto" w:fill="FAFAFC"/>
        <w:spacing w:before="0" w:beforeAutospacing="0" w:after="240" w:afterAutospacing="0"/>
        <w:rPr>
          <w:rFonts w:ascii="Segoe UI" w:hAnsi="Segoe UI" w:cs="Segoe UI"/>
          <w:color w:val="4A5760"/>
          <w:sz w:val="27"/>
          <w:szCs w:val="27"/>
          <w:lang w:val="es-EC"/>
        </w:rPr>
      </w:pPr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Para saber qué es una dirección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cripto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, </w:t>
      </w:r>
      <w:proofErr w:type="spellStart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>consultá</w:t>
      </w:r>
      <w:proofErr w:type="spellEnd"/>
      <w:r w:rsidRPr="00EB16FF">
        <w:rPr>
          <w:rFonts w:ascii="Segoe UI" w:hAnsi="Segoe UI" w:cs="Segoe UI"/>
          <w:color w:val="4A5760"/>
          <w:sz w:val="27"/>
          <w:szCs w:val="27"/>
          <w:lang w:val="es-EC"/>
        </w:rPr>
        <w:t xml:space="preserve"> este artículo:</w:t>
      </w:r>
    </w:p>
    <w:p w:rsidR="00EB16FF" w:rsidRPr="00EB16FF" w:rsidRDefault="00EB16FF" w:rsidP="00EB16FF">
      <w:pPr>
        <w:pStyle w:val="NormalWeb"/>
        <w:spacing w:before="0" w:beforeAutospacing="0" w:after="240" w:afterAutospacing="0"/>
        <w:rPr>
          <w:lang w:val="es-EC"/>
        </w:rPr>
      </w:pPr>
    </w:p>
    <w:p w:rsidR="003A7687" w:rsidRDefault="00EB16FF">
      <w:pPr>
        <w:rPr>
          <w:lang w:val="es-EC"/>
        </w:rPr>
      </w:pPr>
      <w:proofErr w:type="spellStart"/>
      <w:r>
        <w:rPr>
          <w:lang w:val="es-EC"/>
        </w:rPr>
        <w:t>VeChain</w:t>
      </w:r>
      <w:proofErr w:type="spellEnd"/>
      <w:r>
        <w:rPr>
          <w:lang w:val="es-EC"/>
        </w:rPr>
        <w:t xml:space="preserve"> </w:t>
      </w:r>
    </w:p>
    <w:p w:rsidR="00EB16FF" w:rsidRDefault="00EB16FF">
      <w:pPr>
        <w:rPr>
          <w:lang w:val="es-EC"/>
        </w:rPr>
      </w:pPr>
      <w:proofErr w:type="spellStart"/>
      <w:r>
        <w:rPr>
          <w:lang w:val="es-EC"/>
        </w:rPr>
        <w:t>KuCoin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token</w:t>
      </w:r>
      <w:proofErr w:type="spellEnd"/>
    </w:p>
    <w:p w:rsidR="00EB16FF" w:rsidRDefault="00EB16FF">
      <w:pPr>
        <w:rPr>
          <w:lang w:val="es-EC"/>
        </w:rPr>
      </w:pPr>
      <w:r>
        <w:rPr>
          <w:lang w:val="es-EC"/>
        </w:rPr>
        <w:t>Theta fuel</w:t>
      </w:r>
    </w:p>
    <w:p w:rsidR="006A2C83" w:rsidRDefault="006A2C83" w:rsidP="006A2C83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proofErr w:type="spellStart"/>
      <w:r>
        <w:rPr>
          <w:rFonts w:ascii="Segoe UI" w:hAnsi="Segoe UI" w:cs="Segoe UI"/>
          <w:b w:val="0"/>
          <w:bCs w:val="0"/>
          <w:color w:val="212529"/>
        </w:rPr>
        <w:t>Cardano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>, ADA</w:t>
      </w:r>
    </w:p>
    <w:p w:rsidR="006A2C83" w:rsidRPr="005C7448" w:rsidRDefault="006A2C83" w:rsidP="006A2C83">
      <w:pPr>
        <w:pStyle w:val="Ttulo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  <w:lang w:val="es-EC"/>
        </w:rPr>
      </w:pPr>
      <w:r w:rsidRPr="005C7448">
        <w:rPr>
          <w:rFonts w:ascii="Segoe UI" w:hAnsi="Segoe UI" w:cs="Segoe UI"/>
          <w:b w:val="0"/>
          <w:bCs w:val="0"/>
          <w:color w:val="212529"/>
          <w:lang w:val="es-EC"/>
        </w:rPr>
        <w:t>solana</w:t>
      </w:r>
    </w:p>
    <w:p w:rsidR="005C7448" w:rsidRPr="005C7448" w:rsidRDefault="005C7448" w:rsidP="005C7448">
      <w:pPr>
        <w:shd w:val="clear" w:color="auto" w:fill="FFFFFF"/>
        <w:spacing w:line="240" w:lineRule="auto"/>
        <w:rPr>
          <w:rFonts w:eastAsia="Times New Roman" w:cs="Arial"/>
          <w:color w:val="202124"/>
          <w:sz w:val="27"/>
          <w:szCs w:val="27"/>
          <w:lang w:val="es-EC"/>
        </w:rPr>
      </w:pPr>
      <w:r w:rsidRPr="005C7448">
        <w:rPr>
          <w:rFonts w:eastAsia="Times New Roman" w:cs="Arial"/>
          <w:color w:val="202124"/>
          <w:szCs w:val="24"/>
          <w:lang w:val="es-EC"/>
        </w:rPr>
        <w:t xml:space="preserve">¿Qué es el volumen en una </w:t>
      </w:r>
      <w:proofErr w:type="spellStart"/>
      <w:r w:rsidRPr="005C7448">
        <w:rPr>
          <w:rFonts w:eastAsia="Times New Roman" w:cs="Arial"/>
          <w:color w:val="202124"/>
          <w:szCs w:val="24"/>
          <w:lang w:val="es-EC"/>
        </w:rPr>
        <w:t>cripto</w:t>
      </w:r>
      <w:proofErr w:type="spellEnd"/>
      <w:r w:rsidRPr="005C7448">
        <w:rPr>
          <w:rFonts w:eastAsia="Times New Roman" w:cs="Arial"/>
          <w:color w:val="202124"/>
          <w:szCs w:val="24"/>
          <w:lang w:val="es-EC"/>
        </w:rPr>
        <w:t>?</w:t>
      </w:r>
    </w:p>
    <w:p w:rsidR="005C7448" w:rsidRPr="005C7448" w:rsidRDefault="005C7448" w:rsidP="005C7448">
      <w:pPr>
        <w:shd w:val="clear" w:color="auto" w:fill="FFFFFF"/>
        <w:spacing w:after="0" w:line="240" w:lineRule="auto"/>
        <w:rPr>
          <w:rFonts w:eastAsia="Times New Roman" w:cs="Arial"/>
          <w:color w:val="202124"/>
          <w:sz w:val="27"/>
          <w:szCs w:val="27"/>
          <w:lang w:val="es-EC"/>
        </w:rPr>
      </w:pPr>
      <w:r w:rsidRPr="005C7448">
        <w:rPr>
          <w:rFonts w:eastAsia="Times New Roman" w:cs="Arial"/>
          <w:color w:val="4D5156"/>
          <w:szCs w:val="24"/>
          <w:lang w:val="es-ES"/>
        </w:rPr>
        <w:t xml:space="preserve">El volumen es un indicador que definitivamente facilita la inversión en el intercambio de </w:t>
      </w:r>
      <w:proofErr w:type="spellStart"/>
      <w:r w:rsidRPr="005C7448">
        <w:rPr>
          <w:rFonts w:eastAsia="Times New Roman" w:cs="Arial"/>
          <w:color w:val="4D5156"/>
          <w:szCs w:val="24"/>
          <w:lang w:val="es-ES"/>
        </w:rPr>
        <w:t>criptomonedas</w:t>
      </w:r>
      <w:proofErr w:type="spellEnd"/>
      <w:r w:rsidRPr="005C7448">
        <w:rPr>
          <w:rFonts w:eastAsia="Times New Roman" w:cs="Arial"/>
          <w:color w:val="4D5156"/>
          <w:szCs w:val="24"/>
          <w:lang w:val="es-ES"/>
        </w:rPr>
        <w:t>. Por definición, el volumen </w:t>
      </w:r>
      <w:r w:rsidRPr="005C7448">
        <w:rPr>
          <w:rFonts w:eastAsia="Times New Roman" w:cs="Arial"/>
          <w:color w:val="040C28"/>
          <w:szCs w:val="24"/>
          <w:lang w:val="es-ES"/>
        </w:rPr>
        <w:t>mide la intensidad y el grado de importancia de las tendencias en el mercado</w:t>
      </w:r>
      <w:r w:rsidRPr="005C7448">
        <w:rPr>
          <w:rFonts w:eastAsia="Times New Roman" w:cs="Arial"/>
          <w:color w:val="4D5156"/>
          <w:szCs w:val="24"/>
          <w:lang w:val="es-ES"/>
        </w:rPr>
        <w:t>.</w:t>
      </w:r>
    </w:p>
    <w:p w:rsidR="006A2C83" w:rsidRPr="00B80EB1" w:rsidRDefault="006A2C83">
      <w:bookmarkStart w:id="0" w:name="_GoBack"/>
      <w:bookmarkEnd w:id="0"/>
    </w:p>
    <w:sectPr w:rsidR="006A2C83" w:rsidRPr="00B80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EB1" w:rsidRDefault="00B80EB1" w:rsidP="00B80EB1">
      <w:pPr>
        <w:spacing w:after="0" w:line="240" w:lineRule="auto"/>
      </w:pPr>
      <w:r>
        <w:separator/>
      </w:r>
    </w:p>
  </w:endnote>
  <w:endnote w:type="continuationSeparator" w:id="0">
    <w:p w:rsidR="00B80EB1" w:rsidRDefault="00B80EB1" w:rsidP="00B8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EB1" w:rsidRDefault="00B80EB1" w:rsidP="00B80EB1">
      <w:pPr>
        <w:spacing w:after="0" w:line="240" w:lineRule="auto"/>
      </w:pPr>
      <w:r>
        <w:separator/>
      </w:r>
    </w:p>
  </w:footnote>
  <w:footnote w:type="continuationSeparator" w:id="0">
    <w:p w:rsidR="00B80EB1" w:rsidRDefault="00B80EB1" w:rsidP="00B80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FF"/>
    <w:rsid w:val="003A7687"/>
    <w:rsid w:val="005C7448"/>
    <w:rsid w:val="006A2C83"/>
    <w:rsid w:val="00B80EB1"/>
    <w:rsid w:val="00EB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45E1"/>
  <w15:chartTrackingRefBased/>
  <w15:docId w15:val="{287D3207-3510-4DC7-8614-F07CD928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1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nfasis">
    <w:name w:val="Emphasis"/>
    <w:basedOn w:val="Fuentedeprrafopredeter"/>
    <w:uiPriority w:val="20"/>
    <w:qFormat/>
    <w:rsid w:val="00EB16FF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EB16F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aconcuadrcula">
    <w:name w:val="Table Grid"/>
    <w:basedOn w:val="Tablanormal"/>
    <w:uiPriority w:val="39"/>
    <w:rsid w:val="005C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kcde">
    <w:name w:val="cskcde"/>
    <w:basedOn w:val="Fuentedeprrafopredeter"/>
    <w:rsid w:val="005C7448"/>
  </w:style>
  <w:style w:type="character" w:customStyle="1" w:styleId="hgkelc">
    <w:name w:val="hgkelc"/>
    <w:basedOn w:val="Fuentedeprrafopredeter"/>
    <w:rsid w:val="005C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64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ARIZAGA ORELLANA KEVIN ISRAEL (PECGYE)</dc:creator>
  <cp:keywords/>
  <dc:description/>
  <cp:lastModifiedBy>ARIZAGA ORELLANA KEVIN ISRAEL (PECGYE)</cp:lastModifiedBy>
  <cp:revision>1</cp:revision>
  <dcterms:created xsi:type="dcterms:W3CDTF">2023-07-09T00:54:00Z</dcterms:created>
  <dcterms:modified xsi:type="dcterms:W3CDTF">2023-07-09T11:48:00Z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2023-07-09T00:55:01Z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e20a9bca-8cf3-4bdb-994c-5459422bd7ff</vt:lpwstr>
  </property>
  <property fmtid="{D5CDD505-2E9C-101B-9397-08002B2CF9AE}" pid="8" name="MSIP_Label_5fb22e38-1a08-4b06-a6dd-a7ec074d3af8_ContentBits">
    <vt:lpwstr>0</vt:lpwstr>
  </property>
</Properties>
</file>