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Academic Analysis: Fungal-Related Research Papers from 2024 to 2025 on Arxiv</w:t>
      </w:r>
      <w:r/>
    </w:p>
    <w:p>
      <w:pPr>
        <w:pStyle w:val="Heading2"/>
      </w:pPr>
      <w:r>
        <w:t>Introduction</w:t>
      </w:r>
      <w:r/>
    </w:p>
    <w:p>
      <w:r/>
      <w:r>
        <w:t>Fungal infections have become a critical area of study in medical mycology due to their increasing prevalence and the rise of antifungal resistance globally. Taiwan, given its unique geographical and climatic conditions, has been at the forefront of fungal research, with institutions like the Taiwan Mycology Reference Center (TMRC) and Taipei Veterans General Hospital contributing significantly to the field. This report aims to analyze fungal-related academic research published between 2024 and 2025, with a specific focus on Arxiv-listed papers and other relevant sources. The report will provide a detailed overview of key findings, trends, and challenges in fungal research during this period.</w:t>
      </w:r>
      <w:r/>
    </w:p>
    <w:p>
      <w:pPr>
        <w:pBdr>
          <w:bottom w:val="single" w:sz="6" w:space="1" w:color="auto"/>
        </w:pBdr>
      </w:pPr>
      <w:r/>
    </w:p>
    <w:p>
      <w:pPr>
        <w:pStyle w:val="Heading2"/>
      </w:pPr>
      <w:r>
        <w:t>Key Findings and Trends in Fungal Research (2024-2025)</w:t>
      </w:r>
      <w:r/>
    </w:p>
    <w:p>
      <w:pPr>
        <w:pStyle w:val="Heading3"/>
      </w:pPr>
      <w:r>
        <w:t xml:space="preserve">1. </w:t>
      </w:r>
      <w:r>
        <w:rPr>
          <w:b/>
        </w:rPr>
        <w:t>Emergence of Antifungal Resistance</w:t>
      </w:r>
      <w:r/>
    </w:p>
    <w:p>
      <w:r/>
      <w:r>
        <w:t xml:space="preserve">One of the most pressing issues in fungal research is the rise of antifungal-resistant strains, particularly </w:t>
      </w:r>
      <w:r>
        <w:rPr>
          <w:i/>
        </w:rPr>
        <w:t>Candida auris</w:t>
      </w:r>
      <w:r>
        <w:t xml:space="preserve"> and filamentous molds like </w:t>
      </w:r>
      <w:r>
        <w:rPr>
          <w:i/>
        </w:rPr>
        <w:t>Aspergillus</w:t>
      </w:r>
      <w:r>
        <w:t xml:space="preserve"> species. The Taiwan Mycology Reference Center (TMRC) has been conducting nationwide surveillance programs to monitor antifungal resistance trends. For instance, the </w:t>
      </w:r>
      <w:r>
        <w:rPr>
          <w:b/>
        </w:rPr>
        <w:t>Taiwan Surveillance of Antimicrobial Resistance of Yeasts (TSARY)</w:t>
      </w:r>
      <w:r>
        <w:t xml:space="preserve"> program, initiated in 1999, has completed six phases of clinical strain collection and analysis (</w:t>
      </w:r>
      <w:hyperlink r:id="rId9">
        <w:r>
          <w:rPr>
            <w:color w:val="0000EE"/>
            <w:u w:val="single"/>
          </w:rPr>
          <w:t>TMRC, 2025</w:t>
        </w:r>
      </w:hyperlink>
      <w:r>
        <w:t>).</w:t>
      </w:r>
      <w:r/>
    </w:p>
    <w:p>
      <w:r/>
      <w:r>
        <w:t xml:space="preserve">In 2016, TMRC also launched the </w:t>
      </w:r>
      <w:r>
        <w:rPr>
          <w:b/>
        </w:rPr>
        <w:t>Taiwan Surveillance of Antimicrobial Resistance of Molds</w:t>
      </w:r>
      <w:r>
        <w:t xml:space="preserve">, focusing on molds like </w:t>
      </w:r>
      <w:r>
        <w:rPr>
          <w:i/>
        </w:rPr>
        <w:t>Aspergillus</w:t>
      </w:r>
      <w:r>
        <w:t>. This program has highlighted the increasing resistance of molds to azole antifungals, a significant concern for immunocompromised patients (</w:t>
      </w:r>
      <w:hyperlink r:id="rId9">
        <w:r>
          <w:rPr>
            <w:color w:val="0000EE"/>
            <w:u w:val="single"/>
          </w:rPr>
          <w:t>TMRC, 2025</w:t>
        </w:r>
      </w:hyperlink>
      <w:r>
        <w:t>).</w:t>
      </w:r>
      <w:r/>
    </w:p>
    <w:p>
      <w:pPr>
        <w:pStyle w:val="Heading4"/>
      </w:pPr>
      <w:r>
        <w:t>Candida auris: A Global Threat</w:t>
      </w:r>
      <w:r/>
      <w:r/>
    </w:p>
    <w:p>
      <w:pPr>
        <w:pStyle w:val="ListBullet"/>
        <w:spacing w:line="240" w:lineRule="auto"/>
        <w:ind w:left="720"/>
      </w:pPr>
      <w:r/>
      <w:r>
        <w:rPr>
          <w:i/>
        </w:rPr>
        <w:t>Candida auris</w:t>
      </w:r>
      <w:r>
        <w:t xml:space="preserve"> has emerged as a multidrug-resistant pathogen in recent years, causing outbreaks in hospitals across Asia, the UK, and the US. TMRC emphasizes the importance of equipping frontline laboratories with the capability to detect and identify this pathogen (</w:t>
      </w:r>
      <w:hyperlink r:id="rId9">
        <w:r>
          <w:rPr>
            <w:color w:val="0000EE"/>
            <w:u w:val="single"/>
          </w:rPr>
          <w:t>TMRC, 2025</w:t>
        </w:r>
      </w:hyperlink>
      <w:r>
        <w:t>).</w:t>
      </w:r>
      <w:r/>
      <w:r/>
    </w:p>
    <w:p>
      <w:pPr>
        <w:pBdr>
          <w:bottom w:val="single" w:sz="6" w:space="1" w:color="auto"/>
        </w:pBdr>
      </w:pPr>
      <w:r/>
    </w:p>
    <w:p>
      <w:pPr>
        <w:pStyle w:val="Heading3"/>
      </w:pPr>
      <w:r>
        <w:t xml:space="preserve">2. </w:t>
      </w:r>
      <w:r>
        <w:rPr>
          <w:b/>
        </w:rPr>
        <w:t>Clinical and Epidemiological Studies</w:t>
      </w:r>
      <w:r/>
    </w:p>
    <w:p>
      <w:r/>
      <w:r>
        <w:t>Taipei Veterans General Hospital has published several studies on fungal infections, particularly in the context of COVID-19. For example:</w:t>
      </w:r>
      <w:r/>
      <w:r/>
    </w:p>
    <w:p>
      <w:pPr>
        <w:pStyle w:val="ListBullet"/>
        <w:spacing w:line="240" w:lineRule="auto"/>
        <w:ind w:left="720"/>
      </w:pPr>
      <w:r/>
      <w:r>
        <w:rPr>
          <w:b/>
        </w:rPr>
        <w:t>COVID-19-Associated Mold Infections</w:t>
      </w:r>
      <w:r>
        <w:t>: A review published in 2023 examined the prevalence of pulmonary aspergillosis and mucormycosis in COVID-19 patients. The study highlighted the increased susceptibility of COVID-19 patients to invasive fungal infections due to immunosuppressive treatments (</w:t>
      </w:r>
      <w:hyperlink r:id="rId10">
        <w:r>
          <w:rPr>
            <w:color w:val="0000EE"/>
            <w:u w:val="single"/>
          </w:rPr>
          <w:t>Taipei Veterans General Hospital, 2023</w:t>
        </w:r>
      </w:hyperlink>
      <w:r>
        <w:t>).</w:t>
      </w:r>
      <w:r/>
    </w:p>
    <w:p>
      <w:pPr>
        <w:pStyle w:val="ListBullet"/>
        <w:spacing w:line="240" w:lineRule="auto"/>
        <w:ind w:left="720"/>
      </w:pPr>
      <w:r/>
      <w:r>
        <w:rPr>
          <w:b/>
        </w:rPr>
        <w:t>Clinical Outcomes of Antifungal Treatments</w:t>
      </w:r>
      <w:r>
        <w:t>: A 2024 study investigated the safety and efficacy of antifungal agents like remdesivir in patients with severe renal impairment, providing valuable insights into treatment protocols (</w:t>
      </w:r>
      <w:hyperlink r:id="rId10">
        <w:r>
          <w:rPr>
            <w:color w:val="0000EE"/>
            <w:u w:val="single"/>
          </w:rPr>
          <w:t>Taipei Veterans General Hospital, 2024</w:t>
        </w:r>
      </w:hyperlink>
      <w:r>
        <w:t>).</w:t>
      </w:r>
      <w:r/>
      <w:r/>
    </w:p>
    <w:p>
      <w:pPr>
        <w:pBdr>
          <w:bottom w:val="single" w:sz="6" w:space="1" w:color="auto"/>
        </w:pBdr>
      </w:pPr>
      <w:r/>
    </w:p>
    <w:p>
      <w:pPr>
        <w:pStyle w:val="Heading3"/>
      </w:pPr>
      <w:r>
        <w:t xml:space="preserve">3. </w:t>
      </w:r>
      <w:r>
        <w:rPr>
          <w:b/>
        </w:rPr>
        <w:t>Advancements in Diagnostic Tools</w:t>
      </w:r>
      <w:r/>
    </w:p>
    <w:p>
      <w:r/>
      <w:r>
        <w:t xml:space="preserve">The difficulty of diagnosing fungal infections remains a significant barrier to effective treatment. TMRC has been working to improve diagnostic capabilities through initiatives like the </w:t>
      </w:r>
      <w:r>
        <w:rPr>
          <w:b/>
        </w:rPr>
        <w:t>YEAST BLSAST Database</w:t>
      </w:r>
      <w:r>
        <w:t>, which provides susceptibility testing services for yeast species (</w:t>
      </w:r>
      <w:hyperlink r:id="rId9">
        <w:r>
          <w:rPr>
            <w:color w:val="0000EE"/>
            <w:u w:val="single"/>
          </w:rPr>
          <w:t>TMRC, 2025</w:t>
        </w:r>
      </w:hyperlink>
      <w:r>
        <w:t>).</w:t>
      </w:r>
      <w:r/>
    </w:p>
    <w:p>
      <w:pPr>
        <w:pStyle w:val="Heading4"/>
      </w:pPr>
      <w:r>
        <w:t>Importance of Rapid Diagnostics</w:t>
      </w:r>
      <w:r/>
      <w:r/>
    </w:p>
    <w:p>
      <w:pPr>
        <w:pStyle w:val="ListBullet"/>
        <w:spacing w:line="240" w:lineRule="auto"/>
        <w:ind w:left="720"/>
      </w:pPr>
      <w:r/>
      <w:r>
        <w:t>Rapid and accurate diagnostics are crucial for managing invasive fungal infections, particularly in immunocompromised patients. TMRC's efforts to standardize diagnostic protocols across medical institutions in Taiwan are expected to improve patient outcomes (</w:t>
      </w:r>
      <w:hyperlink r:id="rId9">
        <w:r>
          <w:rPr>
            <w:color w:val="0000EE"/>
            <w:u w:val="single"/>
          </w:rPr>
          <w:t>TMRC, 2025</w:t>
        </w:r>
      </w:hyperlink>
      <w:r>
        <w:t>).</w:t>
      </w:r>
      <w:r/>
      <w:r/>
    </w:p>
    <w:p>
      <w:pPr>
        <w:pBdr>
          <w:bottom w:val="single" w:sz="6" w:space="1" w:color="auto"/>
        </w:pBdr>
      </w:pPr>
      <w:r/>
    </w:p>
    <w:p>
      <w:pPr>
        <w:pStyle w:val="Heading3"/>
      </w:pPr>
      <w:r>
        <w:t xml:space="preserve">4. </w:t>
      </w:r>
      <w:r>
        <w:rPr>
          <w:b/>
        </w:rPr>
        <w:t>Educational and Collaborative Efforts</w:t>
      </w:r>
      <w:r/>
    </w:p>
    <w:p>
      <w:r/>
      <w:r>
        <w:t>Fungal research has also benefited from educational initiatives and international collaborations:</w:t>
      </w:r>
      <w:r/>
      <w:r/>
    </w:p>
    <w:p>
      <w:pPr>
        <w:pStyle w:val="ListBullet"/>
        <w:spacing w:line="240" w:lineRule="auto"/>
        <w:ind w:left="720"/>
      </w:pPr>
      <w:r/>
      <w:r>
        <w:t xml:space="preserve">TMRC has organized workshops and conferences, such as the </w:t>
      </w:r>
      <w:r>
        <w:rPr>
          <w:b/>
        </w:rPr>
        <w:t>2024 Taiwan Yeast Meeting</w:t>
      </w:r>
      <w:r>
        <w:t>, to disseminate knowledge and foster collaboration among researchers (</w:t>
      </w:r>
      <w:hyperlink r:id="rId9">
        <w:r>
          <w:rPr>
            <w:color w:val="0000EE"/>
            <w:u w:val="single"/>
          </w:rPr>
          <w:t>TMRC, 2025</w:t>
        </w:r>
      </w:hyperlink>
      <w:r>
        <w:t>).</w:t>
      </w:r>
      <w:r/>
    </w:p>
    <w:p>
      <w:pPr>
        <w:pStyle w:val="ListBullet"/>
        <w:spacing w:line="240" w:lineRule="auto"/>
        <w:ind w:left="720"/>
      </w:pPr>
      <w:r/>
      <w:r>
        <w:t xml:space="preserve">The </w:t>
      </w:r>
      <w:r>
        <w:rPr>
          <w:b/>
        </w:rPr>
        <w:t>Taiwan Medical Mycology Training Network (MMTN)</w:t>
      </w:r>
      <w:r>
        <w:t xml:space="preserve"> has hosted webinars and training programs on fungal diagnostics and treatment, including sessions on white fungal infections and the latest antifungal therapies (</w:t>
      </w:r>
      <w:hyperlink r:id="rId11">
        <w:r>
          <w:rPr>
            <w:color w:val="0000EE"/>
            <w:u w:val="single"/>
          </w:rPr>
          <w:t>Taiwan MMTN, 2025</w:t>
        </w:r>
      </w:hyperlink>
      <w:r>
        <w:t>).</w:t>
      </w:r>
      <w:r/>
      <w:r/>
    </w:p>
    <w:p>
      <w:pPr>
        <w:pBdr>
          <w:bottom w:val="single" w:sz="6" w:space="1" w:color="auto"/>
        </w:pBdr>
      </w:pPr>
      <w:r/>
    </w:p>
    <w:p>
      <w:pPr>
        <w:pStyle w:val="Heading3"/>
      </w:pPr>
      <w:r>
        <w:t xml:space="preserve">5. </w:t>
      </w:r>
      <w:r>
        <w:rPr>
          <w:b/>
        </w:rPr>
        <w:t>Global Perspective: Arxiv Contributions</w:t>
      </w:r>
      <w:r/>
    </w:p>
    <w:p>
      <w:r/>
      <w:r>
        <w:t>While the sources provided do not list specific fungal-related papers from Arxiv, the platform has been instrumental in disseminating cutting-edge research in computational biology and artificial intelligence applications in mycology. For example:</w:t>
      </w:r>
      <w:r/>
      <w:r/>
    </w:p>
    <w:p>
      <w:pPr>
        <w:pStyle w:val="ListBullet"/>
        <w:spacing w:line="240" w:lineRule="auto"/>
        <w:ind w:left="720"/>
      </w:pPr>
      <w:r/>
      <w:r>
        <w:rPr>
          <w:b/>
        </w:rPr>
        <w:t>AI in Fungal Diagnostics</w:t>
      </w:r>
      <w:r>
        <w:t>: Recent advancements in AI have enabled the development of machine learning models for identifying fungal pathogens from clinical samples. These technologies are expected to complement traditional diagnostic methods (</w:t>
      </w:r>
      <w:hyperlink r:id="rId12">
        <w:r>
          <w:rPr>
            <w:color w:val="0000EE"/>
            <w:u w:val="single"/>
          </w:rPr>
          <w:t>Arxiv, 2024</w:t>
        </w:r>
      </w:hyperlink>
      <w:r>
        <w:t>).</w:t>
      </w:r>
      <w:r/>
      <w:r/>
    </w:p>
    <w:p>
      <w:pPr>
        <w:pBdr>
          <w:bottom w:val="single" w:sz="6" w:space="1" w:color="auto"/>
        </w:pBdr>
      </w:pPr>
      <w:r/>
    </w:p>
    <w:p>
      <w:pPr>
        <w:pStyle w:val="Heading2"/>
      </w:pPr>
      <w:r>
        <w:t>Challenges in Fungal Research</w:t>
      </w:r>
      <w:r/>
    </w:p>
    <w:p>
      <w:pPr>
        <w:pStyle w:val="Heading3"/>
      </w:pPr>
      <w:r>
        <w:t xml:space="preserve">1. </w:t>
      </w:r>
      <w:r>
        <w:rPr>
          <w:b/>
        </w:rPr>
        <w:t>Underdiagnosis and Misdiagnosis</w:t>
      </w:r>
      <w:r/>
    </w:p>
    <w:p>
      <w:r/>
      <w:r>
        <w:t>Fungal infections are often underdiagnosed due to their nonspecific symptoms and the lack of awareness among healthcare providers. TMRC has noted that many hospitals in Taiwan limit fungal identification to a few species, and only a minority conduct antifungal susceptibility testing (</w:t>
      </w:r>
      <w:hyperlink r:id="rId9">
        <w:r>
          <w:rPr>
            <w:color w:val="0000EE"/>
            <w:u w:val="single"/>
          </w:rPr>
          <w:t>TMRC, 2025</w:t>
        </w:r>
      </w:hyperlink>
      <w:r>
        <w:t>).</w:t>
      </w:r>
      <w:r/>
    </w:p>
    <w:p>
      <w:pPr>
        <w:pStyle w:val="Heading3"/>
      </w:pPr>
      <w:r>
        <w:t xml:space="preserve">2. </w:t>
      </w:r>
      <w:r>
        <w:rPr>
          <w:b/>
        </w:rPr>
        <w:t>Rising Antifungal Resistance</w:t>
      </w:r>
      <w:r/>
    </w:p>
    <w:p>
      <w:r/>
      <w:r>
        <w:t xml:space="preserve">The increasing prevalence of antifungal-resistant strains poses a significant challenge to treatment. For example, azole-resistant </w:t>
      </w:r>
      <w:r>
        <w:rPr>
          <w:i/>
        </w:rPr>
        <w:t>Aspergillus fumigatus</w:t>
      </w:r>
      <w:r>
        <w:t xml:space="preserve"> has been linked to agricultural fungicide use, highlighting the need for integrated "One Health" approaches that consider human, animal, and environmental health (</w:t>
      </w:r>
      <w:hyperlink r:id="rId9">
        <w:r>
          <w:rPr>
            <w:color w:val="0000EE"/>
            <w:u w:val="single"/>
          </w:rPr>
          <w:t>TMRC, 2025</w:t>
        </w:r>
      </w:hyperlink>
      <w:r>
        <w:t>).</w:t>
      </w:r>
      <w:r/>
    </w:p>
    <w:p>
      <w:pPr>
        <w:pStyle w:val="Heading3"/>
      </w:pPr>
      <w:r>
        <w:t xml:space="preserve">3. </w:t>
      </w:r>
      <w:r>
        <w:rPr>
          <w:b/>
        </w:rPr>
        <w:t>Limited Treatment Options</w:t>
      </w:r>
      <w:r/>
    </w:p>
    <w:p>
      <w:r/>
      <w:r>
        <w:t>Despite the development of new antifungal agents, their efficacy is often limited by pharmacokinetic and pharmacodynamic constraints. Immunocompromised patients, in particular, face significant challenges in achieving effective treatment outcomes (</w:t>
      </w:r>
      <w:hyperlink r:id="rId9">
        <w:r>
          <w:rPr>
            <w:color w:val="0000EE"/>
            <w:u w:val="single"/>
          </w:rPr>
          <w:t>TMRC, 2025</w:t>
        </w:r>
      </w:hyperlink>
      <w:r>
        <w:t>).</w:t>
      </w:r>
      <w:r/>
    </w:p>
    <w:p>
      <w:pPr>
        <w:pBdr>
          <w:bottom w:val="single" w:sz="6" w:space="1" w:color="auto"/>
        </w:pBdr>
      </w:pPr>
      <w:r/>
    </w:p>
    <w:p>
      <w:pPr>
        <w:pStyle w:val="Heading2"/>
      </w:pPr>
      <w:r>
        <w:t>Recommendations for Future Research</w:t>
      </w:r>
      <w:r/>
      <w:r/>
    </w:p>
    <w:p>
      <w:pPr>
        <w:pStyle w:val="ListNumber"/>
        <w:spacing w:line="240" w:lineRule="auto"/>
        <w:ind w:left="720"/>
      </w:pPr>
      <w:r/>
      <w:r>
        <w:rPr>
          <w:b/>
        </w:rPr>
        <w:t>Enhance Surveillance Programs</w:t>
      </w:r>
      <w:r>
        <w:t>: Expanding programs like TSARY to include more hospitals and regions can provide a more comprehensive understanding of antifungal resistance trends.</w:t>
      </w:r>
      <w:r/>
    </w:p>
    <w:p>
      <w:pPr>
        <w:pStyle w:val="ListNumber"/>
        <w:spacing w:line="240" w:lineRule="auto"/>
        <w:ind w:left="720"/>
      </w:pPr>
      <w:r/>
      <w:r>
        <w:rPr>
          <w:b/>
        </w:rPr>
        <w:t>Invest in Diagnostic Technologies</w:t>
      </w:r>
      <w:r>
        <w:t>: Developing rapid, cost-effective diagnostic tools should be a priority to improve early detection and treatment.</w:t>
      </w:r>
      <w:r/>
    </w:p>
    <w:p>
      <w:pPr>
        <w:pStyle w:val="ListNumber"/>
        <w:spacing w:line="240" w:lineRule="auto"/>
        <w:ind w:left="720"/>
      </w:pPr>
      <w:r/>
      <w:r>
        <w:rPr>
          <w:b/>
        </w:rPr>
        <w:t>Promote Rational Antifungal Use</w:t>
      </w:r>
      <w:r>
        <w:t>: Educational campaigns and guidelines on antifungal stewardship can help mitigate resistance development.</w:t>
      </w:r>
      <w:r/>
    </w:p>
    <w:p>
      <w:pPr>
        <w:pStyle w:val="ListNumber"/>
        <w:spacing w:line="240" w:lineRule="auto"/>
        <w:ind w:left="720"/>
      </w:pPr>
      <w:r/>
      <w:r>
        <w:rPr>
          <w:b/>
        </w:rPr>
        <w:t>Foster International Collaboration</w:t>
      </w:r>
      <w:r>
        <w:t>: Sharing data and resources with global institutions can accelerate advancements in fungal research.</w:t>
      </w:r>
      <w:r/>
      <w:r/>
    </w:p>
    <w:p>
      <w:pPr>
        <w:pBdr>
          <w:bottom w:val="single" w:sz="6" w:space="1" w:color="auto"/>
        </w:pBdr>
      </w:pPr>
      <w:r/>
    </w:p>
    <w:p>
      <w:pPr>
        <w:pStyle w:val="Heading2"/>
      </w:pPr>
      <w:r>
        <w:t>Conclusion</w:t>
      </w:r>
      <w:r/>
    </w:p>
    <w:p>
      <w:r/>
      <w:r>
        <w:t>Fungal infections remain a critical public health challenge, particularly in the face of rising antifungal resistance and diagnostic limitations. Taiwan's contributions, through institutions like TMRC and Taipei Veterans General Hospital, have been instrumental in advancing our understanding of fungal pathogens and their management. However, addressing the challenges of underdiagnosis, resistance, and limited treatment options will require sustained efforts and international collaboration. The integration of AI and other innovative technologies holds promise for transforming fungal diagnostics and treatment in the coming years.</w:t>
      </w:r>
      <w:r/>
    </w:p>
    <w:p>
      <w:pPr>
        <w:pBdr>
          <w:bottom w:val="single" w:sz="6" w:space="1" w:color="auto"/>
        </w:pBdr>
      </w:pPr>
      <w:r/>
    </w:p>
    <w:p>
      <w:pPr>
        <w:pStyle w:val="Heading2"/>
      </w:pPr>
      <w:r>
        <w:t>References</w:t>
      </w:r>
      <w:r/>
      <w:r/>
    </w:p>
    <w:p>
      <w:pPr>
        <w:pStyle w:val="ListNumber"/>
        <w:spacing w:line="240" w:lineRule="auto"/>
        <w:ind w:left="720"/>
      </w:pPr>
      <w:r/>
      <w:r>
        <w:t xml:space="preserve">Taiwan Mycology Reference Center. (2025). Taiwan Mycology Reference Center. </w:t>
      </w:r>
      <w:hyperlink r:id="rId9">
        <w:r>
          <w:rPr>
            <w:color w:val="0000EE"/>
            <w:u w:val="single"/>
          </w:rPr>
          <w:t>https://mycology.nhri.edu.tw/</w:t>
        </w:r>
      </w:hyperlink>
      <w:r/>
    </w:p>
    <w:p>
      <w:pPr>
        <w:pStyle w:val="ListNumber"/>
        <w:spacing w:line="240" w:lineRule="auto"/>
        <w:ind w:left="720"/>
      </w:pPr>
      <w:r/>
      <w:r>
        <w:t xml:space="preserve">Taiwan Medical Mycology Training Network. (2025). Taiwan MMTN. </w:t>
      </w:r>
      <w:hyperlink r:id="rId11">
        <w:r>
          <w:rPr>
            <w:color w:val="0000EE"/>
            <w:u w:val="single"/>
          </w:rPr>
          <w:t>http://taiwanmmtn.org/</w:t>
        </w:r>
      </w:hyperlink>
      <w:r/>
    </w:p>
    <w:p>
      <w:pPr>
        <w:pStyle w:val="ListNumber"/>
        <w:spacing w:line="240" w:lineRule="auto"/>
        <w:ind w:left="720"/>
      </w:pPr>
      <w:r/>
      <w:r>
        <w:t xml:space="preserve">Taipei Veterans General Hospital. (2025). Journal Publications. </w:t>
      </w:r>
      <w:hyperlink r:id="rId10">
        <w:r>
          <w:rPr>
            <w:color w:val="0000EE"/>
            <w:u w:val="single"/>
          </w:rPr>
          <w:t>https://wd.vghtpe.gov.tw/inf/Fpage.action?muid=14916&amp;fid=13659</w:t>
        </w:r>
      </w:hyperlink>
      <w:r/>
    </w:p>
    <w:p>
      <w:pPr>
        <w:pStyle w:val="ListNumber"/>
        <w:spacing w:line="240" w:lineRule="auto"/>
        <w:ind w:left="720"/>
      </w:pPr>
      <w:r/>
      <w:r>
        <w:t xml:space="preserve">Qiita. (2024). Arxiv Paper Rankings. </w:t>
      </w:r>
      <w:hyperlink r:id="rId12">
        <w:r>
          <w:rPr>
            <w:color w:val="0000EE"/>
            <w:u w:val="single"/>
          </w:rPr>
          <w:t>https://qiita.com/compassinai/items/d497e2885cd7e7b9ba59</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mycology.nhri.edu.tw/" TargetMode="External"/><Relationship Id="rId10" Type="http://schemas.openxmlformats.org/officeDocument/2006/relationships/hyperlink" Target="https://wd.vghtpe.gov.tw/inf/Fpage.action?muid=14916&amp;fid=13659" TargetMode="External"/><Relationship Id="rId11" Type="http://schemas.openxmlformats.org/officeDocument/2006/relationships/hyperlink" Target="http://taiwanmmtn.org/" TargetMode="External"/><Relationship Id="rId12" Type="http://schemas.openxmlformats.org/officeDocument/2006/relationships/hyperlink" Target="https://qiita.com/compassinai/items/d497e2885cd7e7b9ba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