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rPr>
          <w:b/>
          <w:sz w:val="36"/>
          <w:szCs w:val="36"/>
        </w:rPr>
        <w:t xml:space="preserve">Northwind Freight</w:t>
      </w:r>
    </w:p>
    <w:p>
      <w:pPr>
        <w:pStyle w:val="Heading2"/>
        <w:outlineLvl w:val="1"/>
      </w:pPr>
      <w:r>
        <w:rPr>
          <w:b/>
          <w:sz w:val="28"/>
          <w:szCs w:val="28"/>
        </w:rPr>
        <w:t xml:space="preserve">Delivery confirmation — order 48291</w:t>
      </w:r>
    </w:p>
    <w:p>
      <w:r>
        <w:t xml:space="preserve">6 September 2026</w:t>
      </w:r>
    </w:p>
    <w:p>
      <w:r>
        <w:t xml:space="preserve">To: operations desk, Duisburg terminal.</w:t>
      </w:r>
    </w:p>
    <w:p>
      <w:r>
        <w:t xml:space="preserve">The shipment left Busan on 4 September and is booked on the 11 September rail window. This is a flow document: one convert, three hashes, </w:t>
      </w:r>
      <w:r>
        <w:rPr>
          <w:b/>
        </w:rPr>
        <w:t xml:space="preserve">GPU-free</w:t>
      </w:r>
      <w:r>
        <w:t xml:space="preserve">. Run it twice with the same fonts and the PDF/A bytes match </w:t>
      </w:r>
      <w:r>
        <w:rPr>
          <w:i/>
        </w:rPr>
        <w:t xml:space="preserve">byte-for-byte</w:t>
      </w:r>
      <w:r>
        <w:t xml:space="preserve">. Agents </w:t>
      </w:r>
      <w:r>
        <w:rPr>
          <w:strike/>
        </w:rPr>
        <w:t xml:space="preserve">guess</w:t>
      </w:r>
      <w:r>
        <w:t xml:space="preserve">.</w:t>
      </w:r>
    </w:p>
    <w:p>
      <w:pPr>
        <w:pStyle w:val="Quote"/>
        <w:pBdr>
          <w:left w:val="single" w:sz="24" w:space="4" w:color="134E4A"/>
        </w:pBdr>
      </w:pPr>
      <w:r>
        <w:t xml:space="preserve">Replay is evidence. Same fonts, same bytes.</w:t>
      </w:r>
    </w:p>
    <w:tbl>
      <w:tblPr/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Hop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Proof</w:t>
            </w:r>
          </w:p>
        </w:tc>
      </w:tr>
      <w:tr>
        <w:tc>
          <w:tcPr>
            <w:tcW w:w="2000" w:type="dxa"/>
          </w:tcPr>
          <w:p>
            <w:r>
              <w:t xml:space="preserve">Input</w:t>
            </w:r>
          </w:p>
        </w:tc>
        <w:tc>
          <w:tcPr>
            <w:tcW w:w="2000" w:type="dxa"/>
          </w:tcPr>
          <w:p>
            <w:r>
              <w:t xml:space="preserve">letter.md</w:t>
            </w:r>
          </w:p>
        </w:tc>
        <w:tc>
          <w:tcPr>
            <w:tcW w:w="2000" w:type="dxa"/>
          </w:tcPr>
          <w:p>
            <w:r>
              <w:t xml:space="preserve">input SHA-256</w:t>
            </w:r>
          </w:p>
        </w:tc>
      </w:tr>
      <w:tr>
        <w:tc>
          <w:tcPr>
            <w:tcW w:w="2000" w:type="dxa"/>
          </w:tcPr>
          <w:p>
            <w:r>
              <w:t xml:space="preserve">Plan</w:t>
            </w:r>
          </w:p>
        </w:tc>
        <w:tc>
          <w:tcPr>
            <w:tcW w:w="2000" w:type="dxa"/>
          </w:tcPr>
          <w:p>
            <w:r>
              <w:t xml:space="preserve">layout i32 @ 1/7200 in</w:t>
            </w:r>
          </w:p>
        </w:tc>
        <w:tc>
          <w:tcPr>
            <w:tcW w:w="2000" w:type="dxa"/>
          </w:tcPr>
          <w:p>
            <w:r>
              <w:t xml:space="preserve">plan SHA-256</w:t>
            </w:r>
          </w:p>
        </w:tc>
      </w:tr>
      <w:tr>
        <w:tc>
          <w:tcPr>
            <w:tcW w:w="2000" w:type="dxa"/>
          </w:tcPr>
          <w:p>
            <w:r>
              <w:t xml:space="preserve">Output</w:t>
            </w:r>
          </w:p>
        </w:tc>
        <w:tc>
          <w:tcPr>
            <w:tcW w:w="2000" w:type="dxa"/>
          </w:tcPr>
          <w:p>
            <w:r>
              <w:t xml:space="preserve">PDF/A · HTML · ODT</w:t>
            </w:r>
          </w:p>
        </w:tc>
        <w:tc>
          <w:tcPr>
            <w:tcW w:w="2000" w:type="dxa"/>
          </w:tcPr>
          <w:p>
            <w:r>
              <w:t xml:space="preserve">output SHA-256</w:t>
            </w:r>
          </w:p>
        </w:tc>
      </w:tr>
    </w:tbl>
    <w:p>
      <w:r>
        <w:t xml:space="preserve">Please confirm before 09:00 local:</w:t>
      </w:r>
    </w:p>
    <w:p>
      <w:pPr>
        <w:numPr>
          <w:ilvl w:val="0"/>
          <w:numId w:val="1"/>
        </w:numPr>
      </w:pPr>
      <w:r>
        <w:t xml:space="preserve">Receiving dock is clear</w:t>
      </w:r>
    </w:p>
    <w:p>
      <w:pPr>
        <w:numPr>
          <w:ilvl w:val="1"/>
          <w:numId w:val="1"/>
        </w:numPr>
      </w:pPr>
      <w:r>
        <w:t xml:space="preserve">Bay 4, not bay 2</w:t>
      </w:r>
    </w:p>
    <w:p>
      <w:pPr>
        <w:numPr>
          <w:ilvl w:val="0"/>
          <w:numId w:val="1"/>
        </w:numPr>
      </w:pPr>
      <w:r>
        <w:t xml:space="preserve">Capsule hashes travel with the files</w:t>
      </w:r>
    </w:p>
    <w:p>
      <w:pPr>
        <w:numPr>
          <w:ilvl w:val="0"/>
          <w:numId w:val="1"/>
        </w:numPr>
      </w:pPr>
      <w:r>
        <w:t xml:space="preserve">Replay the convert instead of hoping</w:t>
      </w:r>
    </w:p>
    <w:p>
      <w:r>
        <w:t xml:space="preserve">Agent replay:</w:t>
      </w:r>
    </w:p>
    <w:p>
      <w:pPr>
        <w:numPr>
          <w:ilvl w:val="0"/>
          <w:numId w:val="2"/>
        </w:numPr>
      </w:pPr>
      <w:r>
        <w:t xml:space="preserve">Hash the input</w:t>
      </w:r>
    </w:p>
    <w:p>
      <w:pPr>
        <w:numPr>
          <w:ilvl w:val="0"/>
          <w:numId w:val="2"/>
        </w:numPr>
      </w:pPr>
      <w:r>
        <w:t xml:space="preserve">Run Convert</w:t>
      </w:r>
    </w:p>
    <w:p>
      <w:pPr>
        <w:numPr>
          <w:ilvl w:val="1"/>
          <w:numId w:val="1"/>
        </w:numPr>
      </w:pPr>
      <w:r>
        <w:t xml:space="preserve">PDF/A</w:t>
      </w:r>
    </w:p>
    <w:p>
      <w:pPr>
        <w:numPr>
          <w:ilvl w:val="1"/>
          <w:numId w:val="1"/>
        </w:numPr>
      </w:pPr>
      <w:r>
        <w:t xml:space="preserve">HTML</w:t>
      </w:r>
    </w:p>
    <w:p>
      <w:pPr>
        <w:numPr>
          <w:ilvl w:val="0"/>
          <w:numId w:val="2"/>
        </w:numPr>
      </w:pPr>
      <w:r>
        <w:t xml:space="preserve">Compare the capsule</w:t>
      </w:r>
    </w:p>
    <w:p>
      <w:hyperlink r:id="rId3">
        <w:r>
          <w:rPr>
            <w:u w:val="single"/>
          </w:rPr>
          <w:t xml:space="preserve">DocAgent</w:t>
        </w:r>
      </w:hyperlink>
      <w:r>
        <w:t xml:space="preserve"> runtime — DOCX · ODT · Markdown · HTML · PDF/A</w:t>
      </w:r>
    </w:p>
    <w:sectPr>
      <w:pgSz w:w="11905" w:h="16837" w:orient="portrait"/>
      <w:pgMar w:top="1700" w:right="1700" w:bottom="1700" w:left="1700" w:header="850" w:footer="85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uiPriority w:val="9"/>
    <w:qFormat/>
    <w:pPr>
      <w:outlineLvl w:val="0"/>
    </w:pPr>
    <w:rPr>
      <w:b/>
      <w:sz w:val="36"/>
      <w:szCs w:val="36"/>
    </w:rPr>
  </w:style>
  <w:style w:type="paragraph" w:styleId="Heading2">
    <w:name w:val="heading 2"/>
    <w:basedOn w:val="Normal"/>
    <w:uiPriority w:val="9"/>
    <w:qFormat/>
    <w:pPr>
      <w:outlineLvl w:val="1"/>
    </w:pPr>
    <w:rPr>
      <w:b/>
      <w:sz w:val="28"/>
      <w:szCs w:val="28"/>
    </w:rPr>
  </w:style>
  <w:style w:type="paragraph" w:styleId="Heading3">
    <w:name w:val="heading 3"/>
    <w:basedOn w:val="Normal"/>
    <w:uiPriority w:val="9"/>
    <w:qFormat/>
    <w:pPr>
      <w:outlineLvl w:val="2"/>
    </w:pPr>
    <w:rPr>
      <w:b/>
      <w:sz w:val="24"/>
      <w:szCs w:val="24"/>
    </w:rPr>
  </w:style>
  <w:style w:type="paragraph" w:styleId="Quote">
    <w:name w:val="Quote"/>
    <w:basedOn w:val="Normal"/>
    <w:qFormat/>
    <w:pPr>
      <w:pBdr>
        <w:left w:val="single" w:sz="24" w:space="4" w:color="134E4A"/>
      </w:pBdr>
      <w:ind w:left="144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kevin9327/docagent" TargetMode="External"/></Relationships>
</file>