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it twice with the same fonts and the PDF/A bytes match </w:t>
      </w:r>
      <w:r>
        <w:rPr>
          <w:i/>
        </w:rPr>
        <w:t xml:space="preserve">byte-for-byte</w:t>
      </w:r>
      <w:r>
        <w:t xml:space="preserve">.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r>
        <w:t xml:space="preserve">Please confirm before 09:00 local:</w:t>
      </w:r>
    </w:p>
    <w:p>
      <w:pPr>
        <w:numPr>
          <w:ilvl w:val="0"/>
          <w:numId w:val="1"/>
        </w:numPr>
      </w:pPr>
      <w:r>
        <w:t xml:space="preserve">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Capsule hashes travel with the files</w:t>
      </w:r>
    </w:p>
    <w:p>
      <w:pPr>
        <w:numPr>
          <w:ilvl w:val="0"/>
          <w:numId w:val="1"/>
        </w:numPr>
      </w:pPr>
      <w:r>
        <w:t xml:space="preserve">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