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62551C"/>
          <w:sz w:val="24"/>
          <w:szCs w:val="24"/>
        </w:rPr>
        <w:t xml:space="preserve">SENA</w:t>
      </w:r>
    </w:p>
    <w:p>
      <w:pPr>
        <w:spacing w:after="400" w:before="40"/>
        <w:jc w:val="center"/>
      </w:pPr>
      <w:r>
        <w:rPr>
          <w:rFonts w:ascii="Calibri" w:cs="Calibri" w:eastAsia="Calibri" w:hAnsi="Calibri"/>
          <w:i/>
          <w:iCs/>
          <w:color w:val="595959"/>
          <w:sz w:val="20"/>
          <w:szCs w:val="20"/>
        </w:rPr>
        <w:t xml:space="preserve">Servicio Nacional de Aprendizaje</w:t>
      </w:r>
    </w:p>
    <w:p>
      <w:pPr>
        <w:spacing w:after="200" w:before="800"/>
        <w:jc w:val="center"/>
      </w:pPr>
      <w:r>
        <w:rPr>
          <w:rFonts w:ascii="Calibri" w:cs="Calibri" w:eastAsia="Calibri" w:hAnsi="Calibri"/>
          <w:b/>
          <w:bCs/>
          <w:color w:val="62551C"/>
          <w:sz w:val="34"/>
          <w:szCs w:val="34"/>
        </w:rPr>
        <w:t xml:space="preserve">ESTUDIO DE COSTOS E INFRAESTRUCTURA TECNOLÓGICA</w:t>
      </w:r>
    </w:p>
    <w:p>
      <w:pPr>
        <w:spacing w:after="100" w:before="100"/>
        <w:jc w:val="center"/>
      </w:pPr>
      <w:r>
        <w:rPr>
          <w:rFonts w:ascii="Calibri" w:cs="Calibri" w:eastAsia="Calibri" w:hAnsi="Calibri"/>
          <w:b/>
          <w:bCs/>
          <w:color w:val="62551C"/>
          <w:sz w:val="46"/>
          <w:szCs w:val="46"/>
        </w:rPr>
        <w:t xml:space="preserve">LOGISTICARGO SYSTEM</w:t>
      </w:r>
    </w:p>
    <w:p>
      <w:pPr>
        <w:spacing w:after="900" w:before="100"/>
        <w:jc w:val="center"/>
      </w:pPr>
      <w:r>
        <w:rPr>
          <w:rFonts w:ascii="Calibri" w:cs="Calibri" w:eastAsia="Calibri" w:hAnsi="Calibri"/>
          <w:i/>
          <w:iCs/>
          <w:color w:val="595959"/>
          <w:sz w:val="22"/>
          <w:szCs w:val="22"/>
        </w:rPr>
        <w:t xml:space="preserve">Sistema web para la gestión de mudanzas — Mudanzas Sharon</w:t>
      </w:r>
    </w:p>
    <w:p>
      <w:pPr>
        <w:spacing w:after="60" w:before="200"/>
        <w:jc w:val="center"/>
      </w:pPr>
      <w:r>
        <w:rPr>
          <w:rFonts w:ascii="Calibri" w:cs="Calibri" w:eastAsia="Calibri" w:hAnsi="Calibri"/>
          <w:b/>
          <w:bCs/>
          <w:color w:val="62551C"/>
          <w:sz w:val="22"/>
          <w:szCs w:val="22"/>
        </w:rPr>
        <w:t xml:space="preserve">Elaborado por:</w:t>
      </w:r>
    </w:p>
    <w:p>
      <w:pPr>
        <w:spacing w:after="20" w:before="20"/>
        <w:jc w:val="center"/>
      </w:pPr>
      <w:r>
        <w:rPr>
          <w:rFonts w:ascii="Calibri" w:cs="Calibri" w:eastAsia="Calibri" w:hAnsi="Calibri"/>
          <w:color w:val="1A1A1A"/>
          <w:sz w:val="21"/>
          <w:szCs w:val="21"/>
        </w:rPr>
        <w:t xml:space="preserve">Grupo N.º 4 — Aprendices Tecnólogo en Análisis y Desarrollo de Software (ADSO)</w:t>
      </w:r>
    </w:p>
    <w:p>
      <w:pPr>
        <w:spacing w:after="20" w:before="20"/>
        <w:jc w:val="center"/>
      </w:pPr>
      <w:r>
        <w:rPr>
          <w:rFonts w:ascii="Calibri" w:cs="Calibri" w:eastAsia="Calibri" w:hAnsi="Calibri"/>
          <w:color w:val="1A1A1A"/>
          <w:sz w:val="21"/>
          <w:szCs w:val="21"/>
        </w:rPr>
        <w:t xml:space="preserve">Etapa lectiva — Servicio Nacional de Aprendizaje (SENA)</w:t>
      </w:r>
    </w:p>
    <w:p>
      <w:pPr>
        <w:spacing w:after="20" w:before="700"/>
        <w:jc w:val="center"/>
      </w:pPr>
      <w:r>
        <w:rPr>
          <w:rFonts w:ascii="Calibri" w:cs="Calibri" w:eastAsia="Calibri" w:hAnsi="Calibri"/>
          <w:color w:val="595959"/>
          <w:sz w:val="20"/>
          <w:szCs w:val="20"/>
        </w:rPr>
        <w:t xml:space="preserve">Bogotá, Colombia — Julio de 2026</w:t>
      </w:r>
    </w:p>
    <w:p>
      <w:r>
        <w:br w:type="page"/>
      </w:r>
    </w:p>
    <w:p>
      <w:pPr>
        <w:pStyle w:val="Heading1"/>
        <w:pBdr>
          <w:bottom w:val="single" w:color="62551C" w:sz="8" w:space="4"/>
        </w:pBdr>
        <w:spacing w:after="160" w:before="360"/>
      </w:pPr>
      <w:r>
        <w:rPr>
          <w:rFonts w:ascii="Calibri" w:cs="Calibri" w:eastAsia="Calibri" w:hAnsi="Calibri"/>
          <w:b/>
          <w:bCs/>
          <w:color w:val="62551C"/>
          <w:sz w:val="30"/>
          <w:szCs w:val="30"/>
        </w:rPr>
        <w:t xml:space="preserve">1. Introducción</w:t>
      </w:r>
    </w:p>
    <w:p>
      <w:pPr>
        <w:spacing w:after="160"/>
      </w:pPr>
      <w:r>
        <w:rPr>
          <w:rFonts w:ascii="Calibri" w:cs="Calibri" w:eastAsia="Calibri" w:hAnsi="Calibri"/>
          <w:b w:val="false"/>
          <w:bCs w:val="false"/>
          <w:i w:val="false"/>
          <w:iCs w:val="false"/>
          <w:color w:val="1A1A1A"/>
          <w:sz w:val="21"/>
          <w:szCs w:val="21"/>
        </w:rPr>
        <w:t xml:space="preserve">Este documento es el Estudio de Costos e Infraestructura Tecnológica del proyecto LOGISTICARGO SYSTEM, elaborado por el Grupo 4 del programa Análisis y Desarrollo de Software (ADSO) del SENA. Se presenta como parte de la evaluación del proyecto formativo y busca mostrar, con fuentes que se pueden verificar, cómo se calculó el costo real del proyecto.</w:t>
      </w:r>
    </w:p>
    <w:p>
      <w:pPr>
        <w:spacing w:after="160"/>
      </w:pPr>
      <w:r>
        <w:rPr>
          <w:rFonts w:ascii="Calibri" w:cs="Calibri" w:eastAsia="Calibri" w:hAnsi="Calibri"/>
          <w:b w:val="false"/>
          <w:bCs w:val="false"/>
          <w:i w:val="false"/>
          <w:iCs w:val="false"/>
          <w:color w:val="1A1A1A"/>
          <w:sz w:val="21"/>
          <w:szCs w:val="21"/>
        </w:rPr>
        <w:t xml:space="preserve">LOGISTICARGO SYSTEM es una plataforma web pensada para digitalizar y mejorar los procesos operativos y administrativos de Mudanzas Sharon, una empresa de mudanzas que hoy en día maneja su operación de forma manual.</w:t>
      </w:r>
    </w:p>
    <w:p>
      <w:pPr>
        <w:spacing w:after="160"/>
      </w:pPr>
      <w:r>
        <w:rPr>
          <w:rFonts w:ascii="Calibri" w:cs="Calibri" w:eastAsia="Calibri" w:hAnsi="Calibri"/>
          <w:b w:val="false"/>
          <w:bCs w:val="false"/>
          <w:i w:val="false"/>
          <w:iCs w:val="false"/>
          <w:color w:val="1A1A1A"/>
          <w:sz w:val="21"/>
          <w:szCs w:val="21"/>
        </w:rPr>
        <w:t xml:space="preserve">El equipo investigó los costos reales de hardware, software, infraestructura de servidores, servicios en la nube, dominios y recurso humano, usando solo fuentes verificables con URL y fecha de consulta. Todos los valores están en Pesos Colombianos (COP) y corresponden a precios vigentes en 2026, salvo cuando se indique lo contrario (algunos servicios en la nube se cotizan en dólares porque así los publica el proveedor).</w:t>
      </w:r>
    </w:p>
    <w:p>
      <w:pPr>
        <w:pStyle w:val="Heading1"/>
        <w:pBdr>
          <w:bottom w:val="single" w:color="62551C" w:sz="8" w:space="4"/>
        </w:pBdr>
        <w:spacing w:after="160" w:before="360"/>
      </w:pPr>
      <w:r>
        <w:rPr>
          <w:rFonts w:ascii="Calibri" w:cs="Calibri" w:eastAsia="Calibri" w:hAnsi="Calibri"/>
          <w:b/>
          <w:bCs/>
          <w:color w:val="62551C"/>
          <w:sz w:val="30"/>
          <w:szCs w:val="30"/>
        </w:rPr>
        <w:t xml:space="preserve">2. Objetivo del Estudio de Costos</w:t>
      </w:r>
    </w:p>
    <w:p>
      <w:pPr>
        <w:spacing w:after="160"/>
      </w:pPr>
      <w:r>
        <w:rPr>
          <w:rFonts w:ascii="Calibri" w:cs="Calibri" w:eastAsia="Calibri" w:hAnsi="Calibri"/>
          <w:b w:val="false"/>
          <w:bCs w:val="false"/>
          <w:i w:val="false"/>
          <w:iCs w:val="false"/>
          <w:color w:val="1A1A1A"/>
          <w:sz w:val="21"/>
          <w:szCs w:val="21"/>
        </w:rPr>
        <w:t xml:space="preserve">El objetivo principal de este estudio es determinar el costo total del proyecto LOGISTICARGO SYSTEM por medio de:</w:t>
      </w:r>
    </w:p>
    <w:p>
      <w:pPr>
        <w:pStyle w:val="ListParagraph"/>
        <w:numPr>
          <w:ilvl w:val="0"/>
          <w:numId w:val="1"/>
        </w:numPr>
        <w:spacing w:after="100"/>
      </w:pPr>
      <w:r>
        <w:rPr>
          <w:rFonts w:ascii="Calibri" w:cs="Calibri" w:eastAsia="Calibri" w:hAnsi="Calibri"/>
          <w:b w:val="false"/>
          <w:bCs w:val="false"/>
          <w:color w:val="1A1A1A"/>
          <w:sz w:val="21"/>
          <w:szCs w:val="21"/>
        </w:rPr>
        <w:t xml:space="preserve">La elaboración de fichas técnicas de hardware y software con precios de referencia y fuentes verificables.</w:t>
      </w:r>
    </w:p>
    <w:p>
      <w:pPr>
        <w:pStyle w:val="ListParagraph"/>
        <w:numPr>
          <w:ilvl w:val="0"/>
          <w:numId w:val="1"/>
        </w:numPr>
        <w:spacing w:after="100"/>
      </w:pPr>
      <w:r>
        <w:rPr>
          <w:rFonts w:ascii="Calibri" w:cs="Calibri" w:eastAsia="Calibri" w:hAnsi="Calibri"/>
          <w:b w:val="false"/>
          <w:bCs w:val="false"/>
          <w:color w:val="1A1A1A"/>
          <w:sz w:val="21"/>
          <w:szCs w:val="21"/>
        </w:rPr>
        <w:t xml:space="preserve">La descripción de la arquitectura del sistema, identificando claramente cada componente.</w:t>
      </w:r>
    </w:p>
    <w:p>
      <w:pPr>
        <w:pStyle w:val="ListParagraph"/>
        <w:numPr>
          <w:ilvl w:val="0"/>
          <w:numId w:val="1"/>
        </w:numPr>
        <w:spacing w:after="100"/>
      </w:pPr>
      <w:r>
        <w:rPr>
          <w:rFonts w:ascii="Calibri" w:cs="Calibri" w:eastAsia="Calibri" w:hAnsi="Calibri"/>
          <w:b w:val="false"/>
          <w:bCs w:val="false"/>
          <w:color w:val="1A1A1A"/>
          <w:sz w:val="21"/>
          <w:szCs w:val="21"/>
        </w:rPr>
        <w:t xml:space="preserve">La comparación de modelos de servicios en la nube (FaaS, BaaS y CaaS) y de servidor local frente a servidor en la nube.</w:t>
      </w:r>
    </w:p>
    <w:p>
      <w:pPr>
        <w:pStyle w:val="ListParagraph"/>
        <w:numPr>
          <w:ilvl w:val="0"/>
          <w:numId w:val="1"/>
        </w:numPr>
        <w:spacing w:after="100"/>
      </w:pPr>
      <w:r>
        <w:rPr>
          <w:rFonts w:ascii="Calibri" w:cs="Calibri" w:eastAsia="Calibri" w:hAnsi="Calibri"/>
          <w:b w:val="false"/>
          <w:bCs w:val="false"/>
          <w:color w:val="1A1A1A"/>
          <w:sz w:val="21"/>
          <w:szCs w:val="21"/>
        </w:rPr>
        <w:t xml:space="preserve">El análisis comparativo de al menos tres proveedores de hosting y tres proveedores de dominio.</w:t>
      </w:r>
    </w:p>
    <w:p>
      <w:pPr>
        <w:pStyle w:val="ListParagraph"/>
        <w:numPr>
          <w:ilvl w:val="0"/>
          <w:numId w:val="1"/>
        </w:numPr>
        <w:spacing w:after="100"/>
      </w:pPr>
      <w:r>
        <w:rPr>
          <w:rFonts w:ascii="Calibri" w:cs="Calibri" w:eastAsia="Calibri" w:hAnsi="Calibri"/>
          <w:b w:val="false"/>
          <w:bCs w:val="false"/>
          <w:color w:val="1A1A1A"/>
          <w:sz w:val="21"/>
          <w:szCs w:val="21"/>
        </w:rPr>
        <w:t xml:space="preserve">La definición de los equipos que la empresa debería adquirir para usar correctamente el sistema, comparando varias opciones reales del mercado.</w:t>
      </w:r>
    </w:p>
    <w:p>
      <w:pPr>
        <w:pStyle w:val="ListParagraph"/>
        <w:numPr>
          <w:ilvl w:val="0"/>
          <w:numId w:val="1"/>
        </w:numPr>
        <w:spacing w:after="100"/>
      </w:pPr>
      <w:r>
        <w:rPr>
          <w:rFonts w:ascii="Calibri" w:cs="Calibri" w:eastAsia="Calibri" w:hAnsi="Calibri"/>
          <w:b w:val="false"/>
          <w:bCs w:val="false"/>
          <w:color w:val="1A1A1A"/>
          <w:sz w:val="21"/>
          <w:szCs w:val="21"/>
        </w:rPr>
        <w:t xml:space="preserve">El estudio del recurso humano: tiempo y costos calculados paso a paso.</w:t>
      </w:r>
    </w:p>
    <w:p>
      <w:pPr>
        <w:pStyle w:val="ListParagraph"/>
        <w:numPr>
          <w:ilvl w:val="0"/>
          <w:numId w:val="1"/>
        </w:numPr>
        <w:spacing w:after="100"/>
      </w:pPr>
      <w:r>
        <w:rPr>
          <w:rFonts w:ascii="Calibri" w:cs="Calibri" w:eastAsia="Calibri" w:hAnsi="Calibri"/>
          <w:b w:val="false"/>
          <w:bCs w:val="false"/>
          <w:color w:val="1A1A1A"/>
          <w:sz w:val="21"/>
          <w:szCs w:val="21"/>
        </w:rPr>
        <w:t xml:space="preserve">La consolidación de un resumen financiero con costos directos, indirectos, tecnológicos y el costo total del proyecto.</w:t>
      </w:r>
    </w:p>
    <w:p>
      <w:pPr>
        <w:pStyle w:val="Heading1"/>
        <w:pBdr>
          <w:bottom w:val="single" w:color="62551C" w:sz="8" w:space="4"/>
        </w:pBdr>
        <w:spacing w:after="160" w:before="360"/>
      </w:pPr>
      <w:r>
        <w:rPr>
          <w:rFonts w:ascii="Calibri" w:cs="Calibri" w:eastAsia="Calibri" w:hAnsi="Calibri"/>
          <w:b/>
          <w:bCs/>
          <w:color w:val="62551C"/>
          <w:sz w:val="30"/>
          <w:szCs w:val="30"/>
        </w:rPr>
        <w:t xml:space="preserve">3. Arquitectura del Sistema</w:t>
      </w:r>
    </w:p>
    <w:p>
      <w:pPr>
        <w:spacing w:after="160"/>
      </w:pPr>
      <w:r>
        <w:rPr>
          <w:rFonts w:ascii="Calibri" w:cs="Calibri" w:eastAsia="Calibri" w:hAnsi="Calibri"/>
          <w:b w:val="false"/>
          <w:bCs w:val="false"/>
          <w:i w:val="false"/>
          <w:iCs w:val="false"/>
          <w:color w:val="1A1A1A"/>
          <w:sz w:val="21"/>
          <w:szCs w:val="21"/>
        </w:rPr>
        <w:t xml:space="preserve">La arquitectura describe cómo se comunican los diferentes componentes de LOGISTICARGO SYSTEM. Se utiliza una arquitectura web cliente-servidor en 3 capas, que es la más común para aplicaciones web y coincide con el stack tecnológico real del equipo (HTML, CSS, JavaScript, PHP, MySQL).</w:t>
      </w:r>
    </w:p>
    <w:p>
      <w:pPr>
        <w:pStyle w:val="Heading2"/>
        <w:spacing w:after="120" w:before="260"/>
      </w:pPr>
      <w:r>
        <w:rPr>
          <w:rFonts w:ascii="Calibri" w:cs="Calibri" w:eastAsia="Calibri" w:hAnsi="Calibri"/>
          <w:b/>
          <w:bCs/>
          <w:color w:val="62551C"/>
          <w:sz w:val="25"/>
          <w:szCs w:val="25"/>
        </w:rPr>
        <w:t xml:space="preserve">3.1 Descripción sencilla del flujo</w:t>
      </w:r>
    </w:p>
    <w:p>
      <w:pPr>
        <w:pStyle w:val="ListParagraph"/>
        <w:numPr>
          <w:ilvl w:val="0"/>
          <w:numId w:val="1"/>
        </w:numPr>
        <w:spacing w:after="100"/>
      </w:pPr>
      <w:r>
        <w:rPr>
          <w:rFonts w:ascii="Calibri" w:cs="Calibri" w:eastAsia="Calibri" w:hAnsi="Calibri"/>
          <w:b w:val="false"/>
          <w:bCs w:val="false"/>
          <w:color w:val="1A1A1A"/>
          <w:sz w:val="21"/>
          <w:szCs w:val="21"/>
        </w:rPr>
        <w:t xml:space="preserve">El usuario (administrador, conductor o cliente) abre su navegador web y escribe la dirección del sistema (logisticargosystem.com). Este es el componente Cliente.</w:t>
      </w:r>
    </w:p>
    <w:p>
      <w:pPr>
        <w:pStyle w:val="ListParagraph"/>
        <w:numPr>
          <w:ilvl w:val="0"/>
          <w:numId w:val="1"/>
        </w:numPr>
        <w:spacing w:after="100"/>
      </w:pPr>
      <w:r>
        <w:rPr>
          <w:rFonts w:ascii="Calibri" w:cs="Calibri" w:eastAsia="Calibri" w:hAnsi="Calibri"/>
          <w:b w:val="false"/>
          <w:bCs w:val="false"/>
          <w:color w:val="1A1A1A"/>
          <w:sz w:val="21"/>
          <w:szCs w:val="21"/>
        </w:rPr>
        <w:t xml:space="preserve">La solicitud viaja por Internet hasta el Servidor de Hosting, donde está alojada la aplicación.</w:t>
      </w:r>
    </w:p>
    <w:p>
      <w:pPr>
        <w:pStyle w:val="ListParagraph"/>
        <w:numPr>
          <w:ilvl w:val="0"/>
          <w:numId w:val="1"/>
        </w:numPr>
        <w:spacing w:after="100"/>
      </w:pPr>
      <w:r>
        <w:rPr>
          <w:rFonts w:ascii="Calibri" w:cs="Calibri" w:eastAsia="Calibri" w:hAnsi="Calibri"/>
          <w:b w:val="false"/>
          <w:bCs w:val="false"/>
          <w:color w:val="1A1A1A"/>
          <w:sz w:val="21"/>
          <w:szCs w:val="21"/>
        </w:rPr>
        <w:t xml:space="preserve">El componente Aplicación (código PHP que corre en el servidor) procesa la solicitud y, si es necesario, consulta el componente Base de Datos (MySQL).</w:t>
      </w:r>
    </w:p>
    <w:p>
      <w:pPr>
        <w:pStyle w:val="ListParagraph"/>
        <w:numPr>
          <w:ilvl w:val="0"/>
          <w:numId w:val="1"/>
        </w:numPr>
        <w:spacing w:after="100"/>
      </w:pPr>
      <w:r>
        <w:rPr>
          <w:rFonts w:ascii="Calibri" w:cs="Calibri" w:eastAsia="Calibri" w:hAnsi="Calibri"/>
          <w:b w:val="false"/>
          <w:bCs w:val="false"/>
          <w:color w:val="1A1A1A"/>
          <w:sz w:val="21"/>
          <w:szCs w:val="21"/>
        </w:rPr>
        <w:t xml:space="preserve">El servidor devuelve la respuesta al navegador del usuario con la página HTML ya construida.</w:t>
      </w:r>
    </w:p>
    <w:p>
      <w:pPr>
        <w:pStyle w:val="ListParagraph"/>
        <w:numPr>
          <w:ilvl w:val="0"/>
          <w:numId w:val="1"/>
        </w:numPr>
        <w:spacing w:after="100"/>
      </w:pPr>
      <w:r>
        <w:rPr>
          <w:rFonts w:ascii="Calibri" w:cs="Calibri" w:eastAsia="Calibri" w:hAnsi="Calibri"/>
          <w:b w:val="false"/>
          <w:bCs w:val="false"/>
          <w:color w:val="1A1A1A"/>
          <w:sz w:val="21"/>
          <w:szCs w:val="21"/>
        </w:rPr>
        <w:t xml:space="preserve">El usuario ve los datos en pantalla y puede interactuar con el sistema. Cuando el módulo de GPS lo requiere, la Aplicación también se comunica con el Servicio Externo de mapas (OpenStreetMap + Leaflet).</w:t>
      </w:r>
    </w:p>
    <w:p>
      <w:pPr>
        <w:pStyle w:val="Heading2"/>
        <w:spacing w:after="120" w:before="260"/>
      </w:pPr>
      <w:r>
        <w:rPr>
          <w:rFonts w:ascii="Calibri" w:cs="Calibri" w:eastAsia="Calibri" w:hAnsi="Calibri"/>
          <w:b/>
          <w:bCs/>
          <w:color w:val="62551C"/>
          <w:sz w:val="25"/>
          <w:szCs w:val="25"/>
        </w:rPr>
        <w:t xml:space="preserve">3.2 Componentes de la arquitectura (identificados)</w:t>
      </w:r>
    </w:p>
    <w:tbl>
      <w:tblPr>
        <w:tblW w:type="dxa" w:w="9350"/>
        <w:tblBorders>
          <w:top w:val="single" w:color="C9BBA0" w:sz="4"/>
          <w:left w:val="single" w:color="C9BBA0" w:sz="4"/>
          <w:bottom w:val="single" w:color="C9BBA0" w:sz="4"/>
          <w:right w:val="single" w:color="C9BBA0" w:sz="4"/>
          <w:insideH w:val="single" w:color="auto" w:sz="4"/>
          <w:insideV w:val="single" w:color="auto" w:sz="4"/>
        </w:tblBorders>
      </w:tblPr>
      <w:tblGrid>
        <w:gridCol w:w="2100"/>
        <w:gridCol w:w="1500"/>
        <w:gridCol w:w="4300"/>
        <w:gridCol w:w="1450"/>
      </w:tblGrid>
      <w:tr>
        <w:trPr>
          <w:tblHeader/>
        </w:trPr>
        <w:tc>
          <w:tcPr>
            <w:tcW w:type="dxa" w:w="21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Componente</w:t>
            </w:r>
          </w:p>
        </w:tc>
        <w:tc>
          <w:tcPr>
            <w:tcW w:type="dxa" w:w="15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Tipo</w:t>
            </w:r>
          </w:p>
        </w:tc>
        <w:tc>
          <w:tcPr>
            <w:tcW w:type="dxa" w:w="43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Descripción</w:t>
            </w:r>
          </w:p>
        </w:tc>
        <w:tc>
          <w:tcPr>
            <w:tcW w:type="dxa" w:w="145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Tecnología</w:t>
            </w:r>
          </w:p>
        </w:tc>
      </w:tr>
      <w:tr>
        <w:tc>
          <w:tcPr>
            <w:tcW w:type="dxa" w:w="21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Cliente (navegador web)</w:t>
            </w:r>
          </w:p>
        </w:tc>
        <w:tc>
          <w:tcPr>
            <w:tcW w:type="dxa" w:w="15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Cliente</w:t>
            </w:r>
          </w:p>
        </w:tc>
        <w:tc>
          <w:tcPr>
            <w:tcW w:type="dxa" w:w="43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Dispositivo del usuario (administrador, conductor o cliente) desde donde se accede al sistema mediante un navegador.</w:t>
            </w:r>
          </w:p>
        </w:tc>
        <w:tc>
          <w:tcPr>
            <w:tcW w:type="dxa" w:w="14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HTML5, CSS3, JavaScript (frontend)</w:t>
            </w:r>
          </w:p>
        </w:tc>
      </w:tr>
      <w:tr>
        <w:tc>
          <w:tcPr>
            <w:tcW w:type="dxa" w:w="21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Equipos del equipo de desarrollo</w:t>
            </w:r>
          </w:p>
        </w:tc>
        <w:tc>
          <w:tcPr>
            <w:tcW w:type="dxa" w:w="15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Estación de trabajo</w:t>
            </w:r>
          </w:p>
        </w:tc>
        <w:tc>
          <w:tcPr>
            <w:tcW w:type="dxa" w:w="43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4 computadores conectados a Internet, desde donde se escribe y prueba el código antes de subirlo al servidor.</w:t>
            </w:r>
          </w:p>
        </w:tc>
        <w:tc>
          <w:tcPr>
            <w:tcW w:type="dxa" w:w="14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VS Code, Git</w:t>
            </w:r>
          </w:p>
        </w:tc>
      </w:tr>
      <w:tr>
        <w:tc>
          <w:tcPr>
            <w:tcW w:type="dxa" w:w="21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Repositorio de código (GitHub)</w:t>
            </w:r>
          </w:p>
        </w:tc>
        <w:tc>
          <w:tcPr>
            <w:tcW w:type="dxa" w:w="15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Servicio externo</w:t>
            </w:r>
          </w:p>
        </w:tc>
        <w:tc>
          <w:tcPr>
            <w:tcW w:type="dxa" w:w="43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Espacio en la nube donde se guarda y se comparte el código fuente entre los integrantes del equipo.</w:t>
            </w:r>
          </w:p>
        </w:tc>
        <w:tc>
          <w:tcPr>
            <w:tcW w:type="dxa" w:w="14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Git + GitHub (plan gratuito)</w:t>
            </w:r>
          </w:p>
        </w:tc>
      </w:tr>
      <w:tr>
        <w:tc>
          <w:tcPr>
            <w:tcW w:type="dxa" w:w="21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Servidor de aplicación</w:t>
            </w:r>
          </w:p>
        </w:tc>
        <w:tc>
          <w:tcPr>
            <w:tcW w:type="dxa" w:w="15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Servidor / Backend</w:t>
            </w:r>
          </w:p>
        </w:tc>
        <w:tc>
          <w:tcPr>
            <w:tcW w:type="dxa" w:w="43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Procesa la lógica de negocio: valida datos, calcula cotizaciones, gestiona usuarios y coordina las solicitudes entre el cliente y la base de datos.</w:t>
            </w:r>
          </w:p>
        </w:tc>
        <w:tc>
          <w:tcPr>
            <w:tcW w:type="dxa" w:w="14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PHP 8.x sobre Hostinger</w:t>
            </w:r>
          </w:p>
        </w:tc>
      </w:tr>
      <w:tr>
        <w:tc>
          <w:tcPr>
            <w:tcW w:type="dxa" w:w="21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Base de datos</w:t>
            </w:r>
          </w:p>
        </w:tc>
        <w:tc>
          <w:tcPr>
            <w:tcW w:type="dxa" w:w="15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Base de datos</w:t>
            </w:r>
          </w:p>
        </w:tc>
        <w:tc>
          <w:tcPr>
            <w:tcW w:type="dxa" w:w="43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Almacena de forma permanente la información del sistema: usuarios, servicios de mudanza, cotizaciones y ubicaciones.</w:t>
            </w:r>
          </w:p>
        </w:tc>
        <w:tc>
          <w:tcPr>
            <w:tcW w:type="dxa" w:w="14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MySQL 8.x (incluida en el hosting)</w:t>
            </w:r>
          </w:p>
        </w:tc>
      </w:tr>
      <w:tr>
        <w:tc>
          <w:tcPr>
            <w:tcW w:type="dxa" w:w="21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Servicio externo de mapas</w:t>
            </w:r>
          </w:p>
        </w:tc>
        <w:tc>
          <w:tcPr>
            <w:tcW w:type="dxa" w:w="15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Servicio externo (API)</w:t>
            </w:r>
          </w:p>
        </w:tc>
        <w:tc>
          <w:tcPr>
            <w:tcW w:type="dxa" w:w="43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Ubica conductores y calcula rutas para el módulo de GPS, sin depender de la base de datos propia.</w:t>
            </w:r>
          </w:p>
        </w:tc>
        <w:tc>
          <w:tcPr>
            <w:tcW w:type="dxa" w:w="14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OpenStreetMap + Leaflet.js + OSRM</w:t>
            </w:r>
          </w:p>
        </w:tc>
      </w:tr>
      <w:tr>
        <w:tc>
          <w:tcPr>
            <w:tcW w:type="dxa" w:w="21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Dominio</w:t>
            </w:r>
          </w:p>
        </w:tc>
        <w:tc>
          <w:tcPr>
            <w:tcW w:type="dxa" w:w="15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Direccionamiento</w:t>
            </w:r>
          </w:p>
        </w:tc>
        <w:tc>
          <w:tcPr>
            <w:tcW w:type="dxa" w:w="43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Traduce el nombre logisticargosystem.com a la dirección IP real del servidor, para que el sistema sea fácil de recordar y visitar.</w:t>
            </w:r>
          </w:p>
        </w:tc>
        <w:tc>
          <w:tcPr>
            <w:tcW w:type="dxa" w:w="14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Dominio .com</w:t>
            </w:r>
          </w:p>
        </w:tc>
      </w:tr>
    </w:tbl>
    <w:p>
      <w:pPr>
        <w:spacing w:after="60" w:before="40"/>
      </w:pPr>
      <w:r>
        <w:rPr>
          <w:rFonts w:ascii="Calibri" w:cs="Calibri" w:eastAsia="Calibri" w:hAnsi="Calibri"/>
          <w:i/>
          <w:iCs/>
          <w:color w:val="595959"/>
          <w:sz w:val="18"/>
          <w:szCs w:val="18"/>
        </w:rPr>
        <w:t xml:space="preserve">Cada fila identifica el tipo de componente (cliente, servidor, base de datos o servicio externo) para que la arquitectura sea coherente con el funcionamiento real del sistema.</w:t>
      </w:r>
    </w:p>
    <w:p>
      <w:pPr>
        <w:pStyle w:val="Heading2"/>
        <w:spacing w:after="120" w:before="260"/>
      </w:pPr>
      <w:r>
        <w:rPr>
          <w:rFonts w:ascii="Calibri" w:cs="Calibri" w:eastAsia="Calibri" w:hAnsi="Calibri"/>
          <w:b/>
          <w:bCs/>
          <w:color w:val="62551C"/>
          <w:sz w:val="25"/>
          <w:szCs w:val="25"/>
        </w:rPr>
        <w:t xml:space="preserve">3.3 Diagrama simplificado del flujo</w:t>
      </w:r>
    </w:p>
    <w:p>
      <w:pPr>
        <w:spacing w:after="160"/>
      </w:pPr>
      <w:r>
        <w:rPr>
          <w:rFonts w:ascii="Calibri" w:cs="Calibri" w:eastAsia="Calibri" w:hAnsi="Calibri"/>
          <w:b w:val="false"/>
          <w:bCs w:val="false"/>
          <w:i/>
          <w:iCs/>
          <w:color w:val="1A1A1A"/>
          <w:sz w:val="21"/>
          <w:szCs w:val="21"/>
        </w:rPr>
        <w:t xml:space="preserve">Cliente (navegador) → Internet → Servidor de aplicación (PHP en Hostinger) → Base de datos (MySQL) → Servidor de aplicación → Internet → Cliente (navegador)</w:t>
      </w:r>
    </w:p>
    <w:p>
      <w:pPr>
        <w:spacing w:after="160"/>
      </w:pPr>
      <w:r>
        <w:rPr>
          <w:rFonts w:ascii="Calibri" w:cs="Calibri" w:eastAsia="Calibri" w:hAnsi="Calibri"/>
          <w:b w:val="false"/>
          <w:bCs w:val="false"/>
          <w:i w:val="false"/>
          <w:iCs w:val="false"/>
          <w:color w:val="1A1A1A"/>
          <w:sz w:val="21"/>
          <w:szCs w:val="21"/>
        </w:rPr>
        <w:t xml:space="preserve">Este tipo de arquitectura se llama arquitectura en 3 capas: (1) capa de presentación — lo que el usuario ve, construido en HTML/CSS/JS —, (2) capa de lógica de negocio — el código PHP que procesa las reglas del sistema —, y (3) capa de datos — MySQL, que guarda la información de forma permanente.</w:t>
      </w:r>
    </w:p>
    <w:p>
      <w:pPr>
        <w:pStyle w:val="Heading2"/>
        <w:spacing w:after="120" w:before="260"/>
      </w:pPr>
      <w:r>
        <w:rPr>
          <w:rFonts w:ascii="Calibri" w:cs="Calibri" w:eastAsia="Calibri" w:hAnsi="Calibri"/>
          <w:b/>
          <w:bCs/>
          <w:color w:val="62551C"/>
          <w:sz w:val="25"/>
          <w:szCs w:val="25"/>
        </w:rPr>
        <w:t xml:space="preserve">3.4 APIs de Mapas y Geolocalización</w:t>
      </w:r>
    </w:p>
    <w:p>
      <w:pPr>
        <w:spacing w:after="160"/>
      </w:pPr>
      <w:r>
        <w:rPr>
          <w:rFonts w:ascii="Calibri" w:cs="Calibri" w:eastAsia="Calibri" w:hAnsi="Calibri"/>
          <w:b w:val="false"/>
          <w:bCs w:val="false"/>
          <w:i w:val="false"/>
          <w:iCs w:val="false"/>
          <w:color w:val="1A1A1A"/>
          <w:sz w:val="21"/>
          <w:szCs w:val="21"/>
        </w:rPr>
        <w:t xml:space="preserve">El módulo de GPS requiere integrar un servicio externo de mapas para ubicar conductores y calcular rutas. A continuación se comparan tres alternativas reales, con fuentes consultadas en junio de 2026.</w:t>
      </w:r>
    </w:p>
    <w:tbl>
      <w:tblPr>
        <w:tblW w:type="dxa" w:w="9350"/>
        <w:tblBorders>
          <w:top w:val="single" w:color="C9BBA0" w:sz="4"/>
          <w:left w:val="single" w:color="C9BBA0" w:sz="4"/>
          <w:bottom w:val="single" w:color="C9BBA0" w:sz="4"/>
          <w:right w:val="single" w:color="C9BBA0" w:sz="4"/>
          <w:insideH w:val="single" w:color="auto" w:sz="4"/>
          <w:insideV w:val="single" w:color="auto" w:sz="4"/>
        </w:tblBorders>
      </w:tblPr>
      <w:tblGrid>
        <w:gridCol w:w="1700"/>
        <w:gridCol w:w="2500"/>
        <w:gridCol w:w="2500"/>
        <w:gridCol w:w="2650"/>
      </w:tblGrid>
      <w:tr>
        <w:trPr>
          <w:tblHeader/>
        </w:trPr>
        <w:tc>
          <w:tcPr>
            <w:tcW w:type="dxa" w:w="17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Criterio</w:t>
            </w:r>
          </w:p>
        </w:tc>
        <w:tc>
          <w:tcPr>
            <w:tcW w:type="dxa" w:w="25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Google Maps Platform</w:t>
            </w:r>
          </w:p>
        </w:tc>
        <w:tc>
          <w:tcPr>
            <w:tcW w:type="dxa" w:w="25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Mapbox</w:t>
            </w:r>
          </w:p>
        </w:tc>
        <w:tc>
          <w:tcPr>
            <w:tcW w:type="dxa" w:w="265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OpenStreetMap + Leaflet</w:t>
            </w:r>
          </w:p>
        </w:tc>
      </w:tr>
      <w:tr>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Costo</w:t>
            </w:r>
          </w:p>
        </w:tc>
        <w:tc>
          <w:tcPr>
            <w:tcW w:type="dxa" w:w="25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Desde US$5 por 1.000 solicitudes; requiere tarjeta de crédito</w:t>
            </w:r>
          </w:p>
        </w:tc>
        <w:tc>
          <w:tcPr>
            <w:tcW w:type="dxa" w:w="25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Nivel gratuito amplio; desde US$0,50 por 1.000 solicitudes al superarlo</w:t>
            </w:r>
          </w:p>
        </w:tc>
        <w:tc>
          <w:tcPr>
            <w:tcW w:type="dxa" w:w="26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$0 — sin límite de solicitudes ni tarjeta de crédito</w:t>
            </w:r>
          </w:p>
        </w:tc>
      </w:tr>
      <w:tr>
        <w:tc>
          <w:tcPr>
            <w:tcW w:type="dxa" w:w="17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Facilidad de uso con PHP</w:t>
            </w:r>
          </w:p>
        </w:tc>
        <w:tc>
          <w:tcPr>
            <w:tcW w:type="dxa" w:w="25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Buena, vía API REST</w:t>
            </w:r>
          </w:p>
        </w:tc>
        <w:tc>
          <w:tcPr>
            <w:tcW w:type="dxa" w:w="25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Buena, vía API REST</w:t>
            </w:r>
          </w:p>
        </w:tc>
        <w:tc>
          <w:tcPr>
            <w:tcW w:type="dxa" w:w="26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Muy sencilla — Leaflet.js (frontend) + Nominatim/OSRM (backend)</w:t>
            </w:r>
          </w:p>
        </w:tc>
      </w:tr>
      <w:tr>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¿Recomendada?</w:t>
            </w:r>
          </w:p>
        </w:tc>
        <w:tc>
          <w:tcPr>
            <w:tcW w:type="dxa" w:w="25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Alternativa — riesgo de costo variable</w:t>
            </w:r>
          </w:p>
        </w:tc>
        <w:tc>
          <w:tcPr>
            <w:tcW w:type="dxa" w:w="25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Alternativa — igual queda sujeta a cobros</w:t>
            </w:r>
          </w:p>
        </w:tc>
        <w:tc>
          <w:tcPr>
            <w:tcW w:type="dxa" w:w="26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SÍ — costo $0, alineado con el stack open source del proyecto</w:t>
            </w:r>
          </w:p>
        </w:tc>
      </w:tr>
    </w:tbl>
    <w:p>
      <w:pPr>
        <w:spacing w:after="20" w:before="20"/>
      </w:pPr>
      <w:r>
        <w:rPr>
          <w:rFonts w:ascii="Calibri" w:cs="Calibri" w:eastAsia="Calibri" w:hAnsi="Calibri"/>
          <w:b/>
          <w:bCs/>
          <w:i/>
          <w:iCs/>
          <w:color w:val="595959"/>
          <w:sz w:val="18"/>
          <w:szCs w:val="18"/>
        </w:rPr>
        <w:t xml:space="preserve">Fuente Google Maps Platform: </w:t>
      </w:r>
      <w:hyperlink w:history="1" r:id="rIdz9tpw0az3eux7wt9wa55v">
        <w:r>
          <w:rPr>
            <w:rFonts w:ascii="Calibri" w:cs="Calibri" w:eastAsia="Calibri" w:hAnsi="Calibri"/>
            <w:color w:val="1155CC"/>
            <w:sz w:val="18"/>
            <w:szCs w:val="18"/>
            <w:u w:val="single"/>
          </w:rPr>
          <w:t xml:space="preserve">https://developers.google.com/maps/billing-and-pricing/pricing</w:t>
        </w:r>
      </w:hyperlink>
      <w:r>
        <w:rPr>
          <w:rFonts w:ascii="Calibri" w:cs="Calibri" w:eastAsia="Calibri" w:hAnsi="Calibri"/>
          <w:i/>
          <w:iCs/>
          <w:color w:val="595959"/>
          <w:sz w:val="18"/>
          <w:szCs w:val="18"/>
        </w:rPr>
        <w:t xml:space="preserve"> — Consultado: junio 2026</w:t>
      </w:r>
    </w:p>
    <w:p>
      <w:pPr>
        <w:spacing w:after="20" w:before="20"/>
      </w:pPr>
      <w:r>
        <w:rPr>
          <w:rFonts w:ascii="Calibri" w:cs="Calibri" w:eastAsia="Calibri" w:hAnsi="Calibri"/>
          <w:b/>
          <w:bCs/>
          <w:i/>
          <w:iCs/>
          <w:color w:val="595959"/>
          <w:sz w:val="18"/>
          <w:szCs w:val="18"/>
        </w:rPr>
        <w:t xml:space="preserve">Fuente Mapbox Pricing: </w:t>
      </w:r>
      <w:hyperlink w:history="1" r:id="rIduuriw1kjumgqxvsd_yei3">
        <w:r>
          <w:rPr>
            <w:rFonts w:ascii="Calibri" w:cs="Calibri" w:eastAsia="Calibri" w:hAnsi="Calibri"/>
            <w:color w:val="1155CC"/>
            <w:sz w:val="18"/>
            <w:szCs w:val="18"/>
            <w:u w:val="single"/>
          </w:rPr>
          <w:t xml:space="preserve">https://www.mapbox.com/pricing</w:t>
        </w:r>
      </w:hyperlink>
      <w:r>
        <w:rPr>
          <w:rFonts w:ascii="Calibri" w:cs="Calibri" w:eastAsia="Calibri" w:hAnsi="Calibri"/>
          <w:i/>
          <w:iCs/>
          <w:color w:val="595959"/>
          <w:sz w:val="18"/>
          <w:szCs w:val="18"/>
        </w:rPr>
        <w:t xml:space="preserve"> — Consultado: junio 2026</w:t>
      </w:r>
    </w:p>
    <w:p>
      <w:pPr>
        <w:spacing w:after="20" w:before="20"/>
      </w:pPr>
      <w:r>
        <w:rPr>
          <w:rFonts w:ascii="Calibri" w:cs="Calibri" w:eastAsia="Calibri" w:hAnsi="Calibri"/>
          <w:b/>
          <w:bCs/>
          <w:i/>
          <w:iCs/>
          <w:color w:val="595959"/>
          <w:sz w:val="18"/>
          <w:szCs w:val="18"/>
        </w:rPr>
        <w:t xml:space="preserve">Fuente OpenStreetMap / Leaflet: </w:t>
      </w:r>
      <w:hyperlink w:history="1" r:id="rIdh7tge1cttindrbmmdru_x">
        <w:r>
          <w:rPr>
            <w:rFonts w:ascii="Calibri" w:cs="Calibri" w:eastAsia="Calibri" w:hAnsi="Calibri"/>
            <w:color w:val="1155CC"/>
            <w:sz w:val="18"/>
            <w:szCs w:val="18"/>
            <w:u w:val="single"/>
          </w:rPr>
          <w:t xml:space="preserve">https://leafletjs.com/</w:t>
        </w:r>
      </w:hyperlink>
      <w:r>
        <w:rPr>
          <w:rFonts w:ascii="Calibri" w:cs="Calibri" w:eastAsia="Calibri" w:hAnsi="Calibri"/>
          <w:i/>
          <w:iCs/>
          <w:color w:val="595959"/>
          <w:sz w:val="18"/>
          <w:szCs w:val="18"/>
        </w:rPr>
        <w:t xml:space="preserve"> y https://www.openstreetmap.org/copyright — Consultado: junio 2026 (datos bajo licencia ODbL)</w:t>
      </w:r>
    </w:p>
    <w:p>
      <w:pPr>
        <w:spacing w:after="160" w:before="100"/>
      </w:pPr>
      <w:r>
        <w:rPr>
          <w:rFonts w:ascii="Calibri" w:cs="Calibri" w:eastAsia="Calibri" w:hAnsi="Calibri"/>
          <w:b w:val="false"/>
          <w:bCs w:val="false"/>
          <w:i w:val="false"/>
          <w:iCs w:val="false"/>
          <w:color w:val="1A1A1A"/>
          <w:sz w:val="21"/>
          <w:szCs w:val="21"/>
        </w:rPr>
        <w:t xml:space="preserve">El equipo selecciona OpenStreetMap + Leaflet.js (complementado con OSRM para el cálculo de rutas) porque su costo es $0, no requiere tarjeta de crédito y se integra fácilmente con el frontend HTML/CSS/JavaScript ya construido. Costo de la API seleccionada: $0 COP.</w:t>
      </w:r>
    </w:p>
    <w:p>
      <w:pPr>
        <w:pStyle w:val="Heading1"/>
        <w:pBdr>
          <w:bottom w:val="single" w:color="62551C" w:sz="8" w:space="4"/>
        </w:pBdr>
        <w:spacing w:after="160" w:before="360"/>
      </w:pPr>
      <w:r>
        <w:rPr>
          <w:rFonts w:ascii="Calibri" w:cs="Calibri" w:eastAsia="Calibri" w:hAnsi="Calibri"/>
          <w:b/>
          <w:bCs/>
          <w:color w:val="62551C"/>
          <w:sz w:val="30"/>
          <w:szCs w:val="30"/>
        </w:rPr>
        <w:t xml:space="preserve">4. Fichas Técnicas del Hardware Disponible del Equipo</w:t>
      </w:r>
    </w:p>
    <w:p>
      <w:pPr>
        <w:spacing w:after="160"/>
      </w:pPr>
      <w:r>
        <w:rPr>
          <w:rFonts w:ascii="Calibri" w:cs="Calibri" w:eastAsia="Calibri" w:hAnsi="Calibri"/>
          <w:b w:val="false"/>
          <w:bCs w:val="false"/>
          <w:i w:val="false"/>
          <w:iCs w:val="false"/>
          <w:color w:val="1A1A1A"/>
          <w:sz w:val="21"/>
          <w:szCs w:val="21"/>
        </w:rPr>
        <w:t xml:space="preserve">El grupo no requirió comprar equipos nuevos para desarrollar el proyecto porque ya contaba con los recursos necesarios. A continuación se muestran las fichas técnicas de esos equipos, con sus características y un valor referencial de mercado.</w:t>
      </w:r>
    </w:p>
    <w:p>
      <w:pPr>
        <w:spacing w:after="160"/>
      </w:pPr>
      <w:r>
        <w:rPr>
          <w:rFonts w:ascii="Calibri" w:cs="Calibri" w:eastAsia="Calibri" w:hAnsi="Calibri"/>
          <w:b/>
          <w:bCs/>
          <w:i w:val="false"/>
          <w:iCs w:val="false"/>
          <w:color w:val="1A1A1A"/>
          <w:sz w:val="20"/>
          <w:szCs w:val="20"/>
        </w:rPr>
        <w:t xml:space="preserve">NOTA IMPORTANTE: estos equipos ya son propiedad del grupo. Su costo de adquisición para el proyecto es $0. El valor referencial se muestra únicamente para dimensionar el activo, no como gasto del proyecto.</w:t>
      </w:r>
    </w:p>
    <w:tbl>
      <w:tblPr>
        <w:tblW w:type="dxa" w:w="9350"/>
        <w:tblBorders>
          <w:top w:val="single" w:color="C9BBA0" w:sz="4"/>
          <w:left w:val="single" w:color="C9BBA0" w:sz="4"/>
          <w:bottom w:val="single" w:color="C9BBA0" w:sz="4"/>
          <w:right w:val="single" w:color="C9BBA0" w:sz="4"/>
          <w:insideH w:val="single" w:color="auto" w:sz="4"/>
          <w:insideV w:val="single" w:color="auto" w:sz="4"/>
        </w:tblBorders>
      </w:tblPr>
      <w:tblGrid>
        <w:gridCol w:w="3100"/>
        <w:gridCol w:w="3700"/>
        <w:gridCol w:w="900"/>
        <w:gridCol w:w="1650"/>
      </w:tblGrid>
      <w:tr>
        <w:trPr>
          <w:tblHeader/>
        </w:trPr>
        <w:tc>
          <w:tcPr>
            <w:tcW w:type="dxa" w:w="31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Ítem</w:t>
            </w:r>
          </w:p>
        </w:tc>
        <w:tc>
          <w:tcPr>
            <w:tcW w:type="dxa" w:w="37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Especificaciones</w:t>
            </w:r>
          </w:p>
        </w:tc>
        <w:tc>
          <w:tcPr>
            <w:tcW w:type="dxa" w:w="9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Cant.</w:t>
            </w:r>
          </w:p>
        </w:tc>
        <w:tc>
          <w:tcPr>
            <w:tcW w:type="dxa" w:w="165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Valor referencial (COP)</w:t>
            </w:r>
          </w:p>
        </w:tc>
      </w:tr>
      <w:tr>
        <w:tc>
          <w:tcPr>
            <w:tcW w:type="dxa" w:w="31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Portátil gama media (Lenovo IdeaPad o similar)</w:t>
            </w:r>
          </w:p>
        </w:tc>
        <w:tc>
          <w:tcPr>
            <w:tcW w:type="dxa" w:w="37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Intel Core i5 o AMD Ryzen 5, 8 GB RAM, 256 GB SSD, pantalla 15.6", Windows 11 Home</w:t>
            </w:r>
          </w:p>
        </w:tc>
        <w:tc>
          <w:tcPr>
            <w:tcW w:type="dxa" w:w="9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2</w:t>
            </w:r>
          </w:p>
        </w:tc>
        <w:tc>
          <w:tcPr>
            <w:tcW w:type="dxa" w:w="16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$1.799.000 c/u → Total: $3.598.000</w:t>
            </w:r>
          </w:p>
        </w:tc>
      </w:tr>
      <w:tr>
        <w:tc>
          <w:tcPr>
            <w:tcW w:type="dxa" w:w="31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Computador de escritorio gama media (HP o similar)</w:t>
            </w:r>
          </w:p>
        </w:tc>
        <w:tc>
          <w:tcPr>
            <w:tcW w:type="dxa" w:w="37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Intel Core i5, 8 GB RAM, 500 GB HDD, monitor 21.5", Windows 11 Home</w:t>
            </w:r>
          </w:p>
        </w:tc>
        <w:tc>
          <w:tcPr>
            <w:tcW w:type="dxa" w:w="9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2</w:t>
            </w:r>
          </w:p>
        </w:tc>
        <w:tc>
          <w:tcPr>
            <w:tcW w:type="dxa" w:w="16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$1.499.000 c/u → Total: $2.998.000</w:t>
            </w:r>
          </w:p>
        </w:tc>
      </w:tr>
      <w:tr>
        <w:tc>
          <w:tcPr>
            <w:tcW w:type="dxa" w:w="31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Mesa de trabajo</w:t>
            </w:r>
          </w:p>
        </w:tc>
        <w:tc>
          <w:tcPr>
            <w:tcW w:type="dxa" w:w="37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Mesa de escritorio estándar para oficina, superficie mínima 120 x 60 cm</w:t>
            </w:r>
          </w:p>
        </w:tc>
        <w:tc>
          <w:tcPr>
            <w:tcW w:type="dxa" w:w="9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2</w:t>
            </w:r>
          </w:p>
        </w:tc>
        <w:tc>
          <w:tcPr>
            <w:tcW w:type="dxa" w:w="16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$180.000 c/u → Total: $360.000</w:t>
            </w:r>
          </w:p>
        </w:tc>
      </w:tr>
      <w:tr>
        <w:tc>
          <w:tcPr>
            <w:tcW w:type="dxa" w:w="31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Silla de trabajo</w:t>
            </w:r>
          </w:p>
        </w:tc>
        <w:tc>
          <w:tcPr>
            <w:tcW w:type="dxa" w:w="37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Silla ergonómica de oficina con apoyo lumbar</w:t>
            </w:r>
          </w:p>
        </w:tc>
        <w:tc>
          <w:tcPr>
            <w:tcW w:type="dxa" w:w="9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2</w:t>
            </w:r>
          </w:p>
        </w:tc>
        <w:tc>
          <w:tcPr>
            <w:tcW w:type="dxa" w:w="16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$150.000 c/u → Total: $300.000</w:t>
            </w:r>
          </w:p>
        </w:tc>
      </w:tr>
      <w:tr>
        <w:tc>
          <w:tcPr>
            <w:tcW w:type="dxa" w:w="31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Conexión a Internet</w:t>
            </w:r>
          </w:p>
        </w:tc>
        <w:tc>
          <w:tcPr>
            <w:tcW w:type="dxa" w:w="37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300 Mbps fibra óptica — plan hogar/empresa compartido</w:t>
            </w:r>
          </w:p>
        </w:tc>
        <w:tc>
          <w:tcPr>
            <w:tcW w:type="dxa" w:w="9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1 plan</w:t>
            </w:r>
          </w:p>
        </w:tc>
        <w:tc>
          <w:tcPr>
            <w:tcW w:type="dxa" w:w="16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≈$60.000/mes (ya disponible)</w:t>
            </w:r>
          </w:p>
        </w:tc>
      </w:tr>
    </w:tbl>
    <w:p>
      <w:pPr>
        <w:spacing w:after="160" w:before="60"/>
      </w:pPr>
      <w:r>
        <w:rPr>
          <w:rFonts w:ascii="Calibri" w:cs="Calibri" w:eastAsia="Calibri" w:hAnsi="Calibri"/>
          <w:b/>
          <w:bCs/>
          <w:color w:val="62551C"/>
          <w:sz w:val="20"/>
          <w:szCs w:val="20"/>
        </w:rPr>
        <w:t xml:space="preserve">TOTAL ACTIVOS DISPONIBLES: </w:t>
      </w:r>
      <w:r>
        <w:rPr>
          <w:rFonts w:ascii="Calibri" w:cs="Calibri" w:eastAsia="Calibri" w:hAnsi="Calibri"/>
          <w:b/>
          <w:bCs/>
          <w:color w:val="62551C"/>
          <w:sz w:val="20"/>
          <w:szCs w:val="20"/>
        </w:rPr>
        <w:t xml:space="preserve">$7.256.000 (valor de referencia) — Costo para el proyecto: $0</w:t>
      </w:r>
    </w:p>
    <w:p>
      <w:pPr>
        <w:spacing w:after="20" w:before="20"/>
      </w:pPr>
      <w:r>
        <w:rPr>
          <w:rFonts w:ascii="Calibri" w:cs="Calibri" w:eastAsia="Calibri" w:hAnsi="Calibri"/>
          <w:b/>
          <w:bCs/>
          <w:i/>
          <w:iCs/>
          <w:color w:val="595959"/>
          <w:sz w:val="18"/>
          <w:szCs w:val="18"/>
        </w:rPr>
        <w:t xml:space="preserve">Fuente portátiles: </w:t>
      </w:r>
      <w:hyperlink w:history="1" r:id="rId17ely_r3g6tewmbw0izqu">
        <w:r>
          <w:rPr>
            <w:rFonts w:ascii="Calibri" w:cs="Calibri" w:eastAsia="Calibri" w:hAnsi="Calibri"/>
            <w:color w:val="1155CC"/>
            <w:sz w:val="18"/>
            <w:szCs w:val="18"/>
            <w:u w:val="single"/>
          </w:rPr>
          <w:t xml:space="preserve">https://www.alkosto.com/computadores-tablet/computadores-portatiles/c/BI_104_ALKOS</w:t>
        </w:r>
      </w:hyperlink>
      <w:r>
        <w:rPr>
          <w:rFonts w:ascii="Calibri" w:cs="Calibri" w:eastAsia="Calibri" w:hAnsi="Calibri"/>
          <w:i/>
          <w:iCs/>
          <w:color w:val="595959"/>
          <w:sz w:val="18"/>
          <w:szCs w:val="18"/>
        </w:rPr>
        <w:t xml:space="preserve"> — Verificado: junio 2026</w:t>
      </w:r>
    </w:p>
    <w:p>
      <w:pPr>
        <w:spacing w:after="20" w:before="20"/>
      </w:pPr>
      <w:r>
        <w:rPr>
          <w:rFonts w:ascii="Calibri" w:cs="Calibri" w:eastAsia="Calibri" w:hAnsi="Calibri"/>
          <w:b/>
          <w:bCs/>
          <w:i/>
          <w:iCs/>
          <w:color w:val="595959"/>
          <w:sz w:val="18"/>
          <w:szCs w:val="18"/>
        </w:rPr>
        <w:t xml:space="preserve">Fuente escritorios: </w:t>
      </w:r>
      <w:hyperlink w:history="1" r:id="rIdn32avofxgk3ismpm8cfan">
        <w:r>
          <w:rPr>
            <w:rFonts w:ascii="Calibri" w:cs="Calibri" w:eastAsia="Calibri" w:hAnsi="Calibri"/>
            <w:color w:val="1155CC"/>
            <w:sz w:val="18"/>
            <w:szCs w:val="18"/>
            <w:u w:val="single"/>
          </w:rPr>
          <w:t xml:space="preserve">https://www.alkosto.com/computadores-tablet/computadores-escritorio-all-in-one/c/BI_105_ALKOS</w:t>
        </w:r>
      </w:hyperlink>
      <w:r>
        <w:rPr>
          <w:rFonts w:ascii="Calibri" w:cs="Calibri" w:eastAsia="Calibri" w:hAnsi="Calibri"/>
          <w:i/>
          <w:iCs/>
          <w:color w:val="595959"/>
          <w:sz w:val="18"/>
          <w:szCs w:val="18"/>
        </w:rPr>
        <w:t xml:space="preserve"> — Verificado: junio 2026</w:t>
      </w:r>
    </w:p>
    <w:p>
      <w:pPr>
        <w:spacing w:after="20" w:before="20"/>
      </w:pPr>
      <w:r>
        <w:rPr>
          <w:rFonts w:ascii="Calibri" w:cs="Calibri" w:eastAsia="Calibri" w:hAnsi="Calibri"/>
          <w:b/>
          <w:bCs/>
          <w:i/>
          <w:iCs/>
          <w:color w:val="595959"/>
          <w:sz w:val="18"/>
          <w:szCs w:val="18"/>
        </w:rPr>
        <w:t xml:space="preserve">Fuente sillas/mesas: </w:t>
      </w:r>
      <w:hyperlink w:history="1" r:id="rIdj5vdmkikpowrrctrr_g5n">
        <w:r>
          <w:rPr>
            <w:rFonts w:ascii="Calibri" w:cs="Calibri" w:eastAsia="Calibri" w:hAnsi="Calibri"/>
            <w:color w:val="1155CC"/>
            <w:sz w:val="18"/>
            <w:szCs w:val="18"/>
            <w:u w:val="single"/>
          </w:rPr>
          <w:t xml:space="preserve">https://www.homecenter.com.co/homecenter-co/landing/cat10320/Muebles-de-Oficina-y-Escritorio/</w:t>
        </w:r>
      </w:hyperlink>
      <w:r>
        <w:rPr>
          <w:rFonts w:ascii="Calibri" w:cs="Calibri" w:eastAsia="Calibri" w:hAnsi="Calibri"/>
          <w:i/>
          <w:iCs/>
          <w:color w:val="595959"/>
          <w:sz w:val="18"/>
          <w:szCs w:val="18"/>
        </w:rPr>
        <w:t xml:space="preserve"> — Verificado: junio 2026</w:t>
      </w:r>
    </w:p>
    <w:p>
      <w:pPr>
        <w:pStyle w:val="Heading1"/>
        <w:pBdr>
          <w:bottom w:val="single" w:color="62551C" w:sz="8" w:space="4"/>
        </w:pBdr>
        <w:spacing w:after="160" w:before="360"/>
      </w:pPr>
      <w:r>
        <w:rPr>
          <w:rFonts w:ascii="Calibri" w:cs="Calibri" w:eastAsia="Calibri" w:hAnsi="Calibri"/>
          <w:b/>
          <w:bCs/>
          <w:color w:val="62551C"/>
          <w:sz w:val="30"/>
          <w:szCs w:val="30"/>
        </w:rPr>
        <w:t xml:space="preserve">5. Equipos Recomendados para la Implementación en Mudanzas Sharon</w:t>
      </w:r>
    </w:p>
    <w:p>
      <w:pPr>
        <w:spacing w:after="160"/>
      </w:pPr>
      <w:r>
        <w:rPr>
          <w:rFonts w:ascii="Calibri" w:cs="Calibri" w:eastAsia="Calibri" w:hAnsi="Calibri"/>
          <w:b w:val="false"/>
          <w:bCs w:val="false"/>
          <w:i w:val="false"/>
          <w:iCs w:val="false"/>
          <w:color w:val="1A1A1A"/>
          <w:sz w:val="21"/>
          <w:szCs w:val="21"/>
        </w:rPr>
        <w:t xml:space="preserve">Esta sección no muestra los equipos que el grupo ya tiene, sino los equipos que Mudanzas Sharon debería adquirir para operar LOGISTICARGO SYSTEM correctamente una vez el proyecto se entregue: un equipo administrativo para gestionar cotizaciones y usuarios desde la oficina, conectividad estable y protección eléctrica. Para cada categoría se comparan tres opciones reales del mercado colombiano y se recomienda la de mejor relación calidad-precio, no la más costosa.</w:t>
      </w:r>
    </w:p>
    <w:p>
      <w:pPr>
        <w:pStyle w:val="Heading2"/>
        <w:spacing w:after="120" w:before="260"/>
      </w:pPr>
      <w:r>
        <w:rPr>
          <w:rFonts w:ascii="Calibri" w:cs="Calibri" w:eastAsia="Calibri" w:hAnsi="Calibri"/>
          <w:b/>
          <w:bCs/>
          <w:color w:val="62551C"/>
          <w:sz w:val="25"/>
          <w:szCs w:val="25"/>
        </w:rPr>
        <w:t xml:space="preserve">5.1 Computadores de escritorio / All-in-One (para el punto administrativo)</w:t>
      </w:r>
    </w:p>
    <w:tbl>
      <w:tblPr>
        <w:tblW w:type="dxa" w:w="9350"/>
        <w:tblBorders>
          <w:top w:val="single" w:color="C9BBA0" w:sz="4"/>
          <w:left w:val="single" w:color="C9BBA0" w:sz="4"/>
          <w:bottom w:val="single" w:color="C9BBA0" w:sz="4"/>
          <w:right w:val="single" w:color="C9BBA0" w:sz="4"/>
          <w:insideH w:val="single" w:color="auto" w:sz="4"/>
          <w:insideV w:val="single" w:color="auto" w:sz="4"/>
        </w:tblBorders>
      </w:tblPr>
      <w:tblGrid>
        <w:gridCol w:w="2400"/>
        <w:gridCol w:w="3350"/>
        <w:gridCol w:w="1400"/>
        <w:gridCol w:w="2200"/>
      </w:tblGrid>
      <w:tr>
        <w:trPr>
          <w:tblHeader/>
        </w:trPr>
        <w:tc>
          <w:tcPr>
            <w:tcW w:type="dxa" w:w="24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Marca y modelo</w:t>
            </w:r>
          </w:p>
        </w:tc>
        <w:tc>
          <w:tcPr>
            <w:tcW w:type="dxa" w:w="335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Especificaciones principales</w:t>
            </w:r>
          </w:p>
        </w:tc>
        <w:tc>
          <w:tcPr>
            <w:tcW w:type="dxa" w:w="14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Precio aprox.</w:t>
            </w:r>
          </w:p>
        </w:tc>
        <w:tc>
          <w:tcPr>
            <w:tcW w:type="dxa" w:w="22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Ventajas / Desventajas</w:t>
            </w:r>
          </w:p>
        </w:tc>
      </w:tr>
      <w:tr>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HP All-in-One 24-cr0350la</w:t>
            </w:r>
          </w:p>
        </w:tc>
        <w:tc>
          <w:tcPr>
            <w:tcW w:type="dxa" w:w="33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Intel Core i5, 8 GB RAM, 512 GB SSD, pantalla 23.8" FHD, Windows 11</w:t>
            </w:r>
          </w:p>
        </w:tc>
        <w:tc>
          <w:tcPr>
            <w:tcW w:type="dxa" w:w="14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≈$2.399.000</w:t>
            </w:r>
          </w:p>
        </w:tc>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Ventaja: ahorra espacio, todo integrado. Desventaja: pantalla no separable si falla.</w:t>
            </w:r>
          </w:p>
        </w:tc>
      </w:tr>
      <w:tr>
        <w:tc>
          <w:tcPr>
            <w:tcW w:type="dxa" w:w="24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Lenovo IdeaCentre AIO 27" 27IRH9</w:t>
            </w:r>
          </w:p>
        </w:tc>
        <w:tc>
          <w:tcPr>
            <w:tcW w:type="dxa" w:w="33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Intel Core i5, 8 GB RAM, 512 GB SSD, pantalla 27" FHD, Windows 11</w:t>
            </w:r>
          </w:p>
        </w:tc>
        <w:tc>
          <w:tcPr>
            <w:tcW w:type="dxa" w:w="14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≈$2.599.070</w:t>
            </w:r>
          </w:p>
        </w:tc>
        <w:tc>
          <w:tcPr>
            <w:tcW w:type="dxa" w:w="22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Ventaja: pantalla más grande, cómoda para varias ventanas abiertas. Desventaja: precio más alto.</w:t>
            </w:r>
          </w:p>
        </w:tc>
      </w:tr>
      <w:tr>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Computador de escritorio HP torre + monitor 21.5"</w:t>
            </w:r>
          </w:p>
        </w:tc>
        <w:tc>
          <w:tcPr>
            <w:tcW w:type="dxa" w:w="33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Intel Core i5, 8 GB RAM, 512 GB SSD, monitor 21.5" separado, Windows 11</w:t>
            </w:r>
          </w:p>
        </w:tc>
        <w:tc>
          <w:tcPr>
            <w:tcW w:type="dxa" w:w="14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≈$1.950.000</w:t>
            </w:r>
          </w:p>
        </w:tc>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Ventaja: si el monitor falla, se cambia solo esa pieza. Desventaja: ocupa más espacio en el escritorio.</w:t>
            </w:r>
          </w:p>
        </w:tc>
      </w:tr>
    </w:tbl>
    <w:p>
      <w:pPr>
        <w:spacing w:after="160" w:before="80"/>
      </w:pPr>
      <w:r>
        <w:rPr>
          <w:rFonts w:ascii="Calibri" w:cs="Calibri" w:eastAsia="Calibri" w:hAnsi="Calibri"/>
          <w:b/>
          <w:bCs/>
          <w:color w:val="62551C"/>
          <w:sz w:val="21"/>
          <w:szCs w:val="21"/>
        </w:rPr>
        <w:t xml:space="preserve">Recomendación: </w:t>
      </w:r>
      <w:r>
        <w:rPr>
          <w:rFonts w:ascii="Calibri" w:cs="Calibri" w:eastAsia="Calibri" w:hAnsi="Calibri"/>
          <w:sz w:val="21"/>
          <w:szCs w:val="21"/>
        </w:rPr>
        <w:t xml:space="preserve">computador de escritorio HP torre + monitor 21.5". Cumple perfectamente con un sistema web administrativo (no requiere tarjeta gráfica dedicada ni gran potencia) y permite reemplazar solo el monitor o solo la torre si algo falla, lo cual reduce costos de mantenimiento a futuro para la empresa.</w:t>
      </w:r>
    </w:p>
    <w:p>
      <w:pPr>
        <w:spacing w:after="20" w:before="20"/>
      </w:pPr>
      <w:r>
        <w:rPr>
          <w:rFonts w:ascii="Calibri" w:cs="Calibri" w:eastAsia="Calibri" w:hAnsi="Calibri"/>
          <w:b/>
          <w:bCs/>
          <w:i/>
          <w:iCs/>
          <w:color w:val="595959"/>
          <w:sz w:val="18"/>
          <w:szCs w:val="18"/>
        </w:rPr>
        <w:t xml:space="preserve">Fuente: </w:t>
      </w:r>
      <w:hyperlink w:history="1" r:id="rIdeczolo7u8c_jlxa9-hzym">
        <w:r>
          <w:rPr>
            <w:rFonts w:ascii="Calibri" w:cs="Calibri" w:eastAsia="Calibri" w:hAnsi="Calibri"/>
            <w:color w:val="1155CC"/>
            <w:sz w:val="18"/>
            <w:szCs w:val="18"/>
            <w:u w:val="single"/>
          </w:rPr>
          <w:t xml:space="preserve">https://www.alkosto.com/computadores-tablet/computadores-escritorio-all-in-one/c/BI_105_ALKOS</w:t>
        </w:r>
      </w:hyperlink>
      <w:r>
        <w:rPr>
          <w:rFonts w:ascii="Calibri" w:cs="Calibri" w:eastAsia="Calibri" w:hAnsi="Calibri"/>
          <w:i/>
          <w:iCs/>
          <w:color w:val="595959"/>
          <w:sz w:val="18"/>
          <w:szCs w:val="18"/>
        </w:rPr>
        <w:t xml:space="preserve"> — Precios de referencia consultados junio 2026; sujetos a disponibilidad y promociones vigentes.</w:t>
      </w:r>
    </w:p>
    <w:p>
      <w:pPr>
        <w:pStyle w:val="Heading2"/>
        <w:spacing w:after="120" w:before="260"/>
      </w:pPr>
      <w:r>
        <w:rPr>
          <w:rFonts w:ascii="Calibri" w:cs="Calibri" w:eastAsia="Calibri" w:hAnsi="Calibri"/>
          <w:b/>
          <w:bCs/>
          <w:color w:val="62551C"/>
          <w:sz w:val="25"/>
          <w:szCs w:val="25"/>
        </w:rPr>
        <w:t xml:space="preserve">5.2 Portátiles (para el personal que necesite movilidad)</w:t>
      </w:r>
    </w:p>
    <w:tbl>
      <w:tblPr>
        <w:tblW w:type="dxa" w:w="9350"/>
        <w:tblBorders>
          <w:top w:val="single" w:color="C9BBA0" w:sz="4"/>
          <w:left w:val="single" w:color="C9BBA0" w:sz="4"/>
          <w:bottom w:val="single" w:color="C9BBA0" w:sz="4"/>
          <w:right w:val="single" w:color="C9BBA0" w:sz="4"/>
          <w:insideH w:val="single" w:color="auto" w:sz="4"/>
          <w:insideV w:val="single" w:color="auto" w:sz="4"/>
        </w:tblBorders>
      </w:tblPr>
      <w:tblGrid>
        <w:gridCol w:w="2100"/>
        <w:gridCol w:w="3450"/>
        <w:gridCol w:w="1200"/>
        <w:gridCol w:w="2600"/>
      </w:tblGrid>
      <w:tr>
        <w:trPr>
          <w:tblHeader/>
        </w:trPr>
        <w:tc>
          <w:tcPr>
            <w:tcW w:type="dxa" w:w="21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Marca y modelo</w:t>
            </w:r>
          </w:p>
        </w:tc>
        <w:tc>
          <w:tcPr>
            <w:tcW w:type="dxa" w:w="345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Especificaciones principales</w:t>
            </w:r>
          </w:p>
        </w:tc>
        <w:tc>
          <w:tcPr>
            <w:tcW w:type="dxa" w:w="12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Precio aprox.</w:t>
            </w:r>
          </w:p>
        </w:tc>
        <w:tc>
          <w:tcPr>
            <w:tcW w:type="dxa" w:w="26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Ventajas / Desventajas</w:t>
            </w:r>
          </w:p>
        </w:tc>
      </w:tr>
      <w:tr>
        <w:tc>
          <w:tcPr>
            <w:tcW w:type="dxa" w:w="21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Lenovo IdeaPad Slim 3 15.3"</w:t>
            </w:r>
          </w:p>
        </w:tc>
        <w:tc>
          <w:tcPr>
            <w:tcW w:type="dxa" w:w="34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Intel Core i5-13420H, 8 GB RAM, 512 GB SSD, WiFi 6, Windows 11</w:t>
            </w:r>
          </w:p>
        </w:tc>
        <w:tc>
          <w:tcPr>
            <w:tcW w:type="dxa" w:w="12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$2.049.070</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Ventaja: liviano (1.59 kg), buena batería (7.5 h aprox.). Desventaja: RAM de 8 GB es justa si se abren muchas pestañas a la vez.</w:t>
            </w:r>
          </w:p>
        </w:tc>
      </w:tr>
      <w:tr>
        <w:tc>
          <w:tcPr>
            <w:tcW w:type="dxa" w:w="21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HP Pavilion 15" Core i5</w:t>
            </w:r>
          </w:p>
        </w:tc>
        <w:tc>
          <w:tcPr>
            <w:tcW w:type="dxa" w:w="34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Intel Core i5, 8 GB RAM, 512 GB SSD, pantalla 15.6" FHD, Windows 11</w:t>
            </w:r>
          </w:p>
        </w:tc>
        <w:tc>
          <w:tcPr>
            <w:tcW w:type="dxa" w:w="12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≈$2.199.000</w:t>
            </w:r>
          </w:p>
        </w:tc>
        <w:tc>
          <w:tcPr>
            <w:tcW w:type="dxa" w:w="26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Ventaja: buen soporte técnico HP en Colombia. Desventaja: un poco más pesado que el Lenovo.</w:t>
            </w:r>
          </w:p>
        </w:tc>
      </w:tr>
      <w:tr>
        <w:tc>
          <w:tcPr>
            <w:tcW w:type="dxa" w:w="21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Acer Aspire 3 Core i3</w:t>
            </w:r>
          </w:p>
        </w:tc>
        <w:tc>
          <w:tcPr>
            <w:tcW w:type="dxa" w:w="34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Intel Core i3, 8 GB RAM, 256 GB SSD, pantalla 15.6" FHD, Windows 11</w:t>
            </w:r>
          </w:p>
        </w:tc>
        <w:tc>
          <w:tcPr>
            <w:tcW w:type="dxa" w:w="12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≈$1.499.000</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Ventaja: el más económico. Desventaja: procesador i3 y menos almacenamiento, limitado a futuro.</w:t>
            </w:r>
          </w:p>
        </w:tc>
      </w:tr>
    </w:tbl>
    <w:p>
      <w:pPr>
        <w:spacing w:after="160" w:before="80"/>
      </w:pPr>
      <w:r>
        <w:rPr>
          <w:rFonts w:ascii="Calibri" w:cs="Calibri" w:eastAsia="Calibri" w:hAnsi="Calibri"/>
          <w:b/>
          <w:bCs/>
          <w:color w:val="62551C"/>
          <w:sz w:val="21"/>
          <w:szCs w:val="21"/>
        </w:rPr>
        <w:t xml:space="preserve">Recomendación: </w:t>
      </w:r>
      <w:r>
        <w:rPr>
          <w:rFonts w:ascii="Calibri" w:cs="Calibri" w:eastAsia="Calibri" w:hAnsi="Calibri"/>
          <w:sz w:val="21"/>
          <w:szCs w:val="21"/>
        </w:rPr>
        <w:t xml:space="preserve">Lenovo IdeaPad Slim 3 15.3" (Core i5, 8 GB, 512 GB SSD). Es la opción con mejor relación calidad-precio: procesador de gama media, almacenamiento amplio y WiFi 6, suficiente para que un supervisor o conductor consulte el sistema desde fuera de la oficina.</w:t>
      </w:r>
    </w:p>
    <w:p>
      <w:pPr>
        <w:spacing w:after="20" w:before="20"/>
      </w:pPr>
      <w:r>
        <w:rPr>
          <w:rFonts w:ascii="Calibri" w:cs="Calibri" w:eastAsia="Calibri" w:hAnsi="Calibri"/>
          <w:b/>
          <w:bCs/>
          <w:i/>
          <w:iCs/>
          <w:color w:val="595959"/>
          <w:sz w:val="18"/>
          <w:szCs w:val="18"/>
        </w:rPr>
        <w:t xml:space="preserve">Fuente: </w:t>
      </w:r>
      <w:hyperlink w:history="1" r:id="rIdug3l0rig81yjqcgbjphq8">
        <w:r>
          <w:rPr>
            <w:rFonts w:ascii="Calibri" w:cs="Calibri" w:eastAsia="Calibri" w:hAnsi="Calibri"/>
            <w:color w:val="1155CC"/>
            <w:sz w:val="18"/>
            <w:szCs w:val="18"/>
            <w:u w:val="single"/>
          </w:rPr>
          <w:t xml:space="preserve">https://www.alkosto.com/computador-portatil-lenovo-ideapad-slim-3-153-pulgadas/p/198155958915</w:t>
        </w:r>
      </w:hyperlink>
      <w:r>
        <w:rPr>
          <w:rFonts w:ascii="Calibri" w:cs="Calibri" w:eastAsia="Calibri" w:hAnsi="Calibri"/>
          <w:i/>
          <w:iCs/>
          <w:color w:val="595959"/>
          <w:sz w:val="18"/>
          <w:szCs w:val="18"/>
        </w:rPr>
        <w:t xml:space="preserve"> — Precio verificado junio 2026.</w:t>
      </w:r>
    </w:p>
    <w:p>
      <w:pPr>
        <w:pStyle w:val="Heading2"/>
        <w:spacing w:after="120" w:before="260"/>
      </w:pPr>
      <w:r>
        <w:rPr>
          <w:rFonts w:ascii="Calibri" w:cs="Calibri" w:eastAsia="Calibri" w:hAnsi="Calibri"/>
          <w:b/>
          <w:bCs/>
          <w:color w:val="62551C"/>
          <w:sz w:val="25"/>
          <w:szCs w:val="25"/>
        </w:rPr>
        <w:t xml:space="preserve">5.3 Monitores</w:t>
      </w:r>
    </w:p>
    <w:tbl>
      <w:tblPr>
        <w:tblW w:type="dxa" w:w="9350"/>
        <w:tblBorders>
          <w:top w:val="single" w:color="C9BBA0" w:sz="4"/>
          <w:left w:val="single" w:color="C9BBA0" w:sz="4"/>
          <w:bottom w:val="single" w:color="C9BBA0" w:sz="4"/>
          <w:right w:val="single" w:color="C9BBA0" w:sz="4"/>
          <w:insideH w:val="single" w:color="auto" w:sz="4"/>
          <w:insideV w:val="single" w:color="auto" w:sz="4"/>
        </w:tblBorders>
      </w:tblPr>
      <w:tblGrid>
        <w:gridCol w:w="2000"/>
        <w:gridCol w:w="3200"/>
        <w:gridCol w:w="1400"/>
        <w:gridCol w:w="2750"/>
      </w:tblGrid>
      <w:tr>
        <w:trPr>
          <w:tblHeader/>
        </w:trPr>
        <w:tc>
          <w:tcPr>
            <w:tcW w:type="dxa" w:w="20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Marca y modelo</w:t>
            </w:r>
          </w:p>
        </w:tc>
        <w:tc>
          <w:tcPr>
            <w:tcW w:type="dxa" w:w="32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Especificaciones principales</w:t>
            </w:r>
          </w:p>
        </w:tc>
        <w:tc>
          <w:tcPr>
            <w:tcW w:type="dxa" w:w="14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Precio aprox.</w:t>
            </w:r>
          </w:p>
        </w:tc>
        <w:tc>
          <w:tcPr>
            <w:tcW w:type="dxa" w:w="275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Ventajas / Desventajas</w:t>
            </w:r>
          </w:p>
        </w:tc>
      </w:tr>
      <w:tr>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Samsung 24" F24T35</w:t>
            </w:r>
          </w:p>
        </w:tc>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24" FHD (1920x1080), panel VA, HDMI + VGA</w:t>
            </w:r>
          </w:p>
        </w:tc>
        <w:tc>
          <w:tcPr>
            <w:tcW w:type="dxa" w:w="14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≈$479.900</w:t>
            </w:r>
          </w:p>
        </w:tc>
        <w:tc>
          <w:tcPr>
            <w:tcW w:type="dxa" w:w="27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Ventaja: buen contraste de color. Desventaja: sin ajuste de altura.</w:t>
            </w:r>
          </w:p>
        </w:tc>
      </w:tr>
      <w:tr>
        <w:tc>
          <w:tcPr>
            <w:tcW w:type="dxa" w:w="20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LG 24" 24MP400</w:t>
            </w:r>
          </w:p>
        </w:tc>
        <w:tc>
          <w:tcPr>
            <w:tcW w:type="dxa" w:w="32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24" FHD (1920x1080), panel IPS, HDMI + VGA</w:t>
            </w:r>
          </w:p>
        </w:tc>
        <w:tc>
          <w:tcPr>
            <w:tcW w:type="dxa" w:w="14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≈$519.900</w:t>
            </w:r>
          </w:p>
        </w:tc>
        <w:tc>
          <w:tcPr>
            <w:tcW w:type="dxa" w:w="27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Ventaja: mejores ángulos de visión (IPS). Desventaja: un poco más costoso.</w:t>
            </w:r>
          </w:p>
        </w:tc>
      </w:tr>
      <w:tr>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Kalley 21.5" K-M21</w:t>
            </w:r>
          </w:p>
        </w:tc>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21.5" FHD, panel VA, HDMI + VGA</w:t>
            </w:r>
          </w:p>
        </w:tc>
        <w:tc>
          <w:tcPr>
            <w:tcW w:type="dxa" w:w="14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≈$389.900</w:t>
            </w:r>
          </w:p>
        </w:tc>
        <w:tc>
          <w:tcPr>
            <w:tcW w:type="dxa" w:w="27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Ventaja: el más económico. Desventaja: pantalla más pequeña y menos brillo.</w:t>
            </w:r>
          </w:p>
        </w:tc>
      </w:tr>
    </w:tbl>
    <w:p>
      <w:pPr>
        <w:spacing w:after="160" w:before="80"/>
      </w:pPr>
      <w:r>
        <w:rPr>
          <w:rFonts w:ascii="Calibri" w:cs="Calibri" w:eastAsia="Calibri" w:hAnsi="Calibri"/>
          <w:b/>
          <w:bCs/>
          <w:color w:val="62551C"/>
          <w:sz w:val="21"/>
          <w:szCs w:val="21"/>
        </w:rPr>
        <w:t xml:space="preserve">Recomendación: </w:t>
      </w:r>
      <w:r>
        <w:rPr>
          <w:rFonts w:ascii="Calibri" w:cs="Calibri" w:eastAsia="Calibri" w:hAnsi="Calibri"/>
          <w:sz w:val="21"/>
          <w:szCs w:val="21"/>
        </w:rPr>
        <w:t xml:space="preserve">LG 24" 24MP400 (panel IPS). El panel IPS ofrece mejores colores y ángulos de visión, útil para revisar tablas y cotizaciones durante varias horas, con un sobrecosto mínimo frente a las otras opciones.</w:t>
      </w:r>
    </w:p>
    <w:p>
      <w:pPr>
        <w:spacing w:after="20" w:before="20"/>
      </w:pPr>
      <w:r>
        <w:rPr>
          <w:rFonts w:ascii="Calibri" w:cs="Calibri" w:eastAsia="Calibri" w:hAnsi="Calibri"/>
          <w:b/>
          <w:bCs/>
          <w:i/>
          <w:iCs/>
          <w:color w:val="595959"/>
          <w:sz w:val="18"/>
          <w:szCs w:val="18"/>
        </w:rPr>
        <w:t xml:space="preserve">Fuente: </w:t>
      </w:r>
      <w:hyperlink w:history="1" r:id="rId2zyjny7mvb0maize2e4io">
        <w:r>
          <w:rPr>
            <w:rFonts w:ascii="Calibri" w:cs="Calibri" w:eastAsia="Calibri" w:hAnsi="Calibri"/>
            <w:color w:val="1155CC"/>
            <w:sz w:val="18"/>
            <w:szCs w:val="18"/>
            <w:u w:val="single"/>
          </w:rPr>
          <w:t xml:space="preserve">https://www.alkosto.com/computadores-tablet/monitores/c/BI_110_ALKOS</w:t>
        </w:r>
      </w:hyperlink>
      <w:r>
        <w:rPr>
          <w:rFonts w:ascii="Calibri" w:cs="Calibri" w:eastAsia="Calibri" w:hAnsi="Calibri"/>
          <w:i/>
          <w:iCs/>
          <w:color w:val="595959"/>
          <w:sz w:val="18"/>
          <w:szCs w:val="18"/>
        </w:rPr>
        <w:t xml:space="preserve"> — Precios de referencia consultados junio 2026.</w:t>
      </w:r>
    </w:p>
    <w:p>
      <w:pPr>
        <w:pStyle w:val="Heading2"/>
        <w:spacing w:after="120" w:before="260"/>
      </w:pPr>
      <w:r>
        <w:rPr>
          <w:rFonts w:ascii="Calibri" w:cs="Calibri" w:eastAsia="Calibri" w:hAnsi="Calibri"/>
          <w:b/>
          <w:bCs/>
          <w:color w:val="62551C"/>
          <w:sz w:val="25"/>
          <w:szCs w:val="25"/>
        </w:rPr>
        <w:t xml:space="preserve">5.4 Routers / Conectividad</w:t>
      </w:r>
    </w:p>
    <w:tbl>
      <w:tblPr>
        <w:tblW w:type="dxa" w:w="9350"/>
        <w:tblBorders>
          <w:top w:val="single" w:color="C9BBA0" w:sz="4"/>
          <w:left w:val="single" w:color="C9BBA0" w:sz="4"/>
          <w:bottom w:val="single" w:color="C9BBA0" w:sz="4"/>
          <w:right w:val="single" w:color="C9BBA0" w:sz="4"/>
          <w:insideH w:val="single" w:color="auto" w:sz="4"/>
          <w:insideV w:val="single" w:color="auto" w:sz="4"/>
        </w:tblBorders>
      </w:tblPr>
      <w:tblGrid>
        <w:gridCol w:w="2600"/>
        <w:gridCol w:w="3200"/>
        <w:gridCol w:w="1200"/>
        <w:gridCol w:w="2350"/>
      </w:tblGrid>
      <w:tr>
        <w:trPr>
          <w:tblHeader/>
        </w:trPr>
        <w:tc>
          <w:tcPr>
            <w:tcW w:type="dxa" w:w="26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Marca y modelo</w:t>
            </w:r>
          </w:p>
        </w:tc>
        <w:tc>
          <w:tcPr>
            <w:tcW w:type="dxa" w:w="32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Especificaciones principales</w:t>
            </w:r>
          </w:p>
        </w:tc>
        <w:tc>
          <w:tcPr>
            <w:tcW w:type="dxa" w:w="12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Precio aprox.</w:t>
            </w:r>
          </w:p>
        </w:tc>
        <w:tc>
          <w:tcPr>
            <w:tcW w:type="dxa" w:w="235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Ventajas / Desventajas</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TP-Link Archer C6 (AC1200)</w:t>
            </w:r>
          </w:p>
        </w:tc>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Router doble banda (2.4 GHz + 5 GHz), 4 puertos LAN, WiFi AC</w:t>
            </w:r>
          </w:p>
        </w:tc>
        <w:tc>
          <w:tcPr>
            <w:tcW w:type="dxa" w:w="12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≈$149.900</w:t>
            </w:r>
          </w:p>
        </w:tc>
        <w:tc>
          <w:tcPr>
            <w:tcW w:type="dxa" w:w="23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Ventaja: buena relación precio-cobertura. Desventaja: sin WiFi 6.</w:t>
            </w:r>
          </w:p>
        </w:tc>
      </w:tr>
      <w:tr>
        <w:tc>
          <w:tcPr>
            <w:tcW w:type="dxa" w:w="26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TP-Link Archer AX1500 (WiFi 6)</w:t>
            </w:r>
          </w:p>
        </w:tc>
        <w:tc>
          <w:tcPr>
            <w:tcW w:type="dxa" w:w="32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Router doble banda WiFi 6, 4 puertos LAN Gigabit</w:t>
            </w:r>
          </w:p>
        </w:tc>
        <w:tc>
          <w:tcPr>
            <w:tcW w:type="dxa" w:w="12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≈$229.900</w:t>
            </w:r>
          </w:p>
        </w:tc>
        <w:tc>
          <w:tcPr>
            <w:tcW w:type="dxa" w:w="23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Ventaja: más rápido y soporta más dispositivos conectados. Desventaja: precio más alto.</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Router del operador (incluido en el plan de Internet)</w:t>
            </w:r>
          </w:p>
        </w:tc>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Router básico que entrega el proveedor de Internet contratado</w:t>
            </w:r>
          </w:p>
        </w:tc>
        <w:tc>
          <w:tcPr>
            <w:tcW w:type="dxa" w:w="12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$0 (incluido en el plan)</w:t>
            </w:r>
          </w:p>
        </w:tc>
        <w:tc>
          <w:tcPr>
            <w:tcW w:type="dxa" w:w="23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Ventaja: sin costo adicional. Desventaja: cobertura y velocidad limitadas en oficinas grandes.</w:t>
            </w:r>
          </w:p>
        </w:tc>
      </w:tr>
    </w:tbl>
    <w:p>
      <w:pPr>
        <w:spacing w:after="160" w:before="80"/>
      </w:pPr>
      <w:r>
        <w:rPr>
          <w:rFonts w:ascii="Calibri" w:cs="Calibri" w:eastAsia="Calibri" w:hAnsi="Calibri"/>
          <w:b/>
          <w:bCs/>
          <w:color w:val="62551C"/>
          <w:sz w:val="21"/>
          <w:szCs w:val="21"/>
        </w:rPr>
        <w:t xml:space="preserve">Recomendación: </w:t>
      </w:r>
      <w:r>
        <w:rPr>
          <w:rFonts w:ascii="Calibri" w:cs="Calibri" w:eastAsia="Calibri" w:hAnsi="Calibri"/>
          <w:sz w:val="21"/>
          <w:szCs w:val="21"/>
        </w:rPr>
        <w:t xml:space="preserve">TP-Link Archer C6 (AC1200). Ofrece cobertura y velocidad suficientes para el punto administrativo de Mudanzas Sharon a un costo bajo; el WiFi 6 del Archer AX1500 solo se justifica si en el futuro se conectan muchos dispositivos IoT o varios equipos simultáneos.</w:t>
      </w:r>
    </w:p>
    <w:p>
      <w:pPr>
        <w:spacing w:after="20" w:before="20"/>
      </w:pPr>
      <w:r>
        <w:rPr>
          <w:rFonts w:ascii="Calibri" w:cs="Calibri" w:eastAsia="Calibri" w:hAnsi="Calibri"/>
          <w:b/>
          <w:bCs/>
          <w:i/>
          <w:iCs/>
          <w:color w:val="595959"/>
          <w:sz w:val="18"/>
          <w:szCs w:val="18"/>
        </w:rPr>
        <w:t xml:space="preserve">Fuente: </w:t>
      </w:r>
      <w:hyperlink w:history="1" r:id="rId69r0bzp919bsa8u5822_w">
        <w:r>
          <w:rPr>
            <w:rFonts w:ascii="Calibri" w:cs="Calibri" w:eastAsia="Calibri" w:hAnsi="Calibri"/>
            <w:color w:val="1155CC"/>
            <w:sz w:val="18"/>
            <w:szCs w:val="18"/>
            <w:u w:val="single"/>
          </w:rPr>
          <w:t xml:space="preserve">https://www.alkosto.com/casa-inteligente-domotica/redes-wifi/routers/c/BI_5004_ALKOS</w:t>
        </w:r>
      </w:hyperlink>
      <w:r>
        <w:rPr>
          <w:rFonts w:ascii="Calibri" w:cs="Calibri" w:eastAsia="Calibri" w:hAnsi="Calibri"/>
          <w:i/>
          <w:iCs/>
          <w:color w:val="595959"/>
          <w:sz w:val="18"/>
          <w:szCs w:val="18"/>
        </w:rPr>
        <w:t xml:space="preserve"> — Precios de referencia consultados junio 2026.</w:t>
      </w:r>
    </w:p>
    <w:p>
      <w:pPr>
        <w:pStyle w:val="Heading2"/>
        <w:spacing w:after="120" w:before="260"/>
      </w:pPr>
      <w:r>
        <w:rPr>
          <w:rFonts w:ascii="Calibri" w:cs="Calibri" w:eastAsia="Calibri" w:hAnsi="Calibri"/>
          <w:b/>
          <w:bCs/>
          <w:color w:val="62551C"/>
          <w:sz w:val="25"/>
          <w:szCs w:val="25"/>
        </w:rPr>
        <w:t xml:space="preserve">5.5 UPS (protección eléctrica)</w:t>
      </w:r>
    </w:p>
    <w:p>
      <w:pPr>
        <w:spacing w:after="160"/>
      </w:pPr>
      <w:r>
        <w:rPr>
          <w:rFonts w:ascii="Calibri" w:cs="Calibri" w:eastAsia="Calibri" w:hAnsi="Calibri"/>
          <w:b w:val="false"/>
          <w:bCs w:val="false"/>
          <w:i w:val="false"/>
          <w:iCs w:val="false"/>
          <w:color w:val="1A1A1A"/>
          <w:sz w:val="21"/>
          <w:szCs w:val="21"/>
        </w:rPr>
        <w:t xml:space="preserve">Un UPS (sistema de alimentación ininterrumpida) protege el computador administrativo contra apagones y variaciones de energía, evitando que se pierda información mientras se usa LOGISTICARGO SYSTEM.</w:t>
      </w:r>
    </w:p>
    <w:tbl>
      <w:tblPr>
        <w:tblW w:type="dxa" w:w="9350"/>
        <w:tblBorders>
          <w:top w:val="single" w:color="C9BBA0" w:sz="4"/>
          <w:left w:val="single" w:color="C9BBA0" w:sz="4"/>
          <w:bottom w:val="single" w:color="C9BBA0" w:sz="4"/>
          <w:right w:val="single" w:color="C9BBA0" w:sz="4"/>
          <w:insideH w:val="single" w:color="auto" w:sz="4"/>
          <w:insideV w:val="single" w:color="auto" w:sz="4"/>
        </w:tblBorders>
      </w:tblPr>
      <w:tblGrid>
        <w:gridCol w:w="2100"/>
        <w:gridCol w:w="3200"/>
        <w:gridCol w:w="1300"/>
        <w:gridCol w:w="2750"/>
      </w:tblGrid>
      <w:tr>
        <w:trPr>
          <w:tblHeader/>
        </w:trPr>
        <w:tc>
          <w:tcPr>
            <w:tcW w:type="dxa" w:w="21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Marca y modelo</w:t>
            </w:r>
          </w:p>
        </w:tc>
        <w:tc>
          <w:tcPr>
            <w:tcW w:type="dxa" w:w="32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Especificaciones principales</w:t>
            </w:r>
          </w:p>
        </w:tc>
        <w:tc>
          <w:tcPr>
            <w:tcW w:type="dxa" w:w="13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Precio aprox.</w:t>
            </w:r>
          </w:p>
        </w:tc>
        <w:tc>
          <w:tcPr>
            <w:tcW w:type="dxa" w:w="275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Ventajas / Desventajas</w:t>
            </w:r>
          </w:p>
        </w:tc>
      </w:tr>
      <w:tr>
        <w:tc>
          <w:tcPr>
            <w:tcW w:type="dxa" w:w="21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APC Back-UPS BE600M8</w:t>
            </w:r>
          </w:p>
        </w:tc>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600 VA / 330 W, 8 tomas, autonomía aprox. 5-10 min</w:t>
            </w:r>
          </w:p>
        </w:tc>
        <w:tc>
          <w:tcPr>
            <w:tcW w:type="dxa" w:w="13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≈$339.900</w:t>
            </w:r>
          </w:p>
        </w:tc>
        <w:tc>
          <w:tcPr>
            <w:tcW w:type="dxa" w:w="27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Ventaja: marca reconocida, buen soporte. Desventaja: autonomía corta si el apagón se extiende.</w:t>
            </w:r>
          </w:p>
        </w:tc>
      </w:tr>
      <w:tr>
        <w:tc>
          <w:tcPr>
            <w:tcW w:type="dxa" w:w="21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Forza NT-611</w:t>
            </w:r>
          </w:p>
        </w:tc>
        <w:tc>
          <w:tcPr>
            <w:tcW w:type="dxa" w:w="32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600 VA / 300 W, 6 tomas, autonomía aprox. 5-8 min</w:t>
            </w:r>
          </w:p>
        </w:tc>
        <w:tc>
          <w:tcPr>
            <w:tcW w:type="dxa" w:w="13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≈$219.900</w:t>
            </w:r>
          </w:p>
        </w:tc>
        <w:tc>
          <w:tcPr>
            <w:tcW w:type="dxa" w:w="27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Ventaja: más económico. Desventaja: menor cantidad de tomas reguladas.</w:t>
            </w:r>
          </w:p>
        </w:tc>
      </w:tr>
      <w:tr>
        <w:tc>
          <w:tcPr>
            <w:tcW w:type="dxa" w:w="21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APC Back-UPS BX1000M</w:t>
            </w:r>
          </w:p>
        </w:tc>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1000 VA / 600 W, 8 tomas, autonomía aprox. 10-15 min</w:t>
            </w:r>
          </w:p>
        </w:tc>
        <w:tc>
          <w:tcPr>
            <w:tcW w:type="dxa" w:w="13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≈$549.900</w:t>
            </w:r>
          </w:p>
        </w:tc>
        <w:tc>
          <w:tcPr>
            <w:tcW w:type="dxa" w:w="27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Ventaja: mayor autonomía, cubre también el router. Desventaja: el más costoso de los tres.</w:t>
            </w:r>
          </w:p>
        </w:tc>
      </w:tr>
    </w:tbl>
    <w:p>
      <w:pPr>
        <w:spacing w:after="160" w:before="80"/>
      </w:pPr>
      <w:r>
        <w:rPr>
          <w:rFonts w:ascii="Calibri" w:cs="Calibri" w:eastAsia="Calibri" w:hAnsi="Calibri"/>
          <w:b/>
          <w:bCs/>
          <w:color w:val="62551C"/>
          <w:sz w:val="21"/>
          <w:szCs w:val="21"/>
        </w:rPr>
        <w:t xml:space="preserve">Recomendación: </w:t>
      </w:r>
      <w:r>
        <w:rPr>
          <w:rFonts w:ascii="Calibri" w:cs="Calibri" w:eastAsia="Calibri" w:hAnsi="Calibri"/>
          <w:sz w:val="21"/>
          <w:szCs w:val="21"/>
        </w:rPr>
        <w:t xml:space="preserve">APC Back-UPS BE600M8. Es suficiente para proteger el computador y el router durante un apagón corto, con una marca confiable y soporte técnico disponible en Colombia; el modelo de 1000 VA solo se justifica si a futuro se conectan más equipos al mismo UPS.</w:t>
      </w:r>
    </w:p>
    <w:p>
      <w:pPr>
        <w:spacing w:after="20" w:before="20"/>
      </w:pPr>
      <w:r>
        <w:rPr>
          <w:rFonts w:ascii="Calibri" w:cs="Calibri" w:eastAsia="Calibri" w:hAnsi="Calibri"/>
          <w:b/>
          <w:bCs/>
          <w:i/>
          <w:iCs/>
          <w:color w:val="595959"/>
          <w:sz w:val="18"/>
          <w:szCs w:val="18"/>
        </w:rPr>
        <w:t xml:space="preserve">Fuente: </w:t>
      </w:r>
      <w:hyperlink w:history="1" r:id="rIdaf3yf5igdgj0yerxjitip">
        <w:r>
          <w:rPr>
            <w:rFonts w:ascii="Calibri" w:cs="Calibri" w:eastAsia="Calibri" w:hAnsi="Calibri"/>
            <w:color w:val="1155CC"/>
            <w:sz w:val="18"/>
            <w:szCs w:val="18"/>
            <w:u w:val="single"/>
          </w:rPr>
          <w:t xml:space="preserve">https://www.alkosto.com/accesorios-electronica/reguladores-voltaje-ups-multitomas/c/BI_146_ALKOS</w:t>
        </w:r>
      </w:hyperlink>
      <w:r>
        <w:rPr>
          <w:rFonts w:ascii="Calibri" w:cs="Calibri" w:eastAsia="Calibri" w:hAnsi="Calibri"/>
          <w:i/>
          <w:iCs/>
          <w:color w:val="595959"/>
          <w:sz w:val="18"/>
          <w:szCs w:val="18"/>
        </w:rPr>
        <w:t xml:space="preserve"> — Precios de referencia consultados junio 2026.</w:t>
      </w:r>
    </w:p>
    <w:p>
      <w:pPr>
        <w:pStyle w:val="Heading2"/>
        <w:spacing w:after="120" w:before="260"/>
      </w:pPr>
      <w:r>
        <w:rPr>
          <w:rFonts w:ascii="Calibri" w:cs="Calibri" w:eastAsia="Calibri" w:hAnsi="Calibri"/>
          <w:b/>
          <w:bCs/>
          <w:color w:val="62551C"/>
          <w:sz w:val="25"/>
          <w:szCs w:val="25"/>
        </w:rPr>
        <w:t xml:space="preserve">5.6 Impresora (solo si es realmente necesaria)</w:t>
      </w:r>
    </w:p>
    <w:p>
      <w:pPr>
        <w:spacing w:after="160"/>
      </w:pPr>
      <w:r>
        <w:rPr>
          <w:rFonts w:ascii="Calibri" w:cs="Calibri" w:eastAsia="Calibri" w:hAnsi="Calibri"/>
          <w:b w:val="false"/>
          <w:bCs w:val="false"/>
          <w:i w:val="false"/>
          <w:iCs w:val="false"/>
          <w:color w:val="1A1A1A"/>
          <w:sz w:val="21"/>
          <w:szCs w:val="21"/>
        </w:rPr>
        <w:t xml:space="preserve">LOGISTICARGO SYSTEM está diseñado para digitalizar la operación de Mudanzas Sharon (cotizaciones, órdenes de servicio y reportes quedan almacenados en el sistema), por lo que una impresora no es indispensable para el funcionamiento del software. Se incluye como referencia únicamente para el caso en que la empresa necesite entregar una cotización o un comprobante físico al cliente.</w:t>
      </w:r>
    </w:p>
    <w:tbl>
      <w:tblPr>
        <w:tblW w:type="dxa" w:w="9350"/>
        <w:tblBorders>
          <w:top w:val="single" w:color="C9BBA0" w:sz="4"/>
          <w:left w:val="single" w:color="C9BBA0" w:sz="4"/>
          <w:bottom w:val="single" w:color="C9BBA0" w:sz="4"/>
          <w:right w:val="single" w:color="C9BBA0" w:sz="4"/>
          <w:insideH w:val="single" w:color="auto" w:sz="4"/>
          <w:insideV w:val="single" w:color="auto" w:sz="4"/>
        </w:tblBorders>
      </w:tblPr>
      <w:tblGrid>
        <w:gridCol w:w="2600"/>
        <w:gridCol w:w="3600"/>
        <w:gridCol w:w="1600"/>
        <w:gridCol w:w="1550"/>
      </w:tblGrid>
      <w:tr>
        <w:trPr>
          <w:tblHeader/>
        </w:trPr>
        <w:tc>
          <w:tcPr>
            <w:tcW w:type="dxa" w:w="26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Marca y modelo</w:t>
            </w:r>
          </w:p>
        </w:tc>
        <w:tc>
          <w:tcPr>
            <w:tcW w:type="dxa" w:w="36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Tipo</w:t>
            </w:r>
          </w:p>
        </w:tc>
        <w:tc>
          <w:tcPr>
            <w:tcW w:type="dxa" w:w="16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Precio aprox.</w:t>
            </w:r>
          </w:p>
        </w:tc>
        <w:tc>
          <w:tcPr>
            <w:tcW w:type="dxa" w:w="155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¿Necesaria para el sistema?</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HP DeskJet Ink Advantage 2876</w:t>
            </w:r>
          </w:p>
        </w:tc>
        <w:tc>
          <w:tcPr>
            <w:tcW w:type="dxa" w:w="36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Multifuncional de inyección de tinta, WiFi</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≈$289.900</w:t>
            </w:r>
          </w:p>
        </w:tc>
        <w:tc>
          <w:tcPr>
            <w:tcW w:type="dxa" w:w="15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No es obligatoria; útil solo si se requieren copias físicas ocasionales.</w:t>
            </w:r>
          </w:p>
        </w:tc>
      </w:tr>
      <w:tr>
        <w:tc>
          <w:tcPr>
            <w:tcW w:type="dxa" w:w="26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Epson EcoTank L3250</w:t>
            </w:r>
          </w:p>
        </w:tc>
        <w:tc>
          <w:tcPr>
            <w:tcW w:type="dxa" w:w="36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Multifuncional de tanque de tinta continuo, WiFi</w:t>
            </w:r>
          </w:p>
        </w:tc>
        <w:tc>
          <w:tcPr>
            <w:tcW w:type="dxa" w:w="16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≈$799.900</w:t>
            </w:r>
          </w:p>
        </w:tc>
        <w:tc>
          <w:tcPr>
            <w:tcW w:type="dxa" w:w="15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No es obligatoria; conviene si el volumen de impresión es alto (menor costo por página).</w:t>
            </w:r>
          </w:p>
        </w:tc>
      </w:tr>
    </w:tbl>
    <w:p>
      <w:pPr>
        <w:spacing w:after="160" w:before="80"/>
      </w:pPr>
      <w:r>
        <w:rPr>
          <w:rFonts w:ascii="Calibri" w:cs="Calibri" w:eastAsia="Calibri" w:hAnsi="Calibri"/>
          <w:b/>
          <w:bCs/>
          <w:color w:val="62551C"/>
          <w:sz w:val="21"/>
          <w:szCs w:val="21"/>
        </w:rPr>
        <w:t xml:space="preserve">Recomendación: </w:t>
      </w:r>
      <w:r>
        <w:rPr>
          <w:rFonts w:ascii="Calibri" w:cs="Calibri" w:eastAsia="Calibri" w:hAnsi="Calibri"/>
          <w:sz w:val="21"/>
          <w:szCs w:val="21"/>
        </w:rPr>
        <w:t xml:space="preserve">no se recomienda adquirir impresora como parte de este proyecto. Si en el futuro el volumen de impresión de Mudanzas Sharon crece, la opción de tanque de tinta continuo (Epson EcoTank) resulta más económica por página que una impresora de cartuchos tradicionales.</w:t>
      </w:r>
    </w:p>
    <w:p>
      <w:pPr>
        <w:spacing w:after="20" w:before="20"/>
      </w:pPr>
      <w:r>
        <w:rPr>
          <w:rFonts w:ascii="Calibri" w:cs="Calibri" w:eastAsia="Calibri" w:hAnsi="Calibri"/>
          <w:b/>
          <w:bCs/>
          <w:i/>
          <w:iCs/>
          <w:color w:val="595959"/>
          <w:sz w:val="18"/>
          <w:szCs w:val="18"/>
        </w:rPr>
        <w:t xml:space="preserve">Fuente: </w:t>
      </w:r>
      <w:hyperlink w:history="1" r:id="rIdi9j5jqcis8xav_x2mrhb_">
        <w:r>
          <w:rPr>
            <w:rFonts w:ascii="Calibri" w:cs="Calibri" w:eastAsia="Calibri" w:hAnsi="Calibri"/>
            <w:color w:val="1155CC"/>
            <w:sz w:val="18"/>
            <w:szCs w:val="18"/>
            <w:u w:val="single"/>
          </w:rPr>
          <w:t xml:space="preserve">https://www.alkosto.com/computadores-tablet/impresion/impresoras-multifuncionales/c/BI_0210_ALKOS</w:t>
        </w:r>
      </w:hyperlink>
      <w:r>
        <w:rPr>
          <w:rFonts w:ascii="Calibri" w:cs="Calibri" w:eastAsia="Calibri" w:hAnsi="Calibri"/>
          <w:i/>
          <w:iCs/>
          <w:color w:val="595959"/>
          <w:sz w:val="18"/>
          <w:szCs w:val="18"/>
        </w:rPr>
        <w:t xml:space="preserve"> — Precios de referencia consultados junio 2026.</w:t>
      </w:r>
    </w:p>
    <w:p>
      <w:pPr>
        <w:pStyle w:val="Heading2"/>
        <w:spacing w:after="120" w:before="260"/>
      </w:pPr>
      <w:r>
        <w:rPr>
          <w:rFonts w:ascii="Calibri" w:cs="Calibri" w:eastAsia="Calibri" w:hAnsi="Calibri"/>
          <w:b/>
          <w:bCs/>
          <w:color w:val="62551C"/>
          <w:sz w:val="25"/>
          <w:szCs w:val="25"/>
        </w:rPr>
        <w:t xml:space="preserve">5.7 Resumen de inversión recomendada en equipos</w:t>
      </w:r>
    </w:p>
    <w:tbl>
      <w:tblPr>
        <w:tblW w:type="dxa" w:w="9350"/>
        <w:tblBorders>
          <w:top w:val="single" w:color="C9BBA0" w:sz="4"/>
          <w:left w:val="single" w:color="C9BBA0" w:sz="4"/>
          <w:bottom w:val="single" w:color="C9BBA0" w:sz="4"/>
          <w:right w:val="single" w:color="C9BBA0" w:sz="4"/>
          <w:insideH w:val="single" w:color="auto" w:sz="4"/>
          <w:insideV w:val="single" w:color="auto" w:sz="4"/>
        </w:tblBorders>
      </w:tblPr>
      <w:tblGrid>
        <w:gridCol w:w="3000"/>
        <w:gridCol w:w="4350"/>
        <w:gridCol w:w="2000"/>
      </w:tblGrid>
      <w:tr>
        <w:trPr>
          <w:tblHeader/>
        </w:trPr>
        <w:tc>
          <w:tcPr>
            <w:tcW w:type="dxa" w:w="30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Categoría</w:t>
            </w:r>
          </w:p>
        </w:tc>
        <w:tc>
          <w:tcPr>
            <w:tcW w:type="dxa" w:w="435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Opción recomendada</w:t>
            </w:r>
          </w:p>
        </w:tc>
        <w:tc>
          <w:tcPr>
            <w:tcW w:type="dxa" w:w="20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Precio aprox.</w:t>
            </w:r>
          </w:p>
        </w:tc>
      </w:tr>
      <w:tr>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Computador administrativo</w:t>
            </w:r>
          </w:p>
        </w:tc>
        <w:tc>
          <w:tcPr>
            <w:tcW w:type="dxa" w:w="43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HP torre + monitor 21.5"</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$1.950.000</w:t>
            </w:r>
          </w:p>
        </w:tc>
      </w:tr>
      <w:tr>
        <w:tc>
          <w:tcPr>
            <w:tcW w:type="dxa" w:w="30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Portátil (movilidad)</w:t>
            </w:r>
          </w:p>
        </w:tc>
        <w:tc>
          <w:tcPr>
            <w:tcW w:type="dxa" w:w="43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Lenovo IdeaPad Slim 3 15.3"</w:t>
            </w:r>
          </w:p>
        </w:tc>
        <w:tc>
          <w:tcPr>
            <w:tcW w:type="dxa" w:w="20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$2.049.070</w:t>
            </w:r>
          </w:p>
        </w:tc>
      </w:tr>
      <w:tr>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Monitor adicional (si se usa AIO/torre)</w:t>
            </w:r>
          </w:p>
        </w:tc>
        <w:tc>
          <w:tcPr>
            <w:tcW w:type="dxa" w:w="43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LG 24" 24MP400</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$519.900</w:t>
            </w:r>
          </w:p>
        </w:tc>
      </w:tr>
      <w:tr>
        <w:tc>
          <w:tcPr>
            <w:tcW w:type="dxa" w:w="30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Router</w:t>
            </w:r>
          </w:p>
        </w:tc>
        <w:tc>
          <w:tcPr>
            <w:tcW w:type="dxa" w:w="43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TP-Link Archer C6 (AC1200)</w:t>
            </w:r>
          </w:p>
        </w:tc>
        <w:tc>
          <w:tcPr>
            <w:tcW w:type="dxa" w:w="20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$149.900</w:t>
            </w:r>
          </w:p>
        </w:tc>
      </w:tr>
      <w:tr>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UPS</w:t>
            </w:r>
          </w:p>
        </w:tc>
        <w:tc>
          <w:tcPr>
            <w:tcW w:type="dxa" w:w="43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APC Back-UPS BE600M8</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$339.900</w:t>
            </w:r>
          </w:p>
        </w:tc>
      </w:tr>
      <w:tr>
        <w:tc>
          <w:tcPr>
            <w:tcW w:type="dxa" w:w="30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Impresora</w:t>
            </w:r>
          </w:p>
        </w:tc>
        <w:tc>
          <w:tcPr>
            <w:tcW w:type="dxa" w:w="43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No se recomienda adquirir</w:t>
            </w:r>
          </w:p>
        </w:tc>
        <w:tc>
          <w:tcPr>
            <w:tcW w:type="dxa" w:w="20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$0</w:t>
            </w:r>
          </w:p>
        </w:tc>
      </w:tr>
    </w:tbl>
    <w:tr>
      <w:tc>
        <w:tcPr>
          <w:tcW w:type="dxa" w:w="3000"/>
          <w:shd w:fill="352913"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9"/>
              <w:szCs w:val="19"/>
            </w:rPr>
            <w:t xml:space="preserve">TOTAL INVERSIÓN RECOMENDADA (referencial)</w:t>
          </w:r>
        </w:p>
      </w:tc>
      <w:tc>
        <w:tcPr>
          <w:tcW w:type="dxa" w:w="4350"/>
          <w:shd w:fill="352913"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9"/>
              <w:szCs w:val="19"/>
            </w:rPr>
            <w:t xml:space="preserve"/>
          </w:r>
        </w:p>
      </w:tc>
      <w:tc>
        <w:tcPr>
          <w:tcW w:type="dxa" w:w="2000"/>
          <w:shd w:fill="352913"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9"/>
              <w:szCs w:val="19"/>
            </w:rPr>
            <w:t xml:space="preserve">≈$5.008.770 COP</w:t>
          </w:r>
        </w:p>
      </w:tc>
    </w:tr>
    <w:p>
      <w:pPr>
        <w:spacing w:after="200" w:before="100"/>
      </w:pPr>
      <w:r>
        <w:rPr>
          <w:rFonts w:ascii="Calibri" w:cs="Calibri" w:eastAsia="Calibri" w:hAnsi="Calibri"/>
          <w:b w:val="false"/>
          <w:bCs w:val="false"/>
          <w:i w:val="false"/>
          <w:iCs w:val="false"/>
          <w:color w:val="1A1A1A"/>
          <w:sz w:val="21"/>
          <w:szCs w:val="21"/>
        </w:rPr>
        <w:t xml:space="preserve">Esta inversión corresponde a equipos que Mudanzas Sharon adquiriría de forma independiente al presupuesto de desarrollo del proyecto (Secciones 11 a 14), ya que el hardware usado para programar y probar el sistema durante la etapa lectiva es el que se describió en la Sección 5 y no genera costo adicional.</w:t>
      </w:r>
    </w:p>
    <w:p>
      <w:pPr>
        <w:pStyle w:val="Heading1"/>
        <w:pBdr>
          <w:bottom w:val="single" w:color="62551C" w:sz="8" w:space="4"/>
        </w:pBdr>
        <w:spacing w:after="160" w:before="360"/>
      </w:pPr>
      <w:r>
        <w:rPr>
          <w:rFonts w:ascii="Calibri" w:cs="Calibri" w:eastAsia="Calibri" w:hAnsi="Calibri"/>
          <w:b/>
          <w:bCs/>
          <w:color w:val="62551C"/>
          <w:sz w:val="30"/>
          <w:szCs w:val="30"/>
        </w:rPr>
        <w:t xml:space="preserve">6. Fichas Técnicas de Software</w:t>
      </w:r>
    </w:p>
    <w:p>
      <w:pPr>
        <w:spacing w:after="160"/>
      </w:pPr>
      <w:r>
        <w:rPr>
          <w:rFonts w:ascii="Calibri" w:cs="Calibri" w:eastAsia="Calibri" w:hAnsi="Calibri"/>
          <w:b w:val="false"/>
          <w:bCs w:val="false"/>
          <w:i w:val="false"/>
          <w:iCs w:val="false"/>
          <w:color w:val="1A1A1A"/>
          <w:sz w:val="21"/>
          <w:szCs w:val="21"/>
        </w:rPr>
        <w:t xml:space="preserve">Todas las tecnologías usadas para desarrollar LOGISTICARGO SYSTEM son gratuitas y de código abierto (open source), por lo que no existe ningún costo por licencias de software en este proyecto.</w:t>
      </w:r>
    </w:p>
    <w:tbl>
      <w:tblPr>
        <w:tblW w:type="dxa" w:w="9350"/>
        <w:tblBorders>
          <w:top w:val="single" w:color="C9BBA0" w:sz="4"/>
          <w:left w:val="single" w:color="C9BBA0" w:sz="4"/>
          <w:bottom w:val="single" w:color="C9BBA0" w:sz="4"/>
          <w:right w:val="single" w:color="C9BBA0" w:sz="4"/>
          <w:insideH w:val="single" w:color="auto" w:sz="4"/>
          <w:insideV w:val="single" w:color="auto" w:sz="4"/>
        </w:tblBorders>
      </w:tblPr>
      <w:tblGrid>
        <w:gridCol w:w="1750"/>
        <w:gridCol w:w="3350"/>
        <w:gridCol w:w="1900"/>
        <w:gridCol w:w="900"/>
        <w:gridCol w:w="1450"/>
      </w:tblGrid>
      <w:tr>
        <w:trPr>
          <w:tblHeader/>
        </w:trPr>
        <w:tc>
          <w:tcPr>
            <w:tcW w:type="dxa" w:w="175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Software</w:t>
            </w:r>
          </w:p>
        </w:tc>
        <w:tc>
          <w:tcPr>
            <w:tcW w:type="dxa" w:w="335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Tipo / Uso</w:t>
            </w:r>
          </w:p>
        </w:tc>
        <w:tc>
          <w:tcPr>
            <w:tcW w:type="dxa" w:w="19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Licencia</w:t>
            </w:r>
          </w:p>
        </w:tc>
        <w:tc>
          <w:tcPr>
            <w:tcW w:type="dxa" w:w="9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Costo</w:t>
            </w:r>
          </w:p>
        </w:tc>
        <w:tc>
          <w:tcPr>
            <w:tcW w:type="dxa" w:w="145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Fuente oficial</w:t>
            </w:r>
          </w:p>
        </w:tc>
      </w:tr>
      <w:tr>
        <w:tc>
          <w:tcPr>
            <w:tcW w:type="dxa" w:w="17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HTML5</w:t>
            </w:r>
          </w:p>
        </w:tc>
        <w:tc>
          <w:tcPr>
            <w:tcW w:type="dxa" w:w="33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Lenguaje de marcado para estructura de páginas web (frontend)</w:t>
            </w:r>
          </w:p>
        </w:tc>
        <w:tc>
          <w:tcPr>
            <w:tcW w:type="dxa" w:w="19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Estándar abierto W3C</w:t>
            </w:r>
          </w:p>
        </w:tc>
        <w:tc>
          <w:tcPr>
            <w:tcW w:type="dxa" w:w="9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$0</w:t>
            </w:r>
          </w:p>
        </w:tc>
        <w:tc>
          <w:tcPr>
            <w:tcW w:type="dxa" w:w="14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w3.org/standards/</w:t>
            </w:r>
          </w:p>
        </w:tc>
      </w:tr>
      <w:tr>
        <w:tc>
          <w:tcPr>
            <w:tcW w:type="dxa" w:w="17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CSS3</w:t>
            </w:r>
          </w:p>
        </w:tc>
        <w:tc>
          <w:tcPr>
            <w:tcW w:type="dxa" w:w="33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Lenguaje de estilos visuales de las páginas web (frontend)</w:t>
            </w:r>
          </w:p>
        </w:tc>
        <w:tc>
          <w:tcPr>
            <w:tcW w:type="dxa" w:w="19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Estándar abierto W3C</w:t>
            </w:r>
          </w:p>
        </w:tc>
        <w:tc>
          <w:tcPr>
            <w:tcW w:type="dxa" w:w="9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$0</w:t>
            </w:r>
          </w:p>
        </w:tc>
        <w:tc>
          <w:tcPr>
            <w:tcW w:type="dxa" w:w="14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w3.org/Style/CSS</w:t>
            </w:r>
          </w:p>
        </w:tc>
      </w:tr>
      <w:tr>
        <w:tc>
          <w:tcPr>
            <w:tcW w:type="dxa" w:w="17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JavaScript (ES6+)</w:t>
            </w:r>
          </w:p>
        </w:tc>
        <w:tc>
          <w:tcPr>
            <w:tcW w:type="dxa" w:w="33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Interactividad del lado del cliente</w:t>
            </w:r>
          </w:p>
        </w:tc>
        <w:tc>
          <w:tcPr>
            <w:tcW w:type="dxa" w:w="19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Estándar abierto ECMAScript</w:t>
            </w:r>
          </w:p>
        </w:tc>
        <w:tc>
          <w:tcPr>
            <w:tcW w:type="dxa" w:w="9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$0</w:t>
            </w:r>
          </w:p>
        </w:tc>
        <w:tc>
          <w:tcPr>
            <w:tcW w:type="dxa" w:w="14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ecma-international.org</w:t>
            </w:r>
          </w:p>
        </w:tc>
      </w:tr>
      <w:tr>
        <w:tc>
          <w:tcPr>
            <w:tcW w:type="dxa" w:w="17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PHP 8.x</w:t>
            </w:r>
          </w:p>
        </w:tc>
        <w:tc>
          <w:tcPr>
            <w:tcW w:type="dxa" w:w="33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Lenguaje del lado del servidor (backend), procesa la lógica de negocio</w:t>
            </w:r>
          </w:p>
        </w:tc>
        <w:tc>
          <w:tcPr>
            <w:tcW w:type="dxa" w:w="19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PHP License v3.01</w:t>
            </w:r>
          </w:p>
        </w:tc>
        <w:tc>
          <w:tcPr>
            <w:tcW w:type="dxa" w:w="9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$0</w:t>
            </w:r>
          </w:p>
        </w:tc>
        <w:tc>
          <w:tcPr>
            <w:tcW w:type="dxa" w:w="14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php.net/license</w:t>
            </w:r>
          </w:p>
        </w:tc>
      </w:tr>
      <w:tr>
        <w:tc>
          <w:tcPr>
            <w:tcW w:type="dxa" w:w="17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MySQL 8.x</w:t>
            </w:r>
          </w:p>
        </w:tc>
        <w:tc>
          <w:tcPr>
            <w:tcW w:type="dxa" w:w="33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Motor de base de datos relacional</w:t>
            </w:r>
          </w:p>
        </w:tc>
        <w:tc>
          <w:tcPr>
            <w:tcW w:type="dxa" w:w="19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GPL v2 (Community Edition)</w:t>
            </w:r>
          </w:p>
        </w:tc>
        <w:tc>
          <w:tcPr>
            <w:tcW w:type="dxa" w:w="9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$0</w:t>
            </w:r>
          </w:p>
        </w:tc>
        <w:tc>
          <w:tcPr>
            <w:tcW w:type="dxa" w:w="14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mysql.com/products/community</w:t>
            </w:r>
          </w:p>
        </w:tc>
      </w:tr>
      <w:tr>
        <w:tc>
          <w:tcPr>
            <w:tcW w:type="dxa" w:w="17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Git 2.x</w:t>
            </w:r>
          </w:p>
        </w:tc>
        <w:tc>
          <w:tcPr>
            <w:tcW w:type="dxa" w:w="33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Control de versiones distribuido</w:t>
            </w:r>
          </w:p>
        </w:tc>
        <w:tc>
          <w:tcPr>
            <w:tcW w:type="dxa" w:w="19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GNU GPL v2</w:t>
            </w:r>
          </w:p>
        </w:tc>
        <w:tc>
          <w:tcPr>
            <w:tcW w:type="dxa" w:w="9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$0</w:t>
            </w:r>
          </w:p>
        </w:tc>
        <w:tc>
          <w:tcPr>
            <w:tcW w:type="dxa" w:w="14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git-scm.com/about</w:t>
            </w:r>
          </w:p>
        </w:tc>
      </w:tr>
      <w:tr>
        <w:tc>
          <w:tcPr>
            <w:tcW w:type="dxa" w:w="17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GitHub (plan Free)</w:t>
            </w:r>
          </w:p>
        </w:tc>
        <w:tc>
          <w:tcPr>
            <w:tcW w:type="dxa" w:w="33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Alojamiento del repositorio y colaboración en equipo</w:t>
            </w:r>
          </w:p>
        </w:tc>
        <w:tc>
          <w:tcPr>
            <w:tcW w:type="dxa" w:w="19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Plan gratuito de GitHub</w:t>
            </w:r>
          </w:p>
        </w:tc>
        <w:tc>
          <w:tcPr>
            <w:tcW w:type="dxa" w:w="9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$0</w:t>
            </w:r>
          </w:p>
        </w:tc>
        <w:tc>
          <w:tcPr>
            <w:tcW w:type="dxa" w:w="14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github.com/pricing</w:t>
            </w:r>
          </w:p>
        </w:tc>
      </w:tr>
      <w:tr>
        <w:tc>
          <w:tcPr>
            <w:tcW w:type="dxa" w:w="17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Visual Studio Code</w:t>
            </w:r>
          </w:p>
        </w:tc>
        <w:tc>
          <w:tcPr>
            <w:tcW w:type="dxa" w:w="33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Editor de código usado por todo el equipo</w:t>
            </w:r>
          </w:p>
        </w:tc>
        <w:tc>
          <w:tcPr>
            <w:tcW w:type="dxa" w:w="19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MIT License</w:t>
            </w:r>
          </w:p>
        </w:tc>
        <w:tc>
          <w:tcPr>
            <w:tcW w:type="dxa" w:w="9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$0</w:t>
            </w:r>
          </w:p>
        </w:tc>
        <w:tc>
          <w:tcPr>
            <w:tcW w:type="dxa" w:w="14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code.visualstudio.com/license</w:t>
            </w:r>
          </w:p>
        </w:tc>
      </w:tr>
    </w:tbl>
    <w:tr>
      <w:tc>
        <w:tcPr>
          <w:tcW w:type="dxa" w:w="1750"/>
          <w:shd w:fill="352913"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9"/>
              <w:szCs w:val="19"/>
            </w:rPr>
            <w:t xml:space="preserve">TOTAL LICENCIAS DE SOFTWARE</w:t>
          </w:r>
        </w:p>
      </w:tc>
      <w:tc>
        <w:tcPr>
          <w:tcW w:type="dxa" w:w="3350"/>
          <w:shd w:fill="352913"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9"/>
              <w:szCs w:val="19"/>
            </w:rPr>
            <w:t xml:space="preserve">8 herramientas — todas gratuitas</w:t>
          </w:r>
        </w:p>
      </w:tc>
      <w:tc>
        <w:tcPr>
          <w:tcW w:type="dxa" w:w="1900"/>
          <w:shd w:fill="352913"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9"/>
              <w:szCs w:val="19"/>
            </w:rPr>
            <w:t xml:space="preserve">Open Source / estándares libres</w:t>
          </w:r>
        </w:p>
      </w:tc>
      <w:tc>
        <w:tcPr>
          <w:tcW w:type="dxa" w:w="900"/>
          <w:shd w:fill="352913"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9"/>
              <w:szCs w:val="19"/>
            </w:rPr>
            <w:t xml:space="preserve">$0 COP</w:t>
          </w:r>
        </w:p>
      </w:tc>
      <w:tc>
        <w:tcPr>
          <w:tcW w:type="dxa" w:w="1450"/>
          <w:shd w:fill="352913"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9"/>
              <w:szCs w:val="19"/>
            </w:rPr>
            <w:t xml:space="preserve">Verificado en cada sitio oficial</w:t>
          </w:r>
        </w:p>
      </w:tc>
    </w:tr>
    <w:p>
      <w:pPr>
        <w:spacing w:after="160" w:before="120"/>
      </w:pPr>
      <w:r>
        <w:rPr>
          <w:rFonts w:ascii="Calibri" w:cs="Calibri" w:eastAsia="Calibri" w:hAnsi="Calibri"/>
          <w:b w:val="false"/>
          <w:bCs w:val="false"/>
          <w:i w:val="false"/>
          <w:iCs w:val="false"/>
          <w:color w:val="1A1A1A"/>
          <w:sz w:val="21"/>
          <w:szCs w:val="21"/>
        </w:rPr>
        <w:t xml:space="preserve">Estas herramientas son gratuitas porque son software libre u open source: cualquier persona puede usarlas, modificarlas y distribuirlas sin pagar. Esto es clave en un contexto académico como el del SENA, donde los recursos económicos del equipo son limitados.</w:t>
      </w:r>
    </w:p>
    <w:p>
      <w:pPr>
        <w:pStyle w:val="Heading2"/>
        <w:spacing w:after="120" w:before="260"/>
      </w:pPr>
      <w:r>
        <w:rPr>
          <w:rFonts w:ascii="Calibri" w:cs="Calibri" w:eastAsia="Calibri" w:hAnsi="Calibri"/>
          <w:b/>
          <w:bCs/>
          <w:color w:val="62551C"/>
          <w:sz w:val="25"/>
          <w:szCs w:val="25"/>
        </w:rPr>
        <w:t xml:space="preserve">6.1 Justificación del Motor de Base de Datos</w:t>
      </w:r>
    </w:p>
    <w:p>
      <w:pPr>
        <w:spacing w:after="160"/>
      </w:pPr>
      <w:r>
        <w:rPr>
          <w:rFonts w:ascii="Calibri" w:cs="Calibri" w:eastAsia="Calibri" w:hAnsi="Calibri"/>
          <w:b w:val="false"/>
          <w:bCs w:val="false"/>
          <w:i w:val="false"/>
          <w:iCs w:val="false"/>
          <w:color w:val="1A1A1A"/>
          <w:sz w:val="21"/>
          <w:szCs w:val="21"/>
        </w:rPr>
        <w:t xml:space="preserve">El sistema utiliza MySQL 8.x. A continuación se compara brevemente frente a PostgreSQL y MongoDB para sustentar por qué MySQL es la opción más adecuada para LOGISTICARGO SYSTEM.</w:t>
      </w:r>
    </w:p>
    <w:tbl>
      <w:tblPr>
        <w:tblW w:type="dxa" w:w="9350"/>
        <w:tblBorders>
          <w:top w:val="single" w:color="C9BBA0" w:sz="4"/>
          <w:left w:val="single" w:color="C9BBA0" w:sz="4"/>
          <w:bottom w:val="single" w:color="C9BBA0" w:sz="4"/>
          <w:right w:val="single" w:color="C9BBA0" w:sz="4"/>
          <w:insideH w:val="single" w:color="auto" w:sz="4"/>
          <w:insideV w:val="single" w:color="auto" w:sz="4"/>
        </w:tblBorders>
      </w:tblPr>
      <w:tblGrid>
        <w:gridCol w:w="1700"/>
        <w:gridCol w:w="2900"/>
        <w:gridCol w:w="2350"/>
        <w:gridCol w:w="2400"/>
      </w:tblGrid>
      <w:tr>
        <w:trPr>
          <w:tblHeader/>
        </w:trPr>
        <w:tc>
          <w:tcPr>
            <w:tcW w:type="dxa" w:w="17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Criterio</w:t>
            </w:r>
          </w:p>
        </w:tc>
        <w:tc>
          <w:tcPr>
            <w:tcW w:type="dxa" w:w="29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MySQL 8.x</w:t>
            </w:r>
          </w:p>
        </w:tc>
        <w:tc>
          <w:tcPr>
            <w:tcW w:type="dxa" w:w="235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PostgreSQL</w:t>
            </w:r>
          </w:p>
        </w:tc>
        <w:tc>
          <w:tcPr>
            <w:tcW w:type="dxa" w:w="24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MongoDB</w:t>
            </w:r>
          </w:p>
        </w:tc>
      </w:tr>
      <w:tr>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Tipo de datos</w:t>
            </w:r>
          </w:p>
        </w:tc>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Relacional (tablas) — encaja con usuarios, cotizaciones y mudanzas</w:t>
            </w:r>
          </w:p>
        </w:tc>
        <w:tc>
          <w:tcPr>
            <w:tcW w:type="dxa" w:w="23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Relacional avanzado, con funciones que el proyecto no necesita</w:t>
            </w:r>
          </w:p>
        </w:tc>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Documentos sin esquema fijo — no aplica a los datos tabulares del proyecto</w:t>
            </w:r>
          </w:p>
        </w:tc>
      </w:tr>
      <w:tr>
        <w:tc>
          <w:tcPr>
            <w:tcW w:type="dxa" w:w="17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Incluida en el hosting elegido</w:t>
            </w:r>
          </w:p>
        </w:tc>
        <w:tc>
          <w:tcPr>
            <w:tcW w:type="dxa" w:w="29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Sí, sin costo ni configuración adicional</w:t>
            </w:r>
          </w:p>
        </w:tc>
        <w:tc>
          <w:tcPr>
            <w:tcW w:type="dxa" w:w="23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No incluida en el plan de hosting compartido</w:t>
            </w:r>
          </w:p>
        </w:tc>
        <w:tc>
          <w:tcPr>
            <w:tcW w:type="dxa" w:w="24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No incluida; requiere proveedor especializado con costo propio</w:t>
            </w:r>
          </w:p>
        </w:tc>
      </w:tr>
      <w:tr>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¿Recomendada?</w:t>
            </w:r>
          </w:p>
        </w:tc>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SÍ — ya es parte del stack y no genera costo adicional</w:t>
            </w:r>
          </w:p>
        </w:tc>
        <w:tc>
          <w:tcPr>
            <w:tcW w:type="dxa" w:w="23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Alternativa válida, sin ventaja para el alcance del proyecto</w:t>
            </w:r>
          </w:p>
        </w:tc>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No recomendada — pensada para datos sin estructura fija</w:t>
            </w:r>
          </w:p>
        </w:tc>
      </w:tr>
    </w:tbl>
    <w:p>
      <w:pPr>
        <w:spacing w:after="20" w:before="20"/>
      </w:pPr>
      <w:r>
        <w:rPr>
          <w:rFonts w:ascii="Calibri" w:cs="Calibri" w:eastAsia="Calibri" w:hAnsi="Calibri"/>
          <w:b/>
          <w:bCs/>
          <w:i/>
          <w:iCs/>
          <w:color w:val="595959"/>
          <w:sz w:val="18"/>
          <w:szCs w:val="18"/>
        </w:rPr>
        <w:t xml:space="preserve">Fuente MySQL: </w:t>
      </w:r>
      <w:hyperlink w:history="1" r:id="rId2st4stmkyfg0bydsdtuo0">
        <w:r>
          <w:rPr>
            <w:rFonts w:ascii="Calibri" w:cs="Calibri" w:eastAsia="Calibri" w:hAnsi="Calibri"/>
            <w:color w:val="1155CC"/>
            <w:sz w:val="18"/>
            <w:szCs w:val="18"/>
            <w:u w:val="single"/>
          </w:rPr>
          <w:t xml:space="preserve">https://www.mysql.com/products/community/</w:t>
        </w:r>
      </w:hyperlink>
      <w:r>
        <w:rPr>
          <w:rFonts w:ascii="Calibri" w:cs="Calibri" w:eastAsia="Calibri" w:hAnsi="Calibri"/>
          <w:i/>
          <w:iCs/>
          <w:color w:val="595959"/>
          <w:sz w:val="18"/>
          <w:szCs w:val="18"/>
        </w:rPr>
        <w:t xml:space="preserve"> — Consultado: junio 2026</w:t>
      </w:r>
    </w:p>
    <w:p>
      <w:pPr>
        <w:spacing w:after="20" w:before="20"/>
      </w:pPr>
      <w:r>
        <w:rPr>
          <w:rFonts w:ascii="Calibri" w:cs="Calibri" w:eastAsia="Calibri" w:hAnsi="Calibri"/>
          <w:b/>
          <w:bCs/>
          <w:i/>
          <w:iCs/>
          <w:color w:val="595959"/>
          <w:sz w:val="18"/>
          <w:szCs w:val="18"/>
        </w:rPr>
        <w:t xml:space="preserve">Fuente PostgreSQL: </w:t>
      </w:r>
      <w:hyperlink w:history="1" r:id="rIdbzpimdrfl8hq73lmqwgng">
        <w:r>
          <w:rPr>
            <w:rFonts w:ascii="Calibri" w:cs="Calibri" w:eastAsia="Calibri" w:hAnsi="Calibri"/>
            <w:color w:val="1155CC"/>
            <w:sz w:val="18"/>
            <w:szCs w:val="18"/>
            <w:u w:val="single"/>
          </w:rPr>
          <w:t xml:space="preserve">https://www.postgresql.org/about/licence/</w:t>
        </w:r>
      </w:hyperlink>
      <w:r>
        <w:rPr>
          <w:rFonts w:ascii="Calibri" w:cs="Calibri" w:eastAsia="Calibri" w:hAnsi="Calibri"/>
          <w:i/>
          <w:iCs/>
          <w:color w:val="595959"/>
          <w:sz w:val="18"/>
          <w:szCs w:val="18"/>
        </w:rPr>
        <w:t xml:space="preserve"> — Consultado: junio 2026</w:t>
      </w:r>
    </w:p>
    <w:p>
      <w:pPr>
        <w:spacing w:after="20" w:before="20"/>
      </w:pPr>
      <w:r>
        <w:rPr>
          <w:rFonts w:ascii="Calibri" w:cs="Calibri" w:eastAsia="Calibri" w:hAnsi="Calibri"/>
          <w:b/>
          <w:bCs/>
          <w:i/>
          <w:iCs/>
          <w:color w:val="595959"/>
          <w:sz w:val="18"/>
          <w:szCs w:val="18"/>
        </w:rPr>
        <w:t xml:space="preserve">Fuente MongoDB Community: </w:t>
      </w:r>
      <w:hyperlink w:history="1" r:id="rIdfb8fhjzuhdpnwhqkyclzm">
        <w:r>
          <w:rPr>
            <w:rFonts w:ascii="Calibri" w:cs="Calibri" w:eastAsia="Calibri" w:hAnsi="Calibri"/>
            <w:color w:val="1155CC"/>
            <w:sz w:val="18"/>
            <w:szCs w:val="18"/>
            <w:u w:val="single"/>
          </w:rPr>
          <w:t xml:space="preserve">https://www.mongodb.com/legal/licensing/community-edition</w:t>
        </w:r>
      </w:hyperlink>
      <w:r>
        <w:rPr>
          <w:rFonts w:ascii="Calibri" w:cs="Calibri" w:eastAsia="Calibri" w:hAnsi="Calibri"/>
          <w:i/>
          <w:iCs/>
          <w:color w:val="595959"/>
          <w:sz w:val="18"/>
          <w:szCs w:val="18"/>
        </w:rPr>
        <w:t xml:space="preserve"> — Consultado: junio 2026</w:t>
      </w:r>
    </w:p>
    <w:p>
      <w:pPr>
        <w:spacing w:after="200" w:before="80"/>
      </w:pPr>
      <w:r>
        <w:rPr>
          <w:rFonts w:ascii="Calibri" w:cs="Calibri" w:eastAsia="Calibri" w:hAnsi="Calibri"/>
          <w:b w:val="false"/>
          <w:bCs w:val="false"/>
          <w:i w:val="false"/>
          <w:iCs w:val="false"/>
          <w:color w:val="1A1A1A"/>
          <w:sz w:val="21"/>
          <w:szCs w:val="21"/>
        </w:rPr>
        <w:t xml:space="preserve">MySQL 8.x se mantiene como motor de base de datos: los datos del proyecto son relacionales y estables, y viene incluido sin costo en el hosting seleccionado (Sección 9).</w:t>
      </w:r>
    </w:p>
    <w:p>
      <w:pPr>
        <w:pStyle w:val="Heading1"/>
        <w:pBdr>
          <w:bottom w:val="single" w:color="62551C" w:sz="8" w:space="4"/>
        </w:pBdr>
        <w:spacing w:after="160" w:before="360"/>
      </w:pPr>
      <w:r>
        <w:rPr>
          <w:rFonts w:ascii="Calibri" w:cs="Calibri" w:eastAsia="Calibri" w:hAnsi="Calibri"/>
          <w:b/>
          <w:bCs/>
          <w:color w:val="62551C"/>
          <w:sz w:val="30"/>
          <w:szCs w:val="30"/>
        </w:rPr>
        <w:t xml:space="preserve">7. Comparativa de Servicios en la Nube: FaaS, BaaS y CaaS</w:t>
      </w:r>
    </w:p>
    <w:p>
      <w:pPr>
        <w:spacing w:after="160"/>
      </w:pPr>
      <w:r>
        <w:rPr>
          <w:rFonts w:ascii="Calibri" w:cs="Calibri" w:eastAsia="Calibri" w:hAnsi="Calibri"/>
          <w:b w:val="false"/>
          <w:bCs w:val="false"/>
          <w:i w:val="false"/>
          <w:iCs w:val="false"/>
          <w:color w:val="1A1A1A"/>
          <w:sz w:val="21"/>
          <w:szCs w:val="21"/>
        </w:rPr>
        <w:t xml:space="preserve">Además del hosting tradicional (Sección 9), en el mercado existen otros modelos de servicios en la nube que un proyecto como LOGISTICARGO SYSTEM podría usar a futuro si crece. Esta sección los explica y compara con lenguaje sencillo, usando tres proveedores reales por cada modelo.</w:t>
      </w:r>
    </w:p>
    <w:p>
      <w:pPr>
        <w:pStyle w:val="Heading2"/>
        <w:spacing w:after="120" w:before="260"/>
      </w:pPr>
      <w:r>
        <w:rPr>
          <w:rFonts w:ascii="Calibri" w:cs="Calibri" w:eastAsia="Calibri" w:hAnsi="Calibri"/>
          <w:b/>
          <w:bCs/>
          <w:color w:val="62551C"/>
          <w:sz w:val="25"/>
          <w:szCs w:val="25"/>
        </w:rPr>
        <w:t xml:space="preserve">7.1 FaaS — Function as a Service (funciones como servicio)</w:t>
      </w:r>
    </w:p>
    <w:p>
      <w:pPr>
        <w:spacing w:after="160"/>
      </w:pPr>
      <w:r>
        <w:rPr>
          <w:rFonts w:ascii="Calibri" w:cs="Calibri" w:eastAsia="Calibri" w:hAnsi="Calibri"/>
          <w:b w:val="false"/>
          <w:bCs w:val="false"/>
          <w:i w:val="false"/>
          <w:iCs w:val="false"/>
          <w:color w:val="1A1A1A"/>
          <w:sz w:val="21"/>
          <w:szCs w:val="21"/>
        </w:rPr>
        <w:t xml:space="preserve">Un servicio FaaS permite ejecutar pequeños fragmentos de código (funciones) solo cuando se necesitan, sin mantener un servidor encendido todo el tiempo. Solo se paga por las veces que la función se ejecuta.</w:t>
      </w:r>
    </w:p>
    <w:tbl>
      <w:tblPr>
        <w:tblW w:type="dxa" w:w="9350"/>
        <w:tblBorders>
          <w:top w:val="single" w:color="C9BBA0" w:sz="4"/>
          <w:left w:val="single" w:color="C9BBA0" w:sz="4"/>
          <w:bottom w:val="single" w:color="C9BBA0" w:sz="4"/>
          <w:right w:val="single" w:color="C9BBA0" w:sz="4"/>
          <w:insideH w:val="single" w:color="auto" w:sz="4"/>
          <w:insideV w:val="single" w:color="auto" w:sz="4"/>
        </w:tblBorders>
      </w:tblPr>
      <w:tblGrid>
        <w:gridCol w:w="1700"/>
        <w:gridCol w:w="2500"/>
        <w:gridCol w:w="2600"/>
        <w:gridCol w:w="2550"/>
      </w:tblGrid>
      <w:tr>
        <w:trPr>
          <w:tblHeader/>
        </w:trPr>
        <w:tc>
          <w:tcPr>
            <w:tcW w:type="dxa" w:w="17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Criterio</w:t>
            </w:r>
          </w:p>
        </w:tc>
        <w:tc>
          <w:tcPr>
            <w:tcW w:type="dxa" w:w="25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AWS Lambda</w:t>
            </w:r>
          </w:p>
        </w:tc>
        <w:tc>
          <w:tcPr>
            <w:tcW w:type="dxa" w:w="26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Google Cloud Functions</w:t>
            </w:r>
          </w:p>
        </w:tc>
        <w:tc>
          <w:tcPr>
            <w:tcW w:type="dxa" w:w="255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Azure Functions</w:t>
            </w:r>
          </w:p>
        </w:tc>
      </w:tr>
      <w:tr>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Plan gratuito</w:t>
            </w:r>
          </w:p>
        </w:tc>
        <w:tc>
          <w:tcPr>
            <w:tcW w:type="dxa" w:w="25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1.000.000 solicitudes/mes y 400.000 GB-segundo de cómputo, gratis para siempre</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2.000.000 invocaciones/mes y 400.000 GB-segundo, gratis para siempre</w:t>
            </w:r>
          </w:p>
        </w:tc>
        <w:tc>
          <w:tcPr>
            <w:tcW w:type="dxa" w:w="25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1.000.000 ejecuciones/mes y 400.000 GB-segundo, gratis para siempre (plan Consumo)</w:t>
            </w:r>
          </w:p>
        </w:tc>
      </w:tr>
      <w:tr>
        <w:tc>
          <w:tcPr>
            <w:tcW w:type="dxa" w:w="17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Precio al superar el plan gratuito</w:t>
            </w:r>
          </w:p>
        </w:tc>
        <w:tc>
          <w:tcPr>
            <w:tcW w:type="dxa" w:w="25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US$0,20 por millón de solicitudes + US$0,0000166667 por GB-segundo</w:t>
            </w:r>
          </w:p>
        </w:tc>
        <w:tc>
          <w:tcPr>
            <w:tcW w:type="dxa" w:w="26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US$0,40 por millón de invocaciones (más cargos de cómputo)</w:t>
            </w:r>
          </w:p>
        </w:tc>
        <w:tc>
          <w:tcPr>
            <w:tcW w:type="dxa" w:w="25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US$0,20 por millón de ejecuciones + costo por GB-segundo</w:t>
            </w:r>
          </w:p>
        </w:tc>
      </w:tr>
      <w:tr>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Facilidad de uso</w:t>
            </w:r>
          </w:p>
        </w:tc>
        <w:tc>
          <w:tcPr>
            <w:tcW w:type="dxa" w:w="25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Buena; requiere configurar la consola de AWS</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Buena; se integra con Firebase y otros servicios de Google</w:t>
            </w:r>
          </w:p>
        </w:tc>
        <w:tc>
          <w:tcPr>
            <w:tcW w:type="dxa" w:w="25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Buena; se integra con el resto del ecosistema Microsoft/Azure</w:t>
            </w:r>
          </w:p>
        </w:tc>
      </w:tr>
      <w:tr>
        <w:tc>
          <w:tcPr>
            <w:tcW w:type="dxa" w:w="17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Compatibilidad con LOGISTICARGO SYSTEM</w:t>
            </w:r>
          </w:p>
        </w:tc>
        <w:tc>
          <w:tcPr>
            <w:tcW w:type="dxa" w:w="25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Media — el proyecto usa PHP y no requiere funciones serverless por ahora</w:t>
            </w:r>
          </w:p>
        </w:tc>
        <w:tc>
          <w:tcPr>
            <w:tcW w:type="dxa" w:w="26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Media — mismo caso; útil solo si se agregan notificaciones automáticas a futuro</w:t>
            </w:r>
          </w:p>
        </w:tc>
        <w:tc>
          <w:tcPr>
            <w:tcW w:type="dxa" w:w="25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Media — mismo caso; requeriría adaptar parte del backend</w:t>
            </w:r>
          </w:p>
        </w:tc>
      </w:tr>
      <w:tr>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Recomendación</w:t>
            </w:r>
          </w:p>
        </w:tc>
        <w:tc>
          <w:tcPr>
            <w:tcW w:type="dxa" w:w="25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Alternativa a futuro para tareas puntuales (ej. enviar un correo de confirmación)</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Alternativa a futuro, especialmente si se usa junto con Firebase</w:t>
            </w:r>
          </w:p>
        </w:tc>
        <w:tc>
          <w:tcPr>
            <w:tcW w:type="dxa" w:w="25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Alternativa a futuro si la empresa migrara a un ecosistema Microsoft</w:t>
            </w:r>
          </w:p>
        </w:tc>
      </w:tr>
    </w:tbl>
    <w:p>
      <w:pPr>
        <w:spacing w:after="20" w:before="20"/>
      </w:pPr>
      <w:r>
        <w:rPr>
          <w:rFonts w:ascii="Calibri" w:cs="Calibri" w:eastAsia="Calibri" w:hAnsi="Calibri"/>
          <w:b/>
          <w:bCs/>
          <w:i/>
          <w:iCs/>
          <w:color w:val="595959"/>
          <w:sz w:val="18"/>
          <w:szCs w:val="18"/>
        </w:rPr>
        <w:t xml:space="preserve">Fuente AWS Lambda: </w:t>
      </w:r>
      <w:hyperlink w:history="1" r:id="rIdp6_5w4fmrxth3bzkcf33a">
        <w:r>
          <w:rPr>
            <w:rFonts w:ascii="Calibri" w:cs="Calibri" w:eastAsia="Calibri" w:hAnsi="Calibri"/>
            <w:color w:val="1155CC"/>
            <w:sz w:val="18"/>
            <w:szCs w:val="18"/>
            <w:u w:val="single"/>
          </w:rPr>
          <w:t xml:space="preserve">https://aws.amazon.com/lambda/pricing/</w:t>
        </w:r>
      </w:hyperlink>
      <w:r>
        <w:rPr>
          <w:rFonts w:ascii="Calibri" w:cs="Calibri" w:eastAsia="Calibri" w:hAnsi="Calibri"/>
          <w:i/>
          <w:iCs/>
          <w:color w:val="595959"/>
          <w:sz w:val="18"/>
          <w:szCs w:val="18"/>
        </w:rPr>
        <w:t xml:space="preserve"> — Consultado: junio 2026</w:t>
      </w:r>
    </w:p>
    <w:p>
      <w:pPr>
        <w:spacing w:after="20" w:before="20"/>
      </w:pPr>
      <w:r>
        <w:rPr>
          <w:rFonts w:ascii="Calibri" w:cs="Calibri" w:eastAsia="Calibri" w:hAnsi="Calibri"/>
          <w:b/>
          <w:bCs/>
          <w:i/>
          <w:iCs/>
          <w:color w:val="595959"/>
          <w:sz w:val="18"/>
          <w:szCs w:val="18"/>
        </w:rPr>
        <w:t xml:space="preserve">Fuente Google Cloud Functions: </w:t>
      </w:r>
      <w:hyperlink w:history="1" r:id="rId7xe80hicifiwxnsvscgj7">
        <w:r>
          <w:rPr>
            <w:rFonts w:ascii="Calibri" w:cs="Calibri" w:eastAsia="Calibri" w:hAnsi="Calibri"/>
            <w:color w:val="1155CC"/>
            <w:sz w:val="18"/>
            <w:szCs w:val="18"/>
            <w:u w:val="single"/>
          </w:rPr>
          <w:t xml:space="preserve">https://cloud.google.com/functions/pricing-1stgen</w:t>
        </w:r>
      </w:hyperlink>
      <w:r>
        <w:rPr>
          <w:rFonts w:ascii="Calibri" w:cs="Calibri" w:eastAsia="Calibri" w:hAnsi="Calibri"/>
          <w:i/>
          <w:iCs/>
          <w:color w:val="595959"/>
          <w:sz w:val="18"/>
          <w:szCs w:val="18"/>
        </w:rPr>
        <w:t xml:space="preserve"> — Consultado: junio 2026</w:t>
      </w:r>
    </w:p>
    <w:p>
      <w:pPr>
        <w:spacing w:after="20" w:before="20"/>
      </w:pPr>
      <w:r>
        <w:rPr>
          <w:rFonts w:ascii="Calibri" w:cs="Calibri" w:eastAsia="Calibri" w:hAnsi="Calibri"/>
          <w:b/>
          <w:bCs/>
          <w:i/>
          <w:iCs/>
          <w:color w:val="595959"/>
          <w:sz w:val="18"/>
          <w:szCs w:val="18"/>
        </w:rPr>
        <w:t xml:space="preserve">Fuente Azure Functions: </w:t>
      </w:r>
      <w:hyperlink w:history="1" r:id="rIdq_b0trcb56omubqe6lojt">
        <w:r>
          <w:rPr>
            <w:rFonts w:ascii="Calibri" w:cs="Calibri" w:eastAsia="Calibri" w:hAnsi="Calibri"/>
            <w:color w:val="1155CC"/>
            <w:sz w:val="18"/>
            <w:szCs w:val="18"/>
            <w:u w:val="single"/>
          </w:rPr>
          <w:t xml:space="preserve">https://azure.microsoft.com/en-us/pricing/details/functions/</w:t>
        </w:r>
      </w:hyperlink>
      <w:r>
        <w:rPr>
          <w:rFonts w:ascii="Calibri" w:cs="Calibri" w:eastAsia="Calibri" w:hAnsi="Calibri"/>
          <w:i/>
          <w:iCs/>
          <w:color w:val="595959"/>
          <w:sz w:val="18"/>
          <w:szCs w:val="18"/>
        </w:rPr>
        <w:t xml:space="preserve"> — Consultado: junio 2026</w:t>
      </w:r>
    </w:p>
    <w:p>
      <w:pPr>
        <w:spacing w:after="200" w:before="80"/>
      </w:pPr>
      <w:r>
        <w:rPr>
          <w:rFonts w:ascii="Calibri" w:cs="Calibri" w:eastAsia="Calibri" w:hAnsi="Calibri"/>
          <w:b/>
          <w:bCs/>
          <w:color w:val="62551C"/>
          <w:sz w:val="21"/>
          <w:szCs w:val="21"/>
        </w:rPr>
        <w:t xml:space="preserve">¿Cuál contrataría el equipo? </w:t>
      </w:r>
      <w:r>
        <w:rPr>
          <w:rFonts w:ascii="Calibri" w:cs="Calibri" w:eastAsia="Calibri" w:hAnsi="Calibri"/>
          <w:sz w:val="21"/>
          <w:szCs w:val="21"/>
        </w:rPr>
        <w:t xml:space="preserve">Por ahora, ninguna: LOGISTICARGO SYSTEM funciona bien con PHP tradicional sobre hosting compartido y no necesita funciones serverless. Si en el futuro la empresa necesita algo puntual (por ejemplo, enviar automáticamente un correo cuando se aprueba una cotización), la opción más sencilla de integrar sería Google Cloud Functions, porque su plan gratuito es el más amplio (2.000.000 de invocaciones al mes) y no exige tarjeta de crédito para usar el nivel gratuito.</w:t>
      </w:r>
    </w:p>
    <w:p>
      <w:pPr>
        <w:pStyle w:val="Heading2"/>
        <w:spacing w:after="120" w:before="260"/>
      </w:pPr>
      <w:r>
        <w:rPr>
          <w:rFonts w:ascii="Calibri" w:cs="Calibri" w:eastAsia="Calibri" w:hAnsi="Calibri"/>
          <w:b/>
          <w:bCs/>
          <w:color w:val="62551C"/>
          <w:sz w:val="25"/>
          <w:szCs w:val="25"/>
        </w:rPr>
        <w:t xml:space="preserve">7.2 BaaS — Backend as a Service (backend como servicio)</w:t>
      </w:r>
    </w:p>
    <w:p>
      <w:pPr>
        <w:spacing w:after="160"/>
      </w:pPr>
      <w:r>
        <w:rPr>
          <w:rFonts w:ascii="Calibri" w:cs="Calibri" w:eastAsia="Calibri" w:hAnsi="Calibri"/>
          <w:b w:val="false"/>
          <w:bCs w:val="false"/>
          <w:i w:val="false"/>
          <w:iCs w:val="false"/>
          <w:color w:val="1A1A1A"/>
          <w:sz w:val="21"/>
          <w:szCs w:val="21"/>
        </w:rPr>
        <w:t xml:space="preserve">Un servicio BaaS entrega, ya listo, un backend completo (base de datos, autenticación de usuarios, almacenamiento de archivos) sin que el equipo tenga que programarlo desde cero.</w:t>
      </w:r>
    </w:p>
    <w:tbl>
      <w:tblPr>
        <w:tblW w:type="dxa" w:w="9350"/>
        <w:tblBorders>
          <w:top w:val="single" w:color="C9BBA0" w:sz="4"/>
          <w:left w:val="single" w:color="C9BBA0" w:sz="4"/>
          <w:bottom w:val="single" w:color="C9BBA0" w:sz="4"/>
          <w:right w:val="single" w:color="C9BBA0" w:sz="4"/>
          <w:insideH w:val="single" w:color="auto" w:sz="4"/>
          <w:insideV w:val="single" w:color="auto" w:sz="4"/>
        </w:tblBorders>
      </w:tblPr>
      <w:tblGrid>
        <w:gridCol w:w="1700"/>
        <w:gridCol w:w="2600"/>
        <w:gridCol w:w="2550"/>
        <w:gridCol w:w="2500"/>
      </w:tblGrid>
      <w:tr>
        <w:trPr>
          <w:tblHeader/>
        </w:trPr>
        <w:tc>
          <w:tcPr>
            <w:tcW w:type="dxa" w:w="17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Criterio</w:t>
            </w:r>
          </w:p>
        </w:tc>
        <w:tc>
          <w:tcPr>
            <w:tcW w:type="dxa" w:w="26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Firebase</w:t>
            </w:r>
          </w:p>
        </w:tc>
        <w:tc>
          <w:tcPr>
            <w:tcW w:type="dxa" w:w="255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Supabase</w:t>
            </w:r>
          </w:p>
        </w:tc>
        <w:tc>
          <w:tcPr>
            <w:tcW w:type="dxa" w:w="25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Appwrite</w:t>
            </w:r>
          </w:p>
        </w:tc>
      </w:tr>
      <w:tr>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Plan gratuito</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Plan Spark: autenticación, Firestore (50.000 lecturas y 20.000 escrituras/día), hosting y Cloud Functions con cuota gratuita, sin costo</w:t>
            </w:r>
          </w:p>
        </w:tc>
        <w:tc>
          <w:tcPr>
            <w:tcW w:type="dxa" w:w="25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Plan Free: base de datos PostgreSQL de 500 MB, 50.000 usuarios activos/mes, 1 GB de almacenamiento; el proyecto se pausa tras 7 días sin uso</w:t>
            </w:r>
          </w:p>
        </w:tc>
        <w:tc>
          <w:tcPr>
            <w:tcW w:type="dxa" w:w="25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Plan Free: proyecto en la nube con cuota generosa de solicitudes/mes; limitado a 2 proyectos activos</w:t>
            </w:r>
          </w:p>
        </w:tc>
      </w:tr>
      <w:tr>
        <w:tc>
          <w:tcPr>
            <w:tcW w:type="dxa" w:w="17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Precio del siguiente plan</w:t>
            </w:r>
          </w:p>
        </w:tc>
        <w:tc>
          <w:tcPr>
            <w:tcW w:type="dxa" w:w="26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Plan Blaze: pago por uso (ej. US$0,18 por 100.000 lecturas en Firestore)</w:t>
            </w:r>
          </w:p>
        </w:tc>
        <w:tc>
          <w:tcPr>
            <w:tcW w:type="dxa" w:w="25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Plan Pro: US$25/mes + consumo adicional</w:t>
            </w:r>
          </w:p>
        </w:tc>
        <w:tc>
          <w:tcPr>
            <w:tcW w:type="dxa" w:w="25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Plan Pro: aprox. US$15/mes</w:t>
            </w:r>
          </w:p>
        </w:tc>
      </w:tr>
      <w:tr>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Facilidad de uso</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Muy buena, con SDK para JavaScript; requiere adaptar el backend PHP actual</w:t>
            </w:r>
          </w:p>
        </w:tc>
        <w:tc>
          <w:tcPr>
            <w:tcW w:type="dxa" w:w="25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Buena; usa PostgreSQL (compatible con lógica relacional similar a MySQL)</w:t>
            </w:r>
          </w:p>
        </w:tc>
        <w:tc>
          <w:tcPr>
            <w:tcW w:type="dxa" w:w="25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Buena; incluye autenticación y base de datos de documentos</w:t>
            </w:r>
          </w:p>
        </w:tc>
      </w:tr>
      <w:tr>
        <w:tc>
          <w:tcPr>
            <w:tcW w:type="dxa" w:w="17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Compatibilidad con LOGISTICARGO SYSTEM</w:t>
            </w:r>
          </w:p>
        </w:tc>
        <w:tc>
          <w:tcPr>
            <w:tcW w:type="dxa" w:w="26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Baja — implicaría reescribir el backend de PHP/MySQL a Firebase</w:t>
            </w:r>
          </w:p>
        </w:tc>
        <w:tc>
          <w:tcPr>
            <w:tcW w:type="dxa" w:w="25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Media — usa PostgreSQL, más cercano al modelo relacional que ya usa el proyecto</w:t>
            </w:r>
          </w:p>
        </w:tc>
        <w:tc>
          <w:tcPr>
            <w:tcW w:type="dxa" w:w="25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Baja — implicaría reescribir el backend igual que con Firebase</w:t>
            </w:r>
          </w:p>
        </w:tc>
      </w:tr>
      <w:tr>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Recomendación</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No recomendada por ahora — cambiaría todo el stack ya construido</w:t>
            </w:r>
          </w:p>
        </w:tc>
        <w:tc>
          <w:tcPr>
            <w:tcW w:type="dxa" w:w="25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Alternativa interesante solo si el proyecto migrara a una arquitectura 100% en la nube</w:t>
            </w:r>
          </w:p>
        </w:tc>
        <w:tc>
          <w:tcPr>
            <w:tcW w:type="dxa" w:w="25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No recomendada por ahora — mismo motivo que Firebase</w:t>
            </w:r>
          </w:p>
        </w:tc>
      </w:tr>
    </w:tbl>
    <w:p>
      <w:pPr>
        <w:spacing w:after="20" w:before="20"/>
      </w:pPr>
      <w:r>
        <w:rPr>
          <w:rFonts w:ascii="Calibri" w:cs="Calibri" w:eastAsia="Calibri" w:hAnsi="Calibri"/>
          <w:b/>
          <w:bCs/>
          <w:i/>
          <w:iCs/>
          <w:color w:val="595959"/>
          <w:sz w:val="18"/>
          <w:szCs w:val="18"/>
        </w:rPr>
        <w:t xml:space="preserve">Fuente Firebase: </w:t>
      </w:r>
      <w:hyperlink w:history="1" r:id="rIdmytfnlprrx1tn6wrayay7">
        <w:r>
          <w:rPr>
            <w:rFonts w:ascii="Calibri" w:cs="Calibri" w:eastAsia="Calibri" w:hAnsi="Calibri"/>
            <w:color w:val="1155CC"/>
            <w:sz w:val="18"/>
            <w:szCs w:val="18"/>
            <w:u w:val="single"/>
          </w:rPr>
          <w:t xml:space="preserve">https://firebase.google.com/pricing</w:t>
        </w:r>
      </w:hyperlink>
      <w:r>
        <w:rPr>
          <w:rFonts w:ascii="Calibri" w:cs="Calibri" w:eastAsia="Calibri" w:hAnsi="Calibri"/>
          <w:i/>
          <w:iCs/>
          <w:color w:val="595959"/>
          <w:sz w:val="18"/>
          <w:szCs w:val="18"/>
        </w:rPr>
        <w:t xml:space="preserve"> — Consultado: junio 2026</w:t>
      </w:r>
    </w:p>
    <w:p>
      <w:pPr>
        <w:spacing w:after="20" w:before="20"/>
      </w:pPr>
      <w:r>
        <w:rPr>
          <w:rFonts w:ascii="Calibri" w:cs="Calibri" w:eastAsia="Calibri" w:hAnsi="Calibri"/>
          <w:b/>
          <w:bCs/>
          <w:i/>
          <w:iCs/>
          <w:color w:val="595959"/>
          <w:sz w:val="18"/>
          <w:szCs w:val="18"/>
        </w:rPr>
        <w:t xml:space="preserve">Fuente Supabase: </w:t>
      </w:r>
      <w:hyperlink w:history="1" r:id="rIdaujpo7xpf9t1zvephn6y2">
        <w:r>
          <w:rPr>
            <w:rFonts w:ascii="Calibri" w:cs="Calibri" w:eastAsia="Calibri" w:hAnsi="Calibri"/>
            <w:color w:val="1155CC"/>
            <w:sz w:val="18"/>
            <w:szCs w:val="18"/>
            <w:u w:val="single"/>
          </w:rPr>
          <w:t xml:space="preserve">https://supabase.com/pricing</w:t>
        </w:r>
      </w:hyperlink>
      <w:r>
        <w:rPr>
          <w:rFonts w:ascii="Calibri" w:cs="Calibri" w:eastAsia="Calibri" w:hAnsi="Calibri"/>
          <w:i/>
          <w:iCs/>
          <w:color w:val="595959"/>
          <w:sz w:val="18"/>
          <w:szCs w:val="18"/>
        </w:rPr>
        <w:t xml:space="preserve"> — Consultado: junio 2026</w:t>
      </w:r>
    </w:p>
    <w:p>
      <w:pPr>
        <w:spacing w:after="20" w:before="20"/>
      </w:pPr>
      <w:r>
        <w:rPr>
          <w:rFonts w:ascii="Calibri" w:cs="Calibri" w:eastAsia="Calibri" w:hAnsi="Calibri"/>
          <w:b/>
          <w:bCs/>
          <w:i/>
          <w:iCs/>
          <w:color w:val="595959"/>
          <w:sz w:val="18"/>
          <w:szCs w:val="18"/>
        </w:rPr>
        <w:t xml:space="preserve">Fuente Appwrite: </w:t>
      </w:r>
      <w:hyperlink w:history="1" r:id="rIdsshyjxpkkvyguv__qe_e4">
        <w:r>
          <w:rPr>
            <w:rFonts w:ascii="Calibri" w:cs="Calibri" w:eastAsia="Calibri" w:hAnsi="Calibri"/>
            <w:color w:val="1155CC"/>
            <w:sz w:val="18"/>
            <w:szCs w:val="18"/>
            <w:u w:val="single"/>
          </w:rPr>
          <w:t xml:space="preserve">https://appwrite.io/pricing</w:t>
        </w:r>
      </w:hyperlink>
      <w:r>
        <w:rPr>
          <w:rFonts w:ascii="Calibri" w:cs="Calibri" w:eastAsia="Calibri" w:hAnsi="Calibri"/>
          <w:i/>
          <w:iCs/>
          <w:color w:val="595959"/>
          <w:sz w:val="18"/>
          <w:szCs w:val="18"/>
        </w:rPr>
        <w:t xml:space="preserve"> — Consultado: junio 2026</w:t>
      </w:r>
    </w:p>
    <w:p>
      <w:pPr>
        <w:spacing w:after="200" w:before="80"/>
      </w:pPr>
      <w:r>
        <w:rPr>
          <w:rFonts w:ascii="Calibri" w:cs="Calibri" w:eastAsia="Calibri" w:hAnsi="Calibri"/>
          <w:b/>
          <w:bCs/>
          <w:color w:val="62551C"/>
          <w:sz w:val="21"/>
          <w:szCs w:val="21"/>
        </w:rPr>
        <w:t xml:space="preserve">¿Cuál contrataría el equipo? </w:t>
      </w:r>
      <w:r>
        <w:rPr>
          <w:rFonts w:ascii="Calibri" w:cs="Calibri" w:eastAsia="Calibri" w:hAnsi="Calibri"/>
          <w:sz w:val="21"/>
          <w:szCs w:val="21"/>
        </w:rPr>
        <w:t xml:space="preserve">Ninguna por ahora. El proyecto ya tiene un backend funcional en PHP + MySQL, así que migrar a un BaaS significaría reescribir todo el sistema sin necesidad real. Si en un futuro proyecto se empezara desde cero y se quisiera evitar programar el backend, Supabase sería la opción más compatible con lo que el equipo ya sabe, porque usa PostgreSQL, un motor relacional parecido a MySQL.</w:t>
      </w:r>
    </w:p>
    <w:p>
      <w:pPr>
        <w:pStyle w:val="Heading2"/>
        <w:spacing w:after="120" w:before="260"/>
      </w:pPr>
      <w:r>
        <w:rPr>
          <w:rFonts w:ascii="Calibri" w:cs="Calibri" w:eastAsia="Calibri" w:hAnsi="Calibri"/>
          <w:b/>
          <w:bCs/>
          <w:color w:val="62551C"/>
          <w:sz w:val="25"/>
          <w:szCs w:val="25"/>
        </w:rPr>
        <w:t xml:space="preserve">7.3 CaaS — Container as a Service (contenedores como servicio)</w:t>
      </w:r>
    </w:p>
    <w:p>
      <w:pPr>
        <w:spacing w:after="160"/>
      </w:pPr>
      <w:r>
        <w:rPr>
          <w:rFonts w:ascii="Calibri" w:cs="Calibri" w:eastAsia="Calibri" w:hAnsi="Calibri"/>
          <w:b w:val="false"/>
          <w:bCs w:val="false"/>
          <w:i w:val="false"/>
          <w:iCs w:val="false"/>
          <w:color w:val="1A1A1A"/>
          <w:sz w:val="21"/>
          <w:szCs w:val="21"/>
        </w:rPr>
        <w:t xml:space="preserve">Un servicio CaaS permite ejecutar aplicaciones empaquetadas en contenedores (por ejemplo con Docker) usando Kubernetes administrado por el proveedor, sin que el equipo tenga que instalar y mantener el clúster manualmente.</w:t>
      </w:r>
    </w:p>
    <w:tbl>
      <w:tblPr>
        <w:tblW w:type="dxa" w:w="9350"/>
        <w:tblBorders>
          <w:top w:val="single" w:color="C9BBA0" w:sz="4"/>
          <w:left w:val="single" w:color="C9BBA0" w:sz="4"/>
          <w:bottom w:val="single" w:color="C9BBA0" w:sz="4"/>
          <w:right w:val="single" w:color="C9BBA0" w:sz="4"/>
          <w:insideH w:val="single" w:color="auto" w:sz="4"/>
          <w:insideV w:val="single" w:color="auto" w:sz="4"/>
        </w:tblBorders>
      </w:tblPr>
      <w:tblGrid>
        <w:gridCol w:w="1700"/>
        <w:gridCol w:w="2600"/>
        <w:gridCol w:w="2550"/>
        <w:gridCol w:w="2500"/>
      </w:tblGrid>
      <w:tr>
        <w:trPr>
          <w:tblHeader/>
        </w:trPr>
        <w:tc>
          <w:tcPr>
            <w:tcW w:type="dxa" w:w="17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Criterio</w:t>
            </w:r>
          </w:p>
        </w:tc>
        <w:tc>
          <w:tcPr>
            <w:tcW w:type="dxa" w:w="26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Google Kubernetes Engine (GKE)</w:t>
            </w:r>
          </w:p>
        </w:tc>
        <w:tc>
          <w:tcPr>
            <w:tcW w:type="dxa" w:w="255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Amazon Elastic Kubernetes Service (EKS)</w:t>
            </w:r>
          </w:p>
        </w:tc>
        <w:tc>
          <w:tcPr>
            <w:tcW w:type="dxa" w:w="25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Azure Kubernetes Service (AKS)</w:t>
            </w:r>
          </w:p>
        </w:tc>
      </w:tr>
      <w:tr>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Plan gratuito</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US$74,40 de crédito mensual, que cubre un clúster zonal o Autopilot pequeño</w:t>
            </w:r>
          </w:p>
        </w:tc>
        <w:tc>
          <w:tcPr>
            <w:tcW w:type="dxa" w:w="25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No tiene plan gratuito para el plano de control</w:t>
            </w:r>
          </w:p>
        </w:tc>
        <w:tc>
          <w:tcPr>
            <w:tcW w:type="dxa" w:w="25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El plano de control es gratuito en el nivel Free (sin garantía de disponibilidad — SLA)</w:t>
            </w:r>
          </w:p>
        </w:tc>
      </w:tr>
      <w:tr>
        <w:tc>
          <w:tcPr>
            <w:tcW w:type="dxa" w:w="17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Costo del plano de control</w:t>
            </w:r>
          </w:p>
        </w:tc>
        <w:tc>
          <w:tcPr>
            <w:tcW w:type="dxa" w:w="26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US$0,10 por hora por clúster (≈US$73/mes), cubierto por el crédito en un clúster pequeño</w:t>
            </w:r>
          </w:p>
        </w:tc>
        <w:tc>
          <w:tcPr>
            <w:tcW w:type="dxa" w:w="25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US$0,10 por hora por clúster (≈US$73/mes)</w:t>
            </w:r>
          </w:p>
        </w:tc>
        <w:tc>
          <w:tcPr>
            <w:tcW w:type="dxa" w:w="25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$0 en el nivel Free; US$0,10 por hora (≈US$73/mes) en el nivel Standard con SLA</w:t>
            </w:r>
          </w:p>
        </w:tc>
      </w:tr>
      <w:tr>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Facilidad de uso</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Buena; requiere conocimientos de Docker/Kubernetes</w:t>
            </w:r>
          </w:p>
        </w:tc>
        <w:tc>
          <w:tcPr>
            <w:tcW w:type="dxa" w:w="25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Buena; requiere conocimientos de Docker/Kubernetes</w:t>
            </w:r>
          </w:p>
        </w:tc>
        <w:tc>
          <w:tcPr>
            <w:tcW w:type="dxa" w:w="25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Buena; requiere conocimientos de Docker/Kubernetes</w:t>
            </w:r>
          </w:p>
        </w:tc>
      </w:tr>
      <w:tr>
        <w:tc>
          <w:tcPr>
            <w:tcW w:type="dxa" w:w="17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Compatibilidad con LOGISTICARGO SYSTEM</w:t>
            </w:r>
          </w:p>
        </w:tc>
        <w:tc>
          <w:tcPr>
            <w:tcW w:type="dxa" w:w="26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Baja — el proyecto no está empaquetado en contenedores y el hosting compartido ya cubre la necesidad actual</w:t>
            </w:r>
          </w:p>
        </w:tc>
        <w:tc>
          <w:tcPr>
            <w:tcW w:type="dxa" w:w="25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Baja — mismo motivo</w:t>
            </w:r>
          </w:p>
        </w:tc>
        <w:tc>
          <w:tcPr>
            <w:tcW w:type="dxa" w:w="25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Baja — mismo motivo</w:t>
            </w:r>
          </w:p>
        </w:tc>
      </w:tr>
      <w:tr>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Recomendación</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Alternativa a futuro si el sistema crece y necesita escalar a varios servidores</w:t>
            </w:r>
          </w:p>
        </w:tc>
        <w:tc>
          <w:tcPr>
            <w:tcW w:type="dxa" w:w="25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Alternativa a futuro, pero es la más costosa para clústeres pequeños por el cobro fijo del plano de control</w:t>
            </w:r>
          </w:p>
        </w:tc>
        <w:tc>
          <w:tcPr>
            <w:tcW w:type="dxa" w:w="25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Alternativa a futuro; la más económica para empezar por el nivel Free sin costo de plano de control</w:t>
            </w:r>
          </w:p>
        </w:tc>
      </w:tr>
    </w:tbl>
    <w:p>
      <w:pPr>
        <w:spacing w:after="20" w:before="20"/>
      </w:pPr>
      <w:r>
        <w:rPr>
          <w:rFonts w:ascii="Calibri" w:cs="Calibri" w:eastAsia="Calibri" w:hAnsi="Calibri"/>
          <w:b/>
          <w:bCs/>
          <w:i/>
          <w:iCs/>
          <w:color w:val="595959"/>
          <w:sz w:val="18"/>
          <w:szCs w:val="18"/>
        </w:rPr>
        <w:t xml:space="preserve">Fuente Google Kubernetes Engine: </w:t>
      </w:r>
      <w:hyperlink w:history="1" r:id="rId8z6ycvdirqzbrg5cjweez">
        <w:r>
          <w:rPr>
            <w:rFonts w:ascii="Calibri" w:cs="Calibri" w:eastAsia="Calibri" w:hAnsi="Calibri"/>
            <w:color w:val="1155CC"/>
            <w:sz w:val="18"/>
            <w:szCs w:val="18"/>
            <w:u w:val="single"/>
          </w:rPr>
          <w:t xml:space="preserve">https://cloud.google.com/kubernetes-engine/pricing</w:t>
        </w:r>
      </w:hyperlink>
      <w:r>
        <w:rPr>
          <w:rFonts w:ascii="Calibri" w:cs="Calibri" w:eastAsia="Calibri" w:hAnsi="Calibri"/>
          <w:i/>
          <w:iCs/>
          <w:color w:val="595959"/>
          <w:sz w:val="18"/>
          <w:szCs w:val="18"/>
        </w:rPr>
        <w:t xml:space="preserve"> — Consultado: junio 2026</w:t>
      </w:r>
    </w:p>
    <w:p>
      <w:pPr>
        <w:spacing w:after="20" w:before="20"/>
      </w:pPr>
      <w:r>
        <w:rPr>
          <w:rFonts w:ascii="Calibri" w:cs="Calibri" w:eastAsia="Calibri" w:hAnsi="Calibri"/>
          <w:b/>
          <w:bCs/>
          <w:i/>
          <w:iCs/>
          <w:color w:val="595959"/>
          <w:sz w:val="18"/>
          <w:szCs w:val="18"/>
        </w:rPr>
        <w:t xml:space="preserve">Fuente Amazon EKS: </w:t>
      </w:r>
      <w:hyperlink w:history="1" r:id="rIdx8vwdollmuui2fkv_9txz">
        <w:r>
          <w:rPr>
            <w:rFonts w:ascii="Calibri" w:cs="Calibri" w:eastAsia="Calibri" w:hAnsi="Calibri"/>
            <w:color w:val="1155CC"/>
            <w:sz w:val="18"/>
            <w:szCs w:val="18"/>
            <w:u w:val="single"/>
          </w:rPr>
          <w:t xml:space="preserve">https://sedai.io/blog/kubernetes-cost-eks-vs-aks-vs-gke</w:t>
        </w:r>
      </w:hyperlink>
      <w:r>
        <w:rPr>
          <w:rFonts w:ascii="Calibri" w:cs="Calibri" w:eastAsia="Calibri" w:hAnsi="Calibri"/>
          <w:i/>
          <w:iCs/>
          <w:color w:val="595959"/>
          <w:sz w:val="18"/>
          <w:szCs w:val="18"/>
        </w:rPr>
        <w:t xml:space="preserve"> — Consultado: junio 2026 (cifras verificadas también en aws.amazon.com/eks/pricing)</w:t>
      </w:r>
    </w:p>
    <w:p>
      <w:pPr>
        <w:spacing w:after="20" w:before="20"/>
      </w:pPr>
      <w:r>
        <w:rPr>
          <w:rFonts w:ascii="Calibri" w:cs="Calibri" w:eastAsia="Calibri" w:hAnsi="Calibri"/>
          <w:b/>
          <w:bCs/>
          <w:i/>
          <w:iCs/>
          <w:color w:val="595959"/>
          <w:sz w:val="18"/>
          <w:szCs w:val="18"/>
        </w:rPr>
        <w:t xml:space="preserve">Fuente Azure AKS: </w:t>
      </w:r>
      <w:hyperlink w:history="1" r:id="rIdijdlup3xjo2_jradstdzn">
        <w:r>
          <w:rPr>
            <w:rFonts w:ascii="Calibri" w:cs="Calibri" w:eastAsia="Calibri" w:hAnsi="Calibri"/>
            <w:color w:val="1155CC"/>
            <w:sz w:val="18"/>
            <w:szCs w:val="18"/>
            <w:u w:val="single"/>
          </w:rPr>
          <w:t xml:space="preserve">https://www.cloudoptimo.com/blog/eks-vs-gke-vs-aks-best-managed-kubernetes-service-in-2026/</w:t>
        </w:r>
      </w:hyperlink>
      <w:r>
        <w:rPr>
          <w:rFonts w:ascii="Calibri" w:cs="Calibri" w:eastAsia="Calibri" w:hAnsi="Calibri"/>
          <w:i/>
          <w:iCs/>
          <w:color w:val="595959"/>
          <w:sz w:val="18"/>
          <w:szCs w:val="18"/>
        </w:rPr>
        <w:t xml:space="preserve"> — Consultado: junio 2026 (cifras verificadas también en azure.microsoft.com/pricing/details/kubernetes-service)</w:t>
      </w:r>
    </w:p>
    <w:p>
      <w:pPr>
        <w:spacing w:after="200" w:before="80"/>
      </w:pPr>
      <w:r>
        <w:rPr>
          <w:rFonts w:ascii="Calibri" w:cs="Calibri" w:eastAsia="Calibri" w:hAnsi="Calibri"/>
          <w:b/>
          <w:bCs/>
          <w:color w:val="62551C"/>
          <w:sz w:val="21"/>
          <w:szCs w:val="21"/>
        </w:rPr>
        <w:t xml:space="preserve">¿Cuál contrataría el equipo? </w:t>
      </w:r>
      <w:r>
        <w:rPr>
          <w:rFonts w:ascii="Calibri" w:cs="Calibri" w:eastAsia="Calibri" w:hAnsi="Calibri"/>
          <w:sz w:val="21"/>
          <w:szCs w:val="21"/>
        </w:rPr>
        <w:t xml:space="preserve">Ninguna por ahora. LOGISTICARGO SYSTEM es una aplicación web sencilla que el hosting compartido de la Sección 9 atiende sin problema; usar Kubernetes sería un costo y una complejidad innecesarios para el tamaño actual de Mudanzas Sharon. Si en el futuro el sistema crece mucho (por ejemplo, si la empresa se expande a varias ciudades), Azure AKS sería la opción más económica para empezar, porque su nivel Free no cobra por el plano de control.</w:t>
      </w:r>
    </w:p>
    <w:p>
      <w:pPr>
        <w:pStyle w:val="Heading1"/>
        <w:pBdr>
          <w:bottom w:val="single" w:color="62551C" w:sz="8" w:space="4"/>
        </w:pBdr>
        <w:spacing w:after="160" w:before="360"/>
      </w:pPr>
      <w:r>
        <w:rPr>
          <w:rFonts w:ascii="Calibri" w:cs="Calibri" w:eastAsia="Calibri" w:hAnsi="Calibri"/>
          <w:b/>
          <w:bCs/>
          <w:color w:val="62551C"/>
          <w:sz w:val="30"/>
          <w:szCs w:val="30"/>
        </w:rPr>
        <w:t xml:space="preserve">8. Servidor Local vs. Servicio en la Nube</w:t>
      </w:r>
    </w:p>
    <w:p>
      <w:pPr>
        <w:spacing w:after="160"/>
      </w:pPr>
      <w:r>
        <w:rPr>
          <w:rFonts w:ascii="Calibri" w:cs="Calibri" w:eastAsia="Calibri" w:hAnsi="Calibri"/>
          <w:b w:val="false"/>
          <w:bCs w:val="false"/>
          <w:i w:val="false"/>
          <w:iCs w:val="false"/>
          <w:color w:val="1A1A1A"/>
          <w:sz w:val="21"/>
          <w:szCs w:val="21"/>
        </w:rPr>
        <w:t xml:space="preserve">Antes de elegir el hosting definitivo (Sección 9), el equipo comparó dos formas distintas de alojar el sistema: montar un servidor físico dentro de las instalaciones de Mudanzas Sharon (servidor local) o contratar un servicio de hosting en la nube.</w:t>
      </w:r>
    </w:p>
    <w:tbl>
      <w:tblPr>
        <w:tblW w:type="dxa" w:w="9350"/>
        <w:tblBorders>
          <w:top w:val="single" w:color="C9BBA0" w:sz="4"/>
          <w:left w:val="single" w:color="C9BBA0" w:sz="4"/>
          <w:bottom w:val="single" w:color="C9BBA0" w:sz="4"/>
          <w:right w:val="single" w:color="C9BBA0" w:sz="4"/>
          <w:insideH w:val="single" w:color="auto" w:sz="4"/>
          <w:insideV w:val="single" w:color="auto" w:sz="4"/>
        </w:tblBorders>
      </w:tblPr>
      <w:tblGrid>
        <w:gridCol w:w="1700"/>
        <w:gridCol w:w="3900"/>
        <w:gridCol w:w="3750"/>
      </w:tblGrid>
      <w:tr>
        <w:trPr>
          <w:tblHeader/>
        </w:trPr>
        <w:tc>
          <w:tcPr>
            <w:tcW w:type="dxa" w:w="17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Criterio</w:t>
            </w:r>
          </w:p>
        </w:tc>
        <w:tc>
          <w:tcPr>
            <w:tcW w:type="dxa" w:w="39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Servidor local</w:t>
            </w:r>
          </w:p>
        </w:tc>
        <w:tc>
          <w:tcPr>
            <w:tcW w:type="dxa" w:w="375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Servicio en la nube</w:t>
            </w:r>
          </w:p>
        </w:tc>
      </w:tr>
      <w:tr>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Costo inicial</w:t>
            </w:r>
          </w:p>
        </w:tc>
        <w:tc>
          <w:tcPr>
            <w:tcW w:type="dxa" w:w="39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Alto: requiere comprar un computador servidor, UPS y, en algunos casos, aire acondicionado para el equipo</w:t>
            </w:r>
          </w:p>
        </w:tc>
        <w:tc>
          <w:tcPr>
            <w:tcW w:type="dxa" w:w="37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Bajo: se paga una tarifa mensual o anual, sin comprar hardware adicional</w:t>
            </w:r>
          </w:p>
        </w:tc>
      </w:tr>
      <w:tr>
        <w:tc>
          <w:tcPr>
            <w:tcW w:type="dxa" w:w="17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Mantenimiento</w:t>
            </w:r>
          </w:p>
        </w:tc>
        <w:tc>
          <w:tcPr>
            <w:tcW w:type="dxa" w:w="39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Lo debe hacer alguien del equipo o un técnico contratado: actualizaciones, copias de seguridad y reparaciones</w:t>
            </w:r>
          </w:p>
        </w:tc>
        <w:tc>
          <w:tcPr>
            <w:tcW w:type="dxa" w:w="37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Lo hace el proveedor (Hostinger, en este caso): actualizaciones y copias de seguridad incluidas</w:t>
            </w:r>
          </w:p>
        </w:tc>
      </w:tr>
      <w:tr>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Seguridad</w:t>
            </w:r>
          </w:p>
        </w:tc>
        <w:tc>
          <w:tcPr>
            <w:tcW w:type="dxa" w:w="39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Depende totalmente de que el equipo configure bien el servidor; mayor riesgo si nadie tiene experiencia en seguridad informática</w:t>
            </w:r>
          </w:p>
        </w:tc>
        <w:tc>
          <w:tcPr>
            <w:tcW w:type="dxa" w:w="37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El proveedor ya tiene certificado SSL, firewalls y protección contra ataques básicos configurados de fábrica</w:t>
            </w:r>
          </w:p>
        </w:tc>
      </w:tr>
      <w:tr>
        <w:tc>
          <w:tcPr>
            <w:tcW w:type="dxa" w:w="17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Escalabilidad</w:t>
            </w:r>
          </w:p>
        </w:tc>
        <w:tc>
          <w:tcPr>
            <w:tcW w:type="dxa" w:w="39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Difícil y costosa: si el sistema crece, hay que comprar más hardware físico</w:t>
            </w:r>
          </w:p>
        </w:tc>
        <w:tc>
          <w:tcPr>
            <w:tcW w:type="dxa" w:w="37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Fácil: se puede subir de plan en minutos si el sistema necesita más recursos</w:t>
            </w:r>
          </w:p>
        </w:tc>
      </w:tr>
      <w:tr>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Ventajas</w:t>
            </w:r>
          </w:p>
        </w:tc>
        <w:tc>
          <w:tcPr>
            <w:tcW w:type="dxa" w:w="39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Control total sobre el hardware y los datos</w:t>
            </w:r>
          </w:p>
        </w:tc>
        <w:tc>
          <w:tcPr>
            <w:tcW w:type="dxa" w:w="37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Bajo costo inicial, mantenimiento incluido, acceso desde cualquier lugar con Internet</w:t>
            </w:r>
          </w:p>
        </w:tc>
      </w:tr>
      <w:tr>
        <w:tc>
          <w:tcPr>
            <w:tcW w:type="dxa" w:w="17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Desventajas</w:t>
            </w:r>
          </w:p>
        </w:tc>
        <w:tc>
          <w:tcPr>
            <w:tcW w:type="dxa" w:w="39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Si se va la luz o falla el equipo, el sistema queda caído hasta que alguien lo repare físicamente</w:t>
            </w:r>
          </w:p>
        </w:tc>
        <w:tc>
          <w:tcPr>
            <w:tcW w:type="dxa" w:w="37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Depende de la conexión a Internet y de la disponibilidad del proveedor</w:t>
            </w:r>
          </w:p>
        </w:tc>
      </w:tr>
    </w:tbl>
    <w:p>
      <w:pPr>
        <w:spacing w:after="200" w:before="80"/>
      </w:pPr>
      <w:r>
        <w:rPr>
          <w:rFonts w:ascii="Calibri" w:cs="Calibri" w:eastAsia="Calibri" w:hAnsi="Calibri"/>
          <w:b/>
          <w:bCs/>
          <w:color w:val="62551C"/>
          <w:sz w:val="21"/>
          <w:szCs w:val="21"/>
        </w:rPr>
        <w:t xml:space="preserve">Recomendación para Mudanzas Sharon: </w:t>
      </w:r>
      <w:r>
        <w:rPr>
          <w:rFonts w:ascii="Calibri" w:cs="Calibri" w:eastAsia="Calibri" w:hAnsi="Calibri"/>
          <w:sz w:val="21"/>
          <w:szCs w:val="21"/>
        </w:rPr>
        <w:t xml:space="preserve">un servicio en la nube (hosting compartido), no un servidor local. Mudanzas Sharon es una empresa pequeña que no cuenta con personal de sistemas dedicado; un servidor local implicaría un gasto inicial alto y el riesgo de que nadie pueda resolver una falla técnica a tiempo. El hosting en la nube resuelve el mantenimiento, la seguridad básica y permite escalar sin comprar hardware nuevo, todo por una tarifa mensual accesible.</w:t>
      </w:r>
    </w:p>
    <w:p>
      <w:pPr>
        <w:pStyle w:val="Heading1"/>
        <w:pBdr>
          <w:bottom w:val="single" w:color="62551C" w:sz="8" w:space="4"/>
        </w:pBdr>
        <w:spacing w:after="160" w:before="360"/>
      </w:pPr>
      <w:r>
        <w:rPr>
          <w:rFonts w:ascii="Calibri" w:cs="Calibri" w:eastAsia="Calibri" w:hAnsi="Calibri"/>
          <w:b/>
          <w:bCs/>
          <w:color w:val="62551C"/>
          <w:sz w:val="30"/>
          <w:szCs w:val="30"/>
        </w:rPr>
        <w:t xml:space="preserve">9. Comparativa de Proveedores de Hosting</w:t>
      </w:r>
    </w:p>
    <w:p>
      <w:pPr>
        <w:spacing w:after="160"/>
      </w:pPr>
      <w:r>
        <w:rPr>
          <w:rFonts w:ascii="Calibri" w:cs="Calibri" w:eastAsia="Calibri" w:hAnsi="Calibri"/>
          <w:b w:val="false"/>
          <w:bCs w:val="false"/>
          <w:i w:val="false"/>
          <w:iCs w:val="false"/>
          <w:color w:val="1A1A1A"/>
          <w:sz w:val="21"/>
          <w:szCs w:val="21"/>
        </w:rPr>
        <w:t xml:space="preserve">Para determinar el mejor proveedor de hosting tradicional para LOGISTICARGO SYSTEM, el equipo comparó tres proveedores reconocidos en Colombia: Hostinger, GoDaddy y HostGator. Los precios se consultaron directamente en los sitios oficiales de cada proveedor en junio de 2026.</w:t>
      </w:r>
    </w:p>
    <w:tbl>
      <w:tblPr>
        <w:tblW w:type="dxa" w:w="9350"/>
        <w:tblBorders>
          <w:top w:val="single" w:color="C9BBA0" w:sz="4"/>
          <w:left w:val="single" w:color="C9BBA0" w:sz="4"/>
          <w:bottom w:val="single" w:color="C9BBA0" w:sz="4"/>
          <w:right w:val="single" w:color="C9BBA0" w:sz="4"/>
          <w:insideH w:val="single" w:color="auto" w:sz="4"/>
          <w:insideV w:val="single" w:color="auto" w:sz="4"/>
        </w:tblBorders>
      </w:tblPr>
      <w:tblGrid>
        <w:gridCol w:w="1700"/>
        <w:gridCol w:w="2600"/>
        <w:gridCol w:w="2500"/>
        <w:gridCol w:w="2550"/>
      </w:tblGrid>
      <w:tr>
        <w:trPr>
          <w:tblHeader/>
        </w:trPr>
        <w:tc>
          <w:tcPr>
            <w:tcW w:type="dxa" w:w="17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Criterio</w:t>
            </w:r>
          </w:p>
        </w:tc>
        <w:tc>
          <w:tcPr>
            <w:tcW w:type="dxa" w:w="26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Hostinger (Plan Premium)</w:t>
            </w:r>
          </w:p>
        </w:tc>
        <w:tc>
          <w:tcPr>
            <w:tcW w:type="dxa" w:w="25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GoDaddy (Plan Económico)</w:t>
            </w:r>
          </w:p>
        </w:tc>
        <w:tc>
          <w:tcPr>
            <w:tcW w:type="dxa" w:w="255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HostGator (Plan Emprendedor)</w:t>
            </w:r>
          </w:p>
        </w:tc>
      </w:tr>
      <w:tr>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Precio mensual equivalente</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CO$8.900/mes (pagando 48 meses de una vez)</w:t>
            </w:r>
          </w:p>
        </w:tc>
        <w:tc>
          <w:tcPr>
            <w:tcW w:type="dxa" w:w="25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Desde CO$32.999/mes</w:t>
            </w:r>
          </w:p>
        </w:tc>
        <w:tc>
          <w:tcPr>
            <w:tcW w:type="dxa" w:w="25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CO$10.000/mes (pago anual)</w:t>
            </w:r>
          </w:p>
        </w:tc>
      </w:tr>
      <w:tr>
        <w:tc>
          <w:tcPr>
            <w:tcW w:type="dxa" w:w="17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Precio total aproximado</w:t>
            </w:r>
          </w:p>
        </w:tc>
        <w:tc>
          <w:tcPr>
            <w:tcW w:type="dxa" w:w="26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CO$427.200 pago único (48 meses); mes a mes sin compromiso: CO$39.900/mes</w:t>
            </w:r>
          </w:p>
        </w:tc>
        <w:tc>
          <w:tcPr>
            <w:tcW w:type="dxa" w:w="25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≈CO$395.988/año (12 × $32.999)</w:t>
            </w:r>
          </w:p>
        </w:tc>
        <w:tc>
          <w:tcPr>
            <w:tcW w:type="dxa" w:w="25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≈CO$120.000/año</w:t>
            </w:r>
          </w:p>
        </w:tc>
      </w:tr>
      <w:tr>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Almacenamiento SSD</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20 GB SSD NVMe</w:t>
            </w:r>
          </w:p>
        </w:tc>
        <w:tc>
          <w:tcPr>
            <w:tcW w:type="dxa" w:w="25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Ilimitado (compartido)</w:t>
            </w:r>
          </w:p>
        </w:tc>
        <w:tc>
          <w:tcPr>
            <w:tcW w:type="dxa" w:w="25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25 GB</w:t>
            </w:r>
          </w:p>
        </w:tc>
      </w:tr>
      <w:tr>
        <w:tc>
          <w:tcPr>
            <w:tcW w:type="dxa" w:w="17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Certificado SSL</w:t>
            </w:r>
          </w:p>
        </w:tc>
        <w:tc>
          <w:tcPr>
            <w:tcW w:type="dxa" w:w="26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Gratuito e incluido</w:t>
            </w:r>
          </w:p>
        </w:tc>
        <w:tc>
          <w:tcPr>
            <w:tcW w:type="dxa" w:w="25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Gratuito e incluido</w:t>
            </w:r>
          </w:p>
        </w:tc>
        <w:tc>
          <w:tcPr>
            <w:tcW w:type="dxa" w:w="25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Gratuito e incluido</w:t>
            </w:r>
          </w:p>
        </w:tc>
      </w:tr>
      <w:tr>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Dominio gratis</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Sí — 1 año (Plan Premium)</w:t>
            </w:r>
          </w:p>
        </w:tc>
        <w:tc>
          <w:tcPr>
            <w:tcW w:type="dxa" w:w="25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No en el plan económico básico</w:t>
            </w:r>
          </w:p>
        </w:tc>
        <w:tc>
          <w:tcPr>
            <w:tcW w:type="dxa" w:w="25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Sí — 1 año</w:t>
            </w:r>
          </w:p>
        </w:tc>
      </w:tr>
      <w:tr>
        <w:tc>
          <w:tcPr>
            <w:tcW w:type="dxa" w:w="17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PHP + MySQL incluido</w:t>
            </w:r>
          </w:p>
        </w:tc>
        <w:tc>
          <w:tcPr>
            <w:tcW w:type="dxa" w:w="26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Sí</w:t>
            </w:r>
          </w:p>
        </w:tc>
        <w:tc>
          <w:tcPr>
            <w:tcW w:type="dxa" w:w="25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Sí</w:t>
            </w:r>
          </w:p>
        </w:tc>
        <w:tc>
          <w:tcPr>
            <w:tcW w:type="dxa" w:w="25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Sí</w:t>
            </w:r>
          </w:p>
        </w:tc>
      </w:tr>
      <w:tr>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¿Recomendado?</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SÍ — mejor relación calidad-precio para Colombia en 2026</w:t>
            </w:r>
          </w:p>
        </w:tc>
        <w:tc>
          <w:tcPr>
            <w:tcW w:type="dxa" w:w="25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Alternativa — más cara desde el primer mes</w:t>
            </w:r>
          </w:p>
        </w:tc>
        <w:tc>
          <w:tcPr>
            <w:tcW w:type="dxa" w:w="25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Alternativa — funciona, pero más costosa a mediano plazo</w:t>
            </w:r>
          </w:p>
        </w:tc>
      </w:tr>
    </w:tbl>
    <w:p>
      <w:pPr>
        <w:spacing w:after="20" w:before="20"/>
      </w:pPr>
      <w:r>
        <w:rPr>
          <w:rFonts w:ascii="Calibri" w:cs="Calibri" w:eastAsia="Calibri" w:hAnsi="Calibri"/>
          <w:b/>
          <w:bCs/>
          <w:i/>
          <w:iCs/>
          <w:color w:val="595959"/>
          <w:sz w:val="18"/>
          <w:szCs w:val="18"/>
        </w:rPr>
        <w:t xml:space="preserve">Fuente Hostinger CO: </w:t>
      </w:r>
      <w:hyperlink w:history="1" r:id="rIdp-po3x3isy2i9ole7lubh">
        <w:r>
          <w:rPr>
            <w:rFonts w:ascii="Calibri" w:cs="Calibri" w:eastAsia="Calibri" w:hAnsi="Calibri"/>
            <w:color w:val="1155CC"/>
            <w:sz w:val="18"/>
            <w:szCs w:val="18"/>
            <w:u w:val="single"/>
          </w:rPr>
          <w:t xml:space="preserve">https://www.hostinger.com/co/hosting-web</w:t>
        </w:r>
      </w:hyperlink>
      <w:r>
        <w:rPr>
          <w:rFonts w:ascii="Calibri" w:cs="Calibri" w:eastAsia="Calibri" w:hAnsi="Calibri"/>
          <w:i/>
          <w:iCs/>
          <w:color w:val="595959"/>
          <w:sz w:val="18"/>
          <w:szCs w:val="18"/>
        </w:rPr>
        <w:t xml:space="preserve"> — Consultado: junio 2026</w:t>
      </w:r>
    </w:p>
    <w:p>
      <w:pPr>
        <w:spacing w:after="20" w:before="20"/>
      </w:pPr>
      <w:r>
        <w:rPr>
          <w:rFonts w:ascii="Calibri" w:cs="Calibri" w:eastAsia="Calibri" w:hAnsi="Calibri"/>
          <w:b/>
          <w:bCs/>
          <w:i/>
          <w:iCs/>
          <w:color w:val="595959"/>
          <w:sz w:val="18"/>
          <w:szCs w:val="18"/>
        </w:rPr>
        <w:t xml:space="preserve">Fuente GoDaddy CO: </w:t>
      </w:r>
      <w:hyperlink w:history="1" r:id="rIdbgbk4swyhprzr9dy0vzaj">
        <w:r>
          <w:rPr>
            <w:rFonts w:ascii="Calibri" w:cs="Calibri" w:eastAsia="Calibri" w:hAnsi="Calibri"/>
            <w:color w:val="1155CC"/>
            <w:sz w:val="18"/>
            <w:szCs w:val="18"/>
            <w:u w:val="single"/>
          </w:rPr>
          <w:t xml:space="preserve">https://www.godaddy.com/resources/latam/desarrollo/compara-proveedores-colombia-hosting</w:t>
        </w:r>
      </w:hyperlink>
      <w:r>
        <w:rPr>
          <w:rFonts w:ascii="Calibri" w:cs="Calibri" w:eastAsia="Calibri" w:hAnsi="Calibri"/>
          <w:i/>
          <w:iCs/>
          <w:color w:val="595959"/>
          <w:sz w:val="18"/>
          <w:szCs w:val="18"/>
        </w:rPr>
        <w:t xml:space="preserve"> — Consultado: junio 2026</w:t>
      </w:r>
    </w:p>
    <w:p>
      <w:pPr>
        <w:spacing w:after="20" w:before="20"/>
      </w:pPr>
      <w:r>
        <w:rPr>
          <w:rFonts w:ascii="Calibri" w:cs="Calibri" w:eastAsia="Calibri" w:hAnsi="Calibri"/>
          <w:b/>
          <w:bCs/>
          <w:i/>
          <w:iCs/>
          <w:color w:val="595959"/>
          <w:sz w:val="18"/>
          <w:szCs w:val="18"/>
        </w:rPr>
        <w:t xml:space="preserve">Fuente referencia de precios 2026: </w:t>
      </w:r>
      <w:hyperlink w:history="1" r:id="rIdrnjsi0ht0ppjxxrk9dfge">
        <w:r>
          <w:rPr>
            <w:rFonts w:ascii="Calibri" w:cs="Calibri" w:eastAsia="Calibri" w:hAnsi="Calibri"/>
            <w:color w:val="1155CC"/>
            <w:sz w:val="18"/>
            <w:szCs w:val="18"/>
            <w:u w:val="single"/>
          </w:rPr>
          <w:t xml:space="preserve">https://www.colombiacloud.co/cuanto-cuesta-hosting-colombia-2026/</w:t>
        </w:r>
      </w:hyperlink>
      <w:r>
        <w:rPr>
          <w:rFonts w:ascii="Calibri" w:cs="Calibri" w:eastAsia="Calibri" w:hAnsi="Calibri"/>
          <w:i/>
          <w:iCs/>
          <w:color w:val="595959"/>
          <w:sz w:val="18"/>
          <w:szCs w:val="18"/>
        </w:rPr>
        <w:t xml:space="preserve"> — Consultado: mayo 2026</w:t>
      </w:r>
    </w:p>
    <w:p>
      <w:pPr>
        <w:pStyle w:val="Heading2"/>
        <w:spacing w:after="120" w:before="260"/>
      </w:pPr>
      <w:r>
        <w:rPr>
          <w:rFonts w:ascii="Calibri" w:cs="Calibri" w:eastAsia="Calibri" w:hAnsi="Calibri"/>
          <w:b/>
          <w:bCs/>
          <w:color w:val="62551C"/>
          <w:sz w:val="25"/>
          <w:szCs w:val="25"/>
        </w:rPr>
        <w:t xml:space="preserve">9.1 Proveedor seleccionado y justificación</w:t>
      </w:r>
    </w:p>
    <w:p>
      <w:pPr>
        <w:pStyle w:val="ListParagraph"/>
        <w:numPr>
          <w:ilvl w:val="0"/>
          <w:numId w:val="1"/>
        </w:numPr>
        <w:spacing w:after="100"/>
      </w:pPr>
      <w:r>
        <w:rPr>
          <w:rFonts w:ascii="Calibri" w:cs="Calibri" w:eastAsia="Calibri" w:hAnsi="Calibri"/>
          <w:b w:val="false"/>
          <w:bCs w:val="false"/>
          <w:color w:val="1A1A1A"/>
          <w:sz w:val="21"/>
          <w:szCs w:val="21"/>
        </w:rPr>
        <w:t xml:space="preserve">El Plan Premium equivale a CO$8.900/mes, pagando los 48 meses de una sola vez (CO$427.200 en total). El dominio .com queda incluido el primer año.</w:t>
      </w:r>
    </w:p>
    <w:p>
      <w:pPr>
        <w:pStyle w:val="ListParagraph"/>
        <w:numPr>
          <w:ilvl w:val="0"/>
          <w:numId w:val="1"/>
        </w:numPr>
        <w:spacing w:after="100"/>
      </w:pPr>
      <w:r>
        <w:rPr>
          <w:rFonts w:ascii="Calibri" w:cs="Calibri" w:eastAsia="Calibri" w:hAnsi="Calibri"/>
          <w:b w:val="false"/>
          <w:bCs w:val="false"/>
          <w:color w:val="1A1A1A"/>
          <w:sz w:val="21"/>
          <w:szCs w:val="21"/>
        </w:rPr>
        <w:t xml:space="preserve">Incluye PHP y MySQL, exactamente las tecnologías del proyecto, sin configuración adicional.</w:t>
      </w:r>
    </w:p>
    <w:p>
      <w:pPr>
        <w:pStyle w:val="ListParagraph"/>
        <w:numPr>
          <w:ilvl w:val="0"/>
          <w:numId w:val="1"/>
        </w:numPr>
        <w:spacing w:after="100"/>
      </w:pPr>
      <w:r>
        <w:rPr>
          <w:rFonts w:ascii="Calibri" w:cs="Calibri" w:eastAsia="Calibri" w:hAnsi="Calibri"/>
          <w:b w:val="false"/>
          <w:bCs w:val="false"/>
          <w:color w:val="1A1A1A"/>
          <w:sz w:val="21"/>
          <w:szCs w:val="21"/>
        </w:rPr>
        <w:t xml:space="preserve">El SSL está incluido gratuitamente, cumpliendo con los estándares básicos de seguridad web.</w:t>
      </w:r>
    </w:p>
    <w:p>
      <w:pPr>
        <w:pStyle w:val="ListParagraph"/>
        <w:numPr>
          <w:ilvl w:val="0"/>
          <w:numId w:val="1"/>
        </w:numPr>
        <w:spacing w:after="100"/>
      </w:pPr>
      <w:r>
        <w:rPr>
          <w:rFonts w:ascii="Calibri" w:cs="Calibri" w:eastAsia="Calibri" w:hAnsi="Calibri"/>
          <w:b w:val="false"/>
          <w:bCs w:val="false"/>
          <w:color w:val="1A1A1A"/>
          <w:sz w:val="21"/>
          <w:szCs w:val="21"/>
        </w:rPr>
        <w:t xml:space="preserve">Tiene soporte en español vía chat en vivo las 24 horas.</w:t>
      </w:r>
    </w:p>
    <w:p>
      <w:pPr>
        <w:pStyle w:val="ListParagraph"/>
        <w:numPr>
          <w:ilvl w:val="0"/>
          <w:numId w:val="1"/>
        </w:numPr>
        <w:spacing w:after="100"/>
      </w:pPr>
      <w:r>
        <w:rPr>
          <w:rFonts w:ascii="Calibri" w:cs="Calibri" w:eastAsia="Calibri" w:hAnsi="Calibri"/>
          <w:b w:val="false"/>
          <w:bCs w:val="false"/>
          <w:color w:val="1A1A1A"/>
          <w:sz w:val="21"/>
          <w:szCs w:val="21"/>
        </w:rPr>
        <w:t xml:space="preserve">Es el proveedor más recomendado para Colombia en 2026 según varias comparativas independientes.</w:t>
      </w:r>
    </w:p>
    <w:p>
      <w:pPr>
        <w:spacing w:after="200" w:before="100"/>
      </w:pPr>
      <w:r>
        <w:rPr>
          <w:rFonts w:ascii="Calibri" w:cs="Calibri" w:eastAsia="Calibri" w:hAnsi="Calibri"/>
          <w:b/>
          <w:bCs/>
          <w:i w:val="false"/>
          <w:iCs w:val="false"/>
          <w:color w:val="1A1A1A"/>
          <w:sz w:val="20"/>
          <w:szCs w:val="20"/>
        </w:rPr>
        <w:t xml:space="preserve">Costo real del hosting seleccionado: CO$427.200 (pago único que cubre 48 meses). Como el proyecto dura 10 meses, el equipo solo desembolsa ese pago una vez al inicio; el resto de los 48 meses queda disponible para Mudanzas Sharon después de la entrega.</w:t>
      </w:r>
    </w:p>
    <w:p>
      <w:pPr>
        <w:pStyle w:val="Heading1"/>
        <w:pBdr>
          <w:bottom w:val="single" w:color="62551C" w:sz="8" w:space="4"/>
        </w:pBdr>
        <w:spacing w:after="160" w:before="360"/>
      </w:pPr>
      <w:r>
        <w:rPr>
          <w:rFonts w:ascii="Calibri" w:cs="Calibri" w:eastAsia="Calibri" w:hAnsi="Calibri"/>
          <w:b/>
          <w:bCs/>
          <w:color w:val="62551C"/>
          <w:sz w:val="30"/>
          <w:szCs w:val="30"/>
        </w:rPr>
        <w:t xml:space="preserve">10. Comparativa de Proveedores de Dominio</w:t>
      </w:r>
    </w:p>
    <w:p>
      <w:pPr>
        <w:spacing w:after="160"/>
      </w:pPr>
      <w:r>
        <w:rPr>
          <w:rFonts w:ascii="Calibri" w:cs="Calibri" w:eastAsia="Calibri" w:hAnsi="Calibri"/>
          <w:b w:val="false"/>
          <w:bCs w:val="false"/>
          <w:i w:val="false"/>
          <w:iCs w:val="false"/>
          <w:color w:val="1A1A1A"/>
          <w:sz w:val="21"/>
          <w:szCs w:val="21"/>
        </w:rPr>
        <w:t xml:space="preserve">Se compararon tres proveedores para el registro del dominio logisticargosystem.com.</w:t>
      </w:r>
    </w:p>
    <w:tbl>
      <w:tblPr>
        <w:tblW w:type="dxa" w:w="9350"/>
        <w:tblBorders>
          <w:top w:val="single" w:color="C9BBA0" w:sz="4"/>
          <w:left w:val="single" w:color="C9BBA0" w:sz="4"/>
          <w:bottom w:val="single" w:color="C9BBA0" w:sz="4"/>
          <w:right w:val="single" w:color="C9BBA0" w:sz="4"/>
          <w:insideH w:val="single" w:color="auto" w:sz="4"/>
          <w:insideV w:val="single" w:color="auto" w:sz="4"/>
        </w:tblBorders>
      </w:tblPr>
      <w:tblGrid>
        <w:gridCol w:w="1700"/>
        <w:gridCol w:w="2600"/>
        <w:gridCol w:w="2500"/>
        <w:gridCol w:w="2550"/>
      </w:tblGrid>
      <w:tr>
        <w:trPr>
          <w:tblHeader/>
        </w:trPr>
        <w:tc>
          <w:tcPr>
            <w:tcW w:type="dxa" w:w="17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Criterio</w:t>
            </w:r>
          </w:p>
        </w:tc>
        <w:tc>
          <w:tcPr>
            <w:tcW w:type="dxa" w:w="26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Hostinger</w:t>
            </w:r>
          </w:p>
        </w:tc>
        <w:tc>
          <w:tcPr>
            <w:tcW w:type="dxa" w:w="25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Namecheap</w:t>
            </w:r>
          </w:p>
        </w:tc>
        <w:tc>
          <w:tcPr>
            <w:tcW w:type="dxa" w:w="255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GoDaddy</w:t>
            </w:r>
          </w:p>
        </w:tc>
      </w:tr>
      <w:tr>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Precio registro .com (año 1)</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CO$1 (con Plan Premium el dominio queda incluido sin costo)</w:t>
            </w:r>
          </w:p>
        </w:tc>
        <w:tc>
          <w:tcPr>
            <w:tcW w:type="dxa" w:w="25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≈US$11,48/año (≈CO$46.000)</w:t>
            </w:r>
          </w:p>
        </w:tc>
        <w:tc>
          <w:tcPr>
            <w:tcW w:type="dxa" w:w="25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CO$84.999/año</w:t>
            </w:r>
          </w:p>
        </w:tc>
      </w:tr>
      <w:tr>
        <w:tc>
          <w:tcPr>
            <w:tcW w:type="dxa" w:w="17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Precio renovación .com</w:t>
            </w:r>
          </w:p>
        </w:tc>
        <w:tc>
          <w:tcPr>
            <w:tcW w:type="dxa" w:w="26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CO$69.900/año (segundo año en adelante)</w:t>
            </w:r>
          </w:p>
        </w:tc>
        <w:tc>
          <w:tcPr>
            <w:tcW w:type="dxa" w:w="25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≈US$18,68/año (≈CO$75.000)</w:t>
            </w:r>
          </w:p>
        </w:tc>
        <w:tc>
          <w:tcPr>
            <w:tcW w:type="dxa" w:w="25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≈CO$90.000-100.000/año</w:t>
            </w:r>
          </w:p>
        </w:tc>
      </w:tr>
      <w:tr>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Privacidad WHOIS</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Incluida</w:t>
            </w:r>
          </w:p>
        </w:tc>
        <w:tc>
          <w:tcPr>
            <w:tcW w:type="dxa" w:w="25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Con costo adicional</w:t>
            </w:r>
          </w:p>
        </w:tc>
        <w:tc>
          <w:tcPr>
            <w:tcW w:type="dxa" w:w="25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Con costo adicional (≈US$9,99/año)</w:t>
            </w:r>
          </w:p>
        </w:tc>
      </w:tr>
      <w:tr>
        <w:tc>
          <w:tcPr>
            <w:tcW w:type="dxa" w:w="17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Pago en pesos colombianos</w:t>
            </w:r>
          </w:p>
        </w:tc>
        <w:tc>
          <w:tcPr>
            <w:tcW w:type="dxa" w:w="26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Sí</w:t>
            </w:r>
          </w:p>
        </w:tc>
        <w:tc>
          <w:tcPr>
            <w:tcW w:type="dxa" w:w="25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No (solo USD)</w:t>
            </w:r>
          </w:p>
        </w:tc>
        <w:tc>
          <w:tcPr>
            <w:tcW w:type="dxa" w:w="25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Sí</w:t>
            </w:r>
          </w:p>
        </w:tc>
      </w:tr>
      <w:tr>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Integración con hosting</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Total (mismo panel)</w:t>
            </w:r>
          </w:p>
        </w:tc>
        <w:tc>
          <w:tcPr>
            <w:tcW w:type="dxa" w:w="25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Requiere configuración DNS</w:t>
            </w:r>
          </w:p>
        </w:tc>
        <w:tc>
          <w:tcPr>
            <w:tcW w:type="dxa" w:w="25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Parcial</w:t>
            </w:r>
          </w:p>
        </w:tc>
      </w:tr>
      <w:tr>
        <w:tc>
          <w:tcPr>
            <w:tcW w:type="dxa" w:w="17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¿Recomendado?</w:t>
            </w:r>
          </w:p>
        </w:tc>
        <w:tc>
          <w:tcPr>
            <w:tcW w:type="dxa" w:w="26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SÍ — dominio incluido gratis con el hosting elegido</w:t>
            </w:r>
          </w:p>
        </w:tc>
        <w:tc>
          <w:tcPr>
            <w:tcW w:type="dxa" w:w="25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Alternativa económica si se paga en USD</w:t>
            </w:r>
          </w:p>
        </w:tc>
        <w:tc>
          <w:tcPr>
            <w:tcW w:type="dxa" w:w="25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No recomendado — precio de renovación alto</w:t>
            </w:r>
          </w:p>
        </w:tc>
      </w:tr>
    </w:tbl>
    <w:p>
      <w:pPr>
        <w:spacing w:after="20" w:before="20"/>
      </w:pPr>
      <w:r>
        <w:rPr>
          <w:rFonts w:ascii="Calibri" w:cs="Calibri" w:eastAsia="Calibri" w:hAnsi="Calibri"/>
          <w:b/>
          <w:bCs/>
          <w:i/>
          <w:iCs/>
          <w:color w:val="595959"/>
          <w:sz w:val="18"/>
          <w:szCs w:val="18"/>
        </w:rPr>
        <w:t xml:space="preserve">Fuente Hostinger dominio: </w:t>
      </w:r>
      <w:hyperlink w:history="1" r:id="rId-dsl2en-fldel5xid0dbs">
        <w:r>
          <w:rPr>
            <w:rFonts w:ascii="Calibri" w:cs="Calibri" w:eastAsia="Calibri" w:hAnsi="Calibri"/>
            <w:color w:val="1155CC"/>
            <w:sz w:val="18"/>
            <w:szCs w:val="18"/>
            <w:u w:val="single"/>
          </w:rPr>
          <w:t xml:space="preserve">https://www.hostinger.com/co/tld/dominio-com</w:t>
        </w:r>
      </w:hyperlink>
      <w:r>
        <w:rPr>
          <w:rFonts w:ascii="Calibri" w:cs="Calibri" w:eastAsia="Calibri" w:hAnsi="Calibri"/>
          <w:i/>
          <w:iCs/>
          <w:color w:val="595959"/>
          <w:sz w:val="18"/>
          <w:szCs w:val="18"/>
        </w:rPr>
        <w:t xml:space="preserve"> — Consultado: junio 2026</w:t>
      </w:r>
    </w:p>
    <w:p>
      <w:pPr>
        <w:spacing w:after="20" w:before="20"/>
      </w:pPr>
      <w:r>
        <w:rPr>
          <w:rFonts w:ascii="Calibri" w:cs="Calibri" w:eastAsia="Calibri" w:hAnsi="Calibri"/>
          <w:b/>
          <w:bCs/>
          <w:i/>
          <w:iCs/>
          <w:color w:val="595959"/>
          <w:sz w:val="18"/>
          <w:szCs w:val="18"/>
        </w:rPr>
        <w:t xml:space="preserve">Fuente Namecheap: </w:t>
      </w:r>
      <w:hyperlink w:history="1" r:id="rIds25xp7wvldvosox7_iubv">
        <w:r>
          <w:rPr>
            <w:rFonts w:ascii="Calibri" w:cs="Calibri" w:eastAsia="Calibri" w:hAnsi="Calibri"/>
            <w:color w:val="1155CC"/>
            <w:sz w:val="18"/>
            <w:szCs w:val="18"/>
            <w:u w:val="single"/>
          </w:rPr>
          <w:t xml:space="preserve">https://www.namecheap.com/domains/</w:t>
        </w:r>
      </w:hyperlink>
      <w:r>
        <w:rPr>
          <w:rFonts w:ascii="Calibri" w:cs="Calibri" w:eastAsia="Calibri" w:hAnsi="Calibri"/>
          <w:i/>
          <w:iCs/>
          <w:color w:val="595959"/>
          <w:sz w:val="18"/>
          <w:szCs w:val="18"/>
        </w:rPr>
        <w:t xml:space="preserve"> — Consultado: junio 2026</w:t>
      </w:r>
    </w:p>
    <w:p>
      <w:pPr>
        <w:spacing w:after="20" w:before="20"/>
      </w:pPr>
      <w:r>
        <w:rPr>
          <w:rFonts w:ascii="Calibri" w:cs="Calibri" w:eastAsia="Calibri" w:hAnsi="Calibri"/>
          <w:b/>
          <w:bCs/>
          <w:i/>
          <w:iCs/>
          <w:color w:val="595959"/>
          <w:sz w:val="18"/>
          <w:szCs w:val="18"/>
        </w:rPr>
        <w:t xml:space="preserve">Fuente GoDaddy dominio: </w:t>
      </w:r>
      <w:hyperlink w:history="1" r:id="rIdsterxiku954uxfhiemuos">
        <w:r>
          <w:rPr>
            <w:rFonts w:ascii="Calibri" w:cs="Calibri" w:eastAsia="Calibri" w:hAnsi="Calibri"/>
            <w:color w:val="1155CC"/>
            <w:sz w:val="18"/>
            <w:szCs w:val="18"/>
            <w:u w:val="single"/>
          </w:rPr>
          <w:t xml:space="preserve">https://www.godaddy.com/resources/latam/stories/descubre-el-mejor-sitio-de-dominios-de-colombia</w:t>
        </w:r>
      </w:hyperlink>
      <w:r>
        <w:rPr>
          <w:rFonts w:ascii="Calibri" w:cs="Calibri" w:eastAsia="Calibri" w:hAnsi="Calibri"/>
          <w:i/>
          <w:iCs/>
          <w:color w:val="595959"/>
          <w:sz w:val="18"/>
          <w:szCs w:val="18"/>
        </w:rPr>
        <w:t xml:space="preserve"> — Consultado: junio 2026</w:t>
      </w:r>
    </w:p>
    <w:p>
      <w:pPr>
        <w:pStyle w:val="Heading2"/>
        <w:spacing w:after="120" w:before="260"/>
      </w:pPr>
      <w:r>
        <w:rPr>
          <w:rFonts w:ascii="Calibri" w:cs="Calibri" w:eastAsia="Calibri" w:hAnsi="Calibri"/>
          <w:b/>
          <w:bCs/>
          <w:color w:val="62551C"/>
          <w:sz w:val="25"/>
          <w:szCs w:val="25"/>
        </w:rPr>
        <w:t xml:space="preserve">10.1 Dominio seleccionado</w:t>
      </w:r>
    </w:p>
    <w:p>
      <w:pPr>
        <w:spacing w:after="200"/>
      </w:pPr>
      <w:r>
        <w:rPr>
          <w:rFonts w:ascii="Calibri" w:cs="Calibri" w:eastAsia="Calibri" w:hAnsi="Calibri"/>
          <w:b w:val="false"/>
          <w:bCs w:val="false"/>
          <w:i w:val="false"/>
          <w:iCs w:val="false"/>
          <w:color w:val="1A1A1A"/>
          <w:sz w:val="21"/>
          <w:szCs w:val="21"/>
        </w:rPr>
        <w:t xml:space="preserve">Dominio: logisticargosystem.com — Proveedor: Hostinger (incluido gratis con el Plan Premium el primer año) — Costo año 1: $0 (incluido con el Plan Premium; registro individual desde CO$1) — Costo de renovación desde el año 2: CO$69.900/año.</w:t>
      </w:r>
    </w:p>
    <w:p>
      <w:pPr>
        <w:pStyle w:val="Heading1"/>
        <w:pBdr>
          <w:bottom w:val="single" w:color="62551C" w:sz="8" w:space="4"/>
        </w:pBdr>
        <w:spacing w:after="160" w:before="360"/>
      </w:pPr>
      <w:r>
        <w:rPr>
          <w:rFonts w:ascii="Calibri" w:cs="Calibri" w:eastAsia="Calibri" w:hAnsi="Calibri"/>
          <w:b/>
          <w:bCs/>
          <w:color w:val="62551C"/>
          <w:sz w:val="30"/>
          <w:szCs w:val="30"/>
        </w:rPr>
        <w:t xml:space="preserve">11. Estudio del Recurso Humano</w:t>
      </w:r>
    </w:p>
    <w:p>
      <w:pPr>
        <w:spacing w:after="160"/>
      </w:pPr>
      <w:r>
        <w:rPr>
          <w:rFonts w:ascii="Calibri" w:cs="Calibri" w:eastAsia="Calibri" w:hAnsi="Calibri"/>
          <w:b w:val="false"/>
          <w:bCs w:val="false"/>
          <w:i w:val="false"/>
          <w:iCs w:val="false"/>
          <w:color w:val="1A1A1A"/>
          <w:sz w:val="21"/>
          <w:szCs w:val="21"/>
        </w:rPr>
        <w:t xml:space="preserve">LOGISTICARGO SYSTEM fue desarrollado por un grupo de 4 aprendices del programa ADSO del SENA, en etapa lectiva. El trabajo de análisis, diseño, desarrollo backend, desarrollo frontend y pruebas fue realizado de forma conjunta por el grupo, por lo que el cálculo de costos se presenta como el esfuerzo total del equipo y no como una asignación individual de tareas.</w:t>
      </w:r>
    </w:p>
    <w:p>
      <w:pPr>
        <w:pStyle w:val="Heading2"/>
        <w:spacing w:after="120" w:before="260"/>
      </w:pPr>
      <w:r>
        <w:rPr>
          <w:rFonts w:ascii="Calibri" w:cs="Calibri" w:eastAsia="Calibri" w:hAnsi="Calibri"/>
          <w:b/>
          <w:bCs/>
          <w:color w:val="62551C"/>
          <w:sz w:val="25"/>
          <w:szCs w:val="25"/>
        </w:rPr>
        <w:t xml:space="preserve">11.1 Modalidad y valor hora</w:t>
      </w:r>
    </w:p>
    <w:p>
      <w:pPr>
        <w:pStyle w:val="ListParagraph"/>
        <w:numPr>
          <w:ilvl w:val="0"/>
          <w:numId w:val="1"/>
        </w:numPr>
        <w:spacing w:after="100"/>
      </w:pPr>
      <w:r>
        <w:rPr>
          <w:rFonts w:ascii="Calibri" w:cs="Calibri" w:eastAsia="Calibri" w:hAnsi="Calibri"/>
          <w:b w:val="false"/>
          <w:bCs w:val="false"/>
          <w:color w:val="1A1A1A"/>
          <w:sz w:val="21"/>
          <w:szCs w:val="21"/>
        </w:rPr>
        <w:t xml:space="preserve">Los 4 integrantes son aprendices ADSO del SENA en etapa lectiva.</w:t>
      </w:r>
    </w:p>
    <w:p>
      <w:pPr>
        <w:pStyle w:val="ListParagraph"/>
        <w:numPr>
          <w:ilvl w:val="0"/>
          <w:numId w:val="1"/>
        </w:numPr>
        <w:spacing w:after="100"/>
      </w:pPr>
      <w:r>
        <w:rPr>
          <w:rFonts w:ascii="Calibri" w:cs="Calibri" w:eastAsia="Calibri" w:hAnsi="Calibri"/>
          <w:b w:val="false"/>
          <w:bCs w:val="false"/>
          <w:color w:val="1A1A1A"/>
          <w:sz w:val="21"/>
          <w:szCs w:val="21"/>
        </w:rPr>
        <w:t xml:space="preserve">El valor hora asignado es de $4.980 COP, correspondiente a la estimación académica del costo del tiempo de un aprendiz en etapa lectiva.</w:t>
      </w:r>
    </w:p>
    <w:p>
      <w:pPr>
        <w:pStyle w:val="ListParagraph"/>
        <w:numPr>
          <w:ilvl w:val="0"/>
          <w:numId w:val="1"/>
        </w:numPr>
        <w:spacing w:after="100"/>
      </w:pPr>
      <w:r>
        <w:rPr>
          <w:rFonts w:ascii="Calibri" w:cs="Calibri" w:eastAsia="Calibri" w:hAnsi="Calibri"/>
          <w:b w:val="false"/>
          <w:bCs w:val="false"/>
          <w:color w:val="1A1A1A"/>
          <w:sz w:val="21"/>
          <w:szCs w:val="21"/>
        </w:rPr>
        <w:t xml:space="preserve">Esta tarifa NO es un salario comercial: refleja el valor formativo del trabajo del aprendiz en un contexto académico.</w:t>
      </w:r>
    </w:p>
    <w:p>
      <w:pPr>
        <w:pStyle w:val="ListParagraph"/>
        <w:numPr>
          <w:ilvl w:val="0"/>
          <w:numId w:val="1"/>
        </w:numPr>
        <w:spacing w:after="100"/>
      </w:pPr>
      <w:r>
        <w:rPr>
          <w:rFonts w:ascii="Calibri" w:cs="Calibri" w:eastAsia="Calibri" w:hAnsi="Calibri"/>
          <w:b w:val="false"/>
          <w:bCs w:val="false"/>
          <w:color w:val="1A1A1A"/>
          <w:sz w:val="21"/>
          <w:szCs w:val="21"/>
        </w:rPr>
        <w:t xml:space="preserve">Este valor se aplica de manera igual para todos los integrantes del equipo.</w:t>
      </w:r>
    </w:p>
    <w:p>
      <w:pPr>
        <w:pStyle w:val="Heading1"/>
        <w:pBdr>
          <w:bottom w:val="single" w:color="62551C" w:sz="8" w:space="4"/>
        </w:pBdr>
        <w:spacing w:after="160" w:before="360"/>
      </w:pPr>
      <w:r>
        <w:rPr>
          <w:rFonts w:ascii="Calibri" w:cs="Calibri" w:eastAsia="Calibri" w:hAnsi="Calibri"/>
          <w:b/>
          <w:bCs/>
          <w:color w:val="62551C"/>
          <w:sz w:val="30"/>
          <w:szCs w:val="30"/>
        </w:rPr>
        <w:t xml:space="preserve">12. Cálculo del Recurso Humano</w:t>
      </w:r>
    </w:p>
    <w:p>
      <w:pPr>
        <w:spacing w:after="160"/>
      </w:pPr>
      <w:r>
        <w:rPr>
          <w:rFonts w:ascii="Calibri" w:cs="Calibri" w:eastAsia="Calibri" w:hAnsi="Calibri"/>
          <w:b w:val="false"/>
          <w:bCs w:val="false"/>
          <w:i w:val="false"/>
          <w:iCs w:val="false"/>
          <w:color w:val="1A1A1A"/>
          <w:sz w:val="21"/>
          <w:szCs w:val="21"/>
        </w:rPr>
        <w:t xml:space="preserve">A continuación se presentan los cálculos paso a paso, con las fórmulas utilizadas.</w:t>
      </w:r>
    </w:p>
    <w:p>
      <w:pPr>
        <w:pStyle w:val="Heading2"/>
        <w:spacing w:after="120" w:before="260"/>
      </w:pPr>
      <w:r>
        <w:rPr>
          <w:rFonts w:ascii="Calibri" w:cs="Calibri" w:eastAsia="Calibri" w:hAnsi="Calibri"/>
          <w:b/>
          <w:bCs/>
          <w:color w:val="62551C"/>
          <w:sz w:val="25"/>
          <w:szCs w:val="25"/>
        </w:rPr>
        <w:t xml:space="preserve">12.1 Parámetros base del cálculo</w:t>
      </w:r>
    </w:p>
    <w:tbl>
      <w:tblPr>
        <w:tblW w:type="dxa" w:w="9350"/>
        <w:tblBorders>
          <w:top w:val="single" w:color="C9BBA0" w:sz="4"/>
          <w:left w:val="single" w:color="C9BBA0" w:sz="4"/>
          <w:bottom w:val="single" w:color="C9BBA0" w:sz="4"/>
          <w:right w:val="single" w:color="C9BBA0" w:sz="4"/>
          <w:insideH w:val="single" w:color="auto" w:sz="4"/>
          <w:insideV w:val="single" w:color="auto" w:sz="4"/>
        </w:tblBorders>
      </w:tblPr>
      <w:tblGrid>
        <w:gridCol w:w="2600"/>
        <w:gridCol w:w="2000"/>
        <w:gridCol w:w="4750"/>
      </w:tblGrid>
      <w:tr>
        <w:trPr>
          <w:tblHeader/>
        </w:trPr>
        <w:tc>
          <w:tcPr>
            <w:tcW w:type="dxa" w:w="26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Parámetro</w:t>
            </w:r>
          </w:p>
        </w:tc>
        <w:tc>
          <w:tcPr>
            <w:tcW w:type="dxa" w:w="20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Valor</w:t>
            </w:r>
          </w:p>
        </w:tc>
        <w:tc>
          <w:tcPr>
            <w:tcW w:type="dxa" w:w="475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Explicación</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Número de integrantes</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4 aprendices</w:t>
            </w:r>
          </w:p>
        </w:tc>
        <w:tc>
          <w:tcPr>
            <w:tcW w:type="dxa" w:w="47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Grupo N.º 4 — ADSO, etapa lectiva</w:t>
            </w:r>
          </w:p>
        </w:tc>
      </w:tr>
      <w:tr>
        <w:tc>
          <w:tcPr>
            <w:tcW w:type="dxa" w:w="26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Duración del proyecto</w:t>
            </w:r>
          </w:p>
        </w:tc>
        <w:tc>
          <w:tcPr>
            <w:tcW w:type="dxa" w:w="20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10 meses</w:t>
            </w:r>
          </w:p>
        </w:tc>
        <w:tc>
          <w:tcPr>
            <w:tcW w:type="dxa" w:w="47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Duración total establecida para el proyecto</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Sesiones por semana</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2 sesiones</w:t>
            </w:r>
          </w:p>
        </w:tc>
        <w:tc>
          <w:tcPr>
            <w:tcW w:type="dxa" w:w="47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Se trabaja 2 veces por semana</w:t>
            </w:r>
          </w:p>
        </w:tc>
      </w:tr>
      <w:tr>
        <w:tc>
          <w:tcPr>
            <w:tcW w:type="dxa" w:w="26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Horas por sesión</w:t>
            </w:r>
          </w:p>
        </w:tc>
        <w:tc>
          <w:tcPr>
            <w:tcW w:type="dxa" w:w="20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4 horas</w:t>
            </w:r>
          </w:p>
        </w:tc>
        <w:tc>
          <w:tcPr>
            <w:tcW w:type="dxa" w:w="47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Cada sesión dura 4 horas efectivas</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Valor hora aprendiz</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$4.980 COP</w:t>
            </w:r>
          </w:p>
        </w:tc>
        <w:tc>
          <w:tcPr>
            <w:tcW w:type="dxa" w:w="47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Tarifa académica aprendiz ADSO en etapa lectiva</w:t>
            </w:r>
          </w:p>
        </w:tc>
      </w:tr>
    </w:tbl>
    <w:p>
      <w:pPr>
        <w:pStyle w:val="Heading2"/>
        <w:spacing w:after="120" w:before="260"/>
      </w:pPr>
      <w:r>
        <w:rPr>
          <w:rFonts w:ascii="Calibri" w:cs="Calibri" w:eastAsia="Calibri" w:hAnsi="Calibri"/>
          <w:b/>
          <w:bCs/>
          <w:color w:val="62551C"/>
          <w:sz w:val="25"/>
          <w:szCs w:val="25"/>
        </w:rPr>
        <w:t xml:space="preserve">12.2 Cálculo paso a paso</w:t>
      </w:r>
    </w:p>
    <w:p>
      <w:pPr>
        <w:pStyle w:val="Heading3"/>
        <w:spacing w:after="100" w:before="200"/>
      </w:pPr>
      <w:r>
        <w:rPr>
          <w:rFonts w:ascii="Calibri" w:cs="Calibri" w:eastAsia="Calibri" w:hAnsi="Calibri"/>
          <w:b/>
          <w:bCs/>
          <w:i w:val="false"/>
          <w:iCs w:val="false"/>
          <w:color w:val="7A6A24"/>
          <w:sz w:val="22"/>
          <w:szCs w:val="22"/>
        </w:rPr>
        <w:t xml:space="preserve">Paso 1 — Horas semanales por integrante</w:t>
      </w:r>
    </w:p>
    <w:p>
      <w:pPr>
        <w:spacing w:after="60"/>
      </w:pPr>
      <w:r>
        <w:rPr>
          <w:rFonts w:ascii="Calibri" w:cs="Calibri" w:eastAsia="Calibri" w:hAnsi="Calibri"/>
          <w:b/>
          <w:bCs/>
          <w:sz w:val="20"/>
          <w:szCs w:val="20"/>
        </w:rPr>
        <w:t xml:space="preserve">Fórmula: </w:t>
      </w:r>
      <w:r>
        <w:rPr>
          <w:rFonts w:ascii="Calibri" w:cs="Calibri" w:eastAsia="Calibri" w:hAnsi="Calibri"/>
          <w:sz w:val="20"/>
          <w:szCs w:val="20"/>
        </w:rPr>
        <w:t xml:space="preserve">Sesiones/semana × Horas/sesión</w:t>
      </w:r>
    </w:p>
    <w:p>
      <w:pPr>
        <w:spacing w:after="120"/>
      </w:pPr>
      <w:r>
        <w:rPr>
          <w:rFonts w:ascii="Calibri" w:cs="Calibri" w:eastAsia="Calibri" w:hAnsi="Calibri"/>
          <w:b/>
          <w:bCs/>
          <w:sz w:val="20"/>
          <w:szCs w:val="20"/>
        </w:rPr>
        <w:t xml:space="preserve">Cálculo: </w:t>
      </w:r>
      <w:r>
        <w:rPr>
          <w:rFonts w:ascii="Calibri" w:cs="Calibri" w:eastAsia="Calibri" w:hAnsi="Calibri"/>
          <w:sz w:val="20"/>
          <w:szCs w:val="20"/>
        </w:rPr>
        <w:t xml:space="preserve">2 sesiones × 4 horas = 8 horas por semana por integrante</w:t>
      </w:r>
    </w:p>
    <w:p>
      <w:pPr>
        <w:pStyle w:val="Heading3"/>
        <w:spacing w:after="100" w:before="200"/>
      </w:pPr>
      <w:r>
        <w:rPr>
          <w:rFonts w:ascii="Calibri" w:cs="Calibri" w:eastAsia="Calibri" w:hAnsi="Calibri"/>
          <w:b/>
          <w:bCs/>
          <w:i w:val="false"/>
          <w:iCs w:val="false"/>
          <w:color w:val="7A6A24"/>
          <w:sz w:val="22"/>
          <w:szCs w:val="22"/>
        </w:rPr>
        <w:t xml:space="preserve">Paso 2 — Semanas en 10 meses</w:t>
      </w:r>
    </w:p>
    <w:p>
      <w:pPr>
        <w:spacing w:after="60"/>
      </w:pPr>
      <w:r>
        <w:rPr>
          <w:rFonts w:ascii="Calibri" w:cs="Calibri" w:eastAsia="Calibri" w:hAnsi="Calibri"/>
          <w:b/>
          <w:bCs/>
          <w:sz w:val="20"/>
          <w:szCs w:val="20"/>
        </w:rPr>
        <w:t xml:space="preserve">Fórmula: </w:t>
      </w:r>
      <w:r>
        <w:rPr>
          <w:rFonts w:ascii="Calibri" w:cs="Calibri" w:eastAsia="Calibri" w:hAnsi="Calibri"/>
          <w:sz w:val="20"/>
          <w:szCs w:val="20"/>
        </w:rPr>
        <w:t xml:space="preserve">Meses × semanas promedio por mes (4,33)</w:t>
      </w:r>
    </w:p>
    <w:p>
      <w:pPr>
        <w:spacing w:after="120"/>
      </w:pPr>
      <w:r>
        <w:rPr>
          <w:rFonts w:ascii="Calibri" w:cs="Calibri" w:eastAsia="Calibri" w:hAnsi="Calibri"/>
          <w:b/>
          <w:bCs/>
          <w:sz w:val="20"/>
          <w:szCs w:val="20"/>
        </w:rPr>
        <w:t xml:space="preserve">Cálculo: </w:t>
      </w:r>
      <w:r>
        <w:rPr>
          <w:rFonts w:ascii="Calibri" w:cs="Calibri" w:eastAsia="Calibri" w:hAnsi="Calibri"/>
          <w:sz w:val="20"/>
          <w:szCs w:val="20"/>
        </w:rPr>
        <w:t xml:space="preserve">10 meses × 4,33 semanas/mes = 43,3 ≈ 43 semanas</w:t>
      </w:r>
    </w:p>
    <w:p>
      <w:pPr>
        <w:pStyle w:val="Heading3"/>
        <w:spacing w:after="100" w:before="200"/>
      </w:pPr>
      <w:r>
        <w:rPr>
          <w:rFonts w:ascii="Calibri" w:cs="Calibri" w:eastAsia="Calibri" w:hAnsi="Calibri"/>
          <w:b/>
          <w:bCs/>
          <w:i w:val="false"/>
          <w:iCs w:val="false"/>
          <w:color w:val="7A6A24"/>
          <w:sz w:val="22"/>
          <w:szCs w:val="22"/>
        </w:rPr>
        <w:t xml:space="preserve">Paso 3 — Total horas por integrante</w:t>
      </w:r>
    </w:p>
    <w:p>
      <w:pPr>
        <w:spacing w:after="60"/>
      </w:pPr>
      <w:r>
        <w:rPr>
          <w:rFonts w:ascii="Calibri" w:cs="Calibri" w:eastAsia="Calibri" w:hAnsi="Calibri"/>
          <w:b/>
          <w:bCs/>
          <w:sz w:val="20"/>
          <w:szCs w:val="20"/>
        </w:rPr>
        <w:t xml:space="preserve">Fórmula: </w:t>
      </w:r>
      <w:r>
        <w:rPr>
          <w:rFonts w:ascii="Calibri" w:cs="Calibri" w:eastAsia="Calibri" w:hAnsi="Calibri"/>
          <w:sz w:val="20"/>
          <w:szCs w:val="20"/>
        </w:rPr>
        <w:t xml:space="preserve">Horas semanales × Total semanas</w:t>
      </w:r>
    </w:p>
    <w:p>
      <w:pPr>
        <w:spacing w:after="120"/>
      </w:pPr>
      <w:r>
        <w:rPr>
          <w:rFonts w:ascii="Calibri" w:cs="Calibri" w:eastAsia="Calibri" w:hAnsi="Calibri"/>
          <w:b/>
          <w:bCs/>
          <w:sz w:val="20"/>
          <w:szCs w:val="20"/>
        </w:rPr>
        <w:t xml:space="preserve">Cálculo: </w:t>
      </w:r>
      <w:r>
        <w:rPr>
          <w:rFonts w:ascii="Calibri" w:cs="Calibri" w:eastAsia="Calibri" w:hAnsi="Calibri"/>
          <w:sz w:val="20"/>
          <w:szCs w:val="20"/>
        </w:rPr>
        <w:t xml:space="preserve">8 horas/semana × 43 semanas = 344 horas por integrante</w:t>
      </w:r>
    </w:p>
    <w:p>
      <w:pPr>
        <w:pStyle w:val="Heading3"/>
        <w:spacing w:after="100" w:before="200"/>
      </w:pPr>
      <w:r>
        <w:rPr>
          <w:rFonts w:ascii="Calibri" w:cs="Calibri" w:eastAsia="Calibri" w:hAnsi="Calibri"/>
          <w:b/>
          <w:bCs/>
          <w:i w:val="false"/>
          <w:iCs w:val="false"/>
          <w:color w:val="7A6A24"/>
          <w:sz w:val="22"/>
          <w:szCs w:val="22"/>
        </w:rPr>
        <w:t xml:space="preserve">Paso 4 — Total horas del equipo</w:t>
      </w:r>
    </w:p>
    <w:p>
      <w:pPr>
        <w:spacing w:after="60"/>
      </w:pPr>
      <w:r>
        <w:rPr>
          <w:rFonts w:ascii="Calibri" w:cs="Calibri" w:eastAsia="Calibri" w:hAnsi="Calibri"/>
          <w:b/>
          <w:bCs/>
          <w:sz w:val="20"/>
          <w:szCs w:val="20"/>
        </w:rPr>
        <w:t xml:space="preserve">Fórmula: </w:t>
      </w:r>
      <w:r>
        <w:rPr>
          <w:rFonts w:ascii="Calibri" w:cs="Calibri" w:eastAsia="Calibri" w:hAnsi="Calibri"/>
          <w:sz w:val="20"/>
          <w:szCs w:val="20"/>
        </w:rPr>
        <w:t xml:space="preserve">Horas por integrante × N.º de integrantes</w:t>
      </w:r>
    </w:p>
    <w:p>
      <w:pPr>
        <w:spacing w:after="120"/>
      </w:pPr>
      <w:r>
        <w:rPr>
          <w:rFonts w:ascii="Calibri" w:cs="Calibri" w:eastAsia="Calibri" w:hAnsi="Calibri"/>
          <w:b/>
          <w:bCs/>
          <w:sz w:val="20"/>
          <w:szCs w:val="20"/>
        </w:rPr>
        <w:t xml:space="preserve">Cálculo: </w:t>
      </w:r>
      <w:r>
        <w:rPr>
          <w:rFonts w:ascii="Calibri" w:cs="Calibri" w:eastAsia="Calibri" w:hAnsi="Calibri"/>
          <w:sz w:val="20"/>
          <w:szCs w:val="20"/>
        </w:rPr>
        <w:t xml:space="preserve">344 horas × 4 integrantes = 1.376 horas totales</w:t>
      </w:r>
    </w:p>
    <w:p>
      <w:pPr>
        <w:pStyle w:val="Heading3"/>
        <w:spacing w:after="100" w:before="200"/>
      </w:pPr>
      <w:r>
        <w:rPr>
          <w:rFonts w:ascii="Calibri" w:cs="Calibri" w:eastAsia="Calibri" w:hAnsi="Calibri"/>
          <w:b/>
          <w:bCs/>
          <w:i w:val="false"/>
          <w:iCs w:val="false"/>
          <w:color w:val="7A6A24"/>
          <w:sz w:val="22"/>
          <w:szCs w:val="22"/>
        </w:rPr>
        <w:t xml:space="preserve">Paso 5 — Costo por integrante</w:t>
      </w:r>
    </w:p>
    <w:p>
      <w:pPr>
        <w:spacing w:after="60"/>
      </w:pPr>
      <w:r>
        <w:rPr>
          <w:rFonts w:ascii="Calibri" w:cs="Calibri" w:eastAsia="Calibri" w:hAnsi="Calibri"/>
          <w:b/>
          <w:bCs/>
          <w:sz w:val="20"/>
          <w:szCs w:val="20"/>
        </w:rPr>
        <w:t xml:space="preserve">Fórmula: </w:t>
      </w:r>
      <w:r>
        <w:rPr>
          <w:rFonts w:ascii="Calibri" w:cs="Calibri" w:eastAsia="Calibri" w:hAnsi="Calibri"/>
          <w:sz w:val="20"/>
          <w:szCs w:val="20"/>
        </w:rPr>
        <w:t xml:space="preserve">Horas por integrante × Valor hora</w:t>
      </w:r>
    </w:p>
    <w:p>
      <w:pPr>
        <w:spacing w:after="120"/>
      </w:pPr>
      <w:r>
        <w:rPr>
          <w:rFonts w:ascii="Calibri" w:cs="Calibri" w:eastAsia="Calibri" w:hAnsi="Calibri"/>
          <w:b/>
          <w:bCs/>
          <w:sz w:val="20"/>
          <w:szCs w:val="20"/>
        </w:rPr>
        <w:t xml:space="preserve">Cálculo: </w:t>
      </w:r>
      <w:r>
        <w:rPr>
          <w:rFonts w:ascii="Calibri" w:cs="Calibri" w:eastAsia="Calibri" w:hAnsi="Calibri"/>
          <w:sz w:val="20"/>
          <w:szCs w:val="20"/>
        </w:rPr>
        <w:t xml:space="preserve">344 horas × $4.980/hora = $1.713.120 COP por integrante</w:t>
      </w:r>
    </w:p>
    <w:p>
      <w:pPr>
        <w:pStyle w:val="Heading3"/>
        <w:spacing w:after="100" w:before="200"/>
      </w:pPr>
      <w:r>
        <w:rPr>
          <w:rFonts w:ascii="Calibri" w:cs="Calibri" w:eastAsia="Calibri" w:hAnsi="Calibri"/>
          <w:b/>
          <w:bCs/>
          <w:i w:val="false"/>
          <w:iCs w:val="false"/>
          <w:color w:val="7A6A24"/>
          <w:sz w:val="22"/>
          <w:szCs w:val="22"/>
        </w:rPr>
        <w:t xml:space="preserve">Paso 6 — Costo total del equipo</w:t>
      </w:r>
    </w:p>
    <w:p>
      <w:pPr>
        <w:spacing w:after="60"/>
      </w:pPr>
      <w:r>
        <w:rPr>
          <w:rFonts w:ascii="Calibri" w:cs="Calibri" w:eastAsia="Calibri" w:hAnsi="Calibri"/>
          <w:b/>
          <w:bCs/>
          <w:sz w:val="20"/>
          <w:szCs w:val="20"/>
        </w:rPr>
        <w:t xml:space="preserve">Fórmula: </w:t>
      </w:r>
      <w:r>
        <w:rPr>
          <w:rFonts w:ascii="Calibri" w:cs="Calibri" w:eastAsia="Calibri" w:hAnsi="Calibri"/>
          <w:sz w:val="20"/>
          <w:szCs w:val="20"/>
        </w:rPr>
        <w:t xml:space="preserve">Costo por integrante × N.º de integrantes</w:t>
      </w:r>
    </w:p>
    <w:p>
      <w:pPr>
        <w:spacing w:after="120"/>
      </w:pPr>
      <w:r>
        <w:rPr>
          <w:rFonts w:ascii="Calibri" w:cs="Calibri" w:eastAsia="Calibri" w:hAnsi="Calibri"/>
          <w:b/>
          <w:bCs/>
          <w:sz w:val="20"/>
          <w:szCs w:val="20"/>
        </w:rPr>
        <w:t xml:space="preserve">Cálculo: </w:t>
      </w:r>
      <w:r>
        <w:rPr>
          <w:rFonts w:ascii="Calibri" w:cs="Calibri" w:eastAsia="Calibri" w:hAnsi="Calibri"/>
          <w:sz w:val="20"/>
          <w:szCs w:val="20"/>
        </w:rPr>
        <w:t xml:space="preserve">$1.713.120 × 4 integrantes = $6.852.480 COP</w:t>
      </w:r>
    </w:p>
    <w:p>
      <w:pPr>
        <w:pStyle w:val="Heading2"/>
        <w:spacing w:after="120" w:before="260"/>
      </w:pPr>
      <w:r>
        <w:rPr>
          <w:rFonts w:ascii="Calibri" w:cs="Calibri" w:eastAsia="Calibri" w:hAnsi="Calibri"/>
          <w:b/>
          <w:bCs/>
          <w:color w:val="62551C"/>
          <w:sz w:val="25"/>
          <w:szCs w:val="25"/>
        </w:rPr>
        <w:t xml:space="preserve">12.3 Tabla resumen de recurso humano</w:t>
      </w:r>
    </w:p>
    <w:tbl>
      <w:tblPr>
        <w:tblW w:type="dxa" w:w="9350"/>
        <w:tblBorders>
          <w:top w:val="single" w:color="C9BBA0" w:sz="4"/>
          <w:left w:val="single" w:color="C9BBA0" w:sz="4"/>
          <w:bottom w:val="single" w:color="C9BBA0" w:sz="4"/>
          <w:right w:val="single" w:color="C9BBA0" w:sz="4"/>
          <w:insideH w:val="single" w:color="auto" w:sz="4"/>
          <w:insideV w:val="single" w:color="auto" w:sz="4"/>
        </w:tblBorders>
      </w:tblPr>
      <w:tblGrid>
        <w:gridCol w:w="3200"/>
        <w:gridCol w:w="1750"/>
        <w:gridCol w:w="1750"/>
        <w:gridCol w:w="1200"/>
        <w:gridCol w:w="1450"/>
      </w:tblGrid>
      <w:tr>
        <w:trPr>
          <w:tblHeader/>
        </w:trPr>
        <w:tc>
          <w:tcPr>
            <w:tcW w:type="dxa" w:w="32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Concepto</w:t>
            </w:r>
          </w:p>
        </w:tc>
        <w:tc>
          <w:tcPr>
            <w:tcW w:type="dxa" w:w="175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Horas/semana (equipo)</w:t>
            </w:r>
          </w:p>
        </w:tc>
        <w:tc>
          <w:tcPr>
            <w:tcW w:type="dxa" w:w="175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Total horas (10 meses)</w:t>
            </w:r>
          </w:p>
        </w:tc>
        <w:tc>
          <w:tcPr>
            <w:tcW w:type="dxa" w:w="12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Valor/hora</w:t>
            </w:r>
          </w:p>
        </w:tc>
        <w:tc>
          <w:tcPr>
            <w:tcW w:type="dxa" w:w="145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Costo total</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Trabajo conjunto de los 4 aprendices ADSO (análisis, diseño, backend, frontend y pruebas)</w:t>
            </w:r>
          </w:p>
        </w:tc>
        <w:tc>
          <w:tcPr>
            <w:tcW w:type="dxa" w:w="17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32 h/sem (equipo)</w:t>
            </w:r>
          </w:p>
        </w:tc>
        <w:tc>
          <w:tcPr>
            <w:tcW w:type="dxa" w:w="17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1.376 h (equipo)</w:t>
            </w:r>
          </w:p>
        </w:tc>
        <w:tc>
          <w:tcPr>
            <w:tcW w:type="dxa" w:w="12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$4.980</w:t>
            </w:r>
          </w:p>
        </w:tc>
        <w:tc>
          <w:tcPr>
            <w:tcW w:type="dxa" w:w="14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$6.852.480</w:t>
            </w:r>
          </w:p>
        </w:tc>
      </w:tr>
    </w:tbl>
    <w:p>
      <w:pPr>
        <w:spacing w:after="200" w:before="100"/>
      </w:pPr>
      <w:r>
        <w:rPr>
          <w:rFonts w:ascii="Calibri" w:cs="Calibri" w:eastAsia="Calibri" w:hAnsi="Calibri"/>
          <w:b w:val="false"/>
          <w:bCs w:val="false"/>
          <w:i w:val="false"/>
          <w:iCs w:val="false"/>
          <w:color w:val="1A1A1A"/>
          <w:sz w:val="21"/>
          <w:szCs w:val="21"/>
        </w:rPr>
        <w:t xml:space="preserve">El valor hora se aplica por igual a los cuatro integrantes, ya que todos hacen parte del mismo grupo formativo y las funciones de análisis, diseño, desarrollo y pruebas se distribuyeron y rotaron durante el proyecto según las necesidades de cada etapa.</w:t>
      </w:r>
    </w:p>
    <w:p>
      <w:pPr>
        <w:pStyle w:val="Heading1"/>
        <w:pBdr>
          <w:bottom w:val="single" w:color="62551C" w:sz="8" w:space="4"/>
        </w:pBdr>
        <w:spacing w:after="160" w:before="360"/>
      </w:pPr>
      <w:r>
        <w:rPr>
          <w:rFonts w:ascii="Calibri" w:cs="Calibri" w:eastAsia="Calibri" w:hAnsi="Calibri"/>
          <w:b/>
          <w:bCs/>
          <w:color w:val="62551C"/>
          <w:sz w:val="30"/>
          <w:szCs w:val="30"/>
        </w:rPr>
        <w:t xml:space="preserve">13. Costos Directos</w:t>
      </w:r>
    </w:p>
    <w:p>
      <w:pPr>
        <w:spacing w:after="160"/>
      </w:pPr>
      <w:r>
        <w:rPr>
          <w:rFonts w:ascii="Calibri" w:cs="Calibri" w:eastAsia="Calibri" w:hAnsi="Calibri"/>
          <w:b w:val="false"/>
          <w:bCs w:val="false"/>
          <w:i w:val="false"/>
          <w:iCs w:val="false"/>
          <w:color w:val="1A1A1A"/>
          <w:sz w:val="21"/>
          <w:szCs w:val="21"/>
        </w:rPr>
        <w:t xml:space="preserve">Los costos directos son aquellos que se pueden asignar directamente al desarrollo del proyecto LOGISTICARGO SYSTEM.</w:t>
      </w:r>
    </w:p>
    <w:tbl>
      <w:tblPr>
        <w:tblW w:type="dxa" w:w="9350"/>
        <w:tblBorders>
          <w:top w:val="single" w:color="C9BBA0" w:sz="4"/>
          <w:left w:val="single" w:color="C9BBA0" w:sz="4"/>
          <w:bottom w:val="single" w:color="C9BBA0" w:sz="4"/>
          <w:right w:val="single" w:color="C9BBA0" w:sz="4"/>
          <w:insideH w:val="single" w:color="auto" w:sz="4"/>
          <w:insideV w:val="single" w:color="auto" w:sz="4"/>
        </w:tblBorders>
      </w:tblPr>
      <w:tblGrid>
        <w:gridCol w:w="2350"/>
        <w:gridCol w:w="3350"/>
        <w:gridCol w:w="1150"/>
        <w:gridCol w:w="1350"/>
        <w:gridCol w:w="1150"/>
      </w:tblGrid>
      <w:tr>
        <w:trPr>
          <w:tblHeader/>
        </w:trPr>
        <w:tc>
          <w:tcPr>
            <w:tcW w:type="dxa" w:w="235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Ítem</w:t>
            </w:r>
          </w:p>
        </w:tc>
        <w:tc>
          <w:tcPr>
            <w:tcW w:type="dxa" w:w="335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Descripción</w:t>
            </w:r>
          </w:p>
        </w:tc>
        <w:tc>
          <w:tcPr>
            <w:tcW w:type="dxa" w:w="115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Cantidad</w:t>
            </w:r>
          </w:p>
        </w:tc>
        <w:tc>
          <w:tcPr>
            <w:tcW w:type="dxa" w:w="135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Valor unitario</w:t>
            </w:r>
          </w:p>
        </w:tc>
        <w:tc>
          <w:tcPr>
            <w:tcW w:type="dxa" w:w="115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Subtotal COP</w:t>
            </w:r>
          </w:p>
        </w:tc>
      </w:tr>
      <w:tr>
        <w:tc>
          <w:tcPr>
            <w:tcW w:type="dxa" w:w="23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Recurso humano — Aprendices</w:t>
            </w:r>
          </w:p>
        </w:tc>
        <w:tc>
          <w:tcPr>
            <w:tcW w:type="dxa" w:w="33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4 aprendices ADSO × 344 horas cada uno × $4.980/hora — 10 meses</w:t>
            </w:r>
          </w:p>
        </w:tc>
        <w:tc>
          <w:tcPr>
            <w:tcW w:type="dxa" w:w="11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1.376 h</w:t>
            </w:r>
          </w:p>
        </w:tc>
        <w:tc>
          <w:tcPr>
            <w:tcW w:type="dxa" w:w="13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$4.980/h</w:t>
            </w:r>
          </w:p>
        </w:tc>
        <w:tc>
          <w:tcPr>
            <w:tcW w:type="dxa" w:w="11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$6.852.480</w:t>
            </w:r>
          </w:p>
        </w:tc>
      </w:tr>
      <w:tr>
        <w:tc>
          <w:tcPr>
            <w:tcW w:type="dxa" w:w="23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Hosting web — Hostinger Premium</w:t>
            </w:r>
          </w:p>
        </w:tc>
        <w:tc>
          <w:tcPr>
            <w:tcW w:type="dxa" w:w="33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PHP + MySQL + SSL + dominio gratis 1 año. Pago único (48 meses)</w:t>
            </w:r>
          </w:p>
        </w:tc>
        <w:tc>
          <w:tcPr>
            <w:tcW w:type="dxa" w:w="11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1 plan</w:t>
            </w:r>
          </w:p>
        </w:tc>
        <w:tc>
          <w:tcPr>
            <w:tcW w:type="dxa" w:w="13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$427.200 total</w:t>
            </w:r>
          </w:p>
        </w:tc>
        <w:tc>
          <w:tcPr>
            <w:tcW w:type="dxa" w:w="11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$427.200</w:t>
            </w:r>
          </w:p>
        </w:tc>
      </w:tr>
      <w:tr>
        <w:tc>
          <w:tcPr>
            <w:tcW w:type="dxa" w:w="23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Dominio logisticargosystem.com</w:t>
            </w:r>
          </w:p>
        </w:tc>
        <w:tc>
          <w:tcPr>
            <w:tcW w:type="dxa" w:w="33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Incluido gratis el primer año con el Plan Premium de Hostinger</w:t>
            </w:r>
          </w:p>
        </w:tc>
        <w:tc>
          <w:tcPr>
            <w:tcW w:type="dxa" w:w="11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1 año</w:t>
            </w:r>
          </w:p>
        </w:tc>
        <w:tc>
          <w:tcPr>
            <w:tcW w:type="dxa" w:w="13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$0</w:t>
            </w:r>
          </w:p>
        </w:tc>
        <w:tc>
          <w:tcPr>
            <w:tcW w:type="dxa" w:w="11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$0</w:t>
            </w:r>
          </w:p>
        </w:tc>
      </w:tr>
      <w:tr>
        <w:tc>
          <w:tcPr>
            <w:tcW w:type="dxa" w:w="23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Licencias de software</w:t>
            </w:r>
          </w:p>
        </w:tc>
        <w:tc>
          <w:tcPr>
            <w:tcW w:type="dxa" w:w="33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HTML5, CSS3, JavaScript, PHP, MySQL, Git, GitHub, VS Code — open source</w:t>
            </w:r>
          </w:p>
        </w:tc>
        <w:tc>
          <w:tcPr>
            <w:tcW w:type="dxa" w:w="11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8 herr.</w:t>
            </w:r>
          </w:p>
        </w:tc>
        <w:tc>
          <w:tcPr>
            <w:tcW w:type="dxa" w:w="13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$0</w:t>
            </w:r>
          </w:p>
        </w:tc>
        <w:tc>
          <w:tcPr>
            <w:tcW w:type="dxa" w:w="11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$0</w:t>
            </w:r>
          </w:p>
        </w:tc>
      </w:tr>
      <w:tr>
        <w:tc>
          <w:tcPr>
            <w:tcW w:type="dxa" w:w="23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Hardware (equipos de desarrollo)</w:t>
            </w:r>
          </w:p>
        </w:tc>
        <w:tc>
          <w:tcPr>
            <w:tcW w:type="dxa" w:w="33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2 portátiles + 2 computadores de escritorio + 2 mesas + 2 sillas — ya disponibles</w:t>
            </w:r>
          </w:p>
        </w:tc>
        <w:tc>
          <w:tcPr>
            <w:tcW w:type="dxa" w:w="11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disponibles</w:t>
            </w:r>
          </w:p>
        </w:tc>
        <w:tc>
          <w:tcPr>
            <w:tcW w:type="dxa" w:w="13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$0</w:t>
            </w:r>
          </w:p>
        </w:tc>
        <w:tc>
          <w:tcPr>
            <w:tcW w:type="dxa" w:w="11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$0</w:t>
            </w:r>
          </w:p>
        </w:tc>
      </w:tr>
    </w:tbl>
    <w:tr>
      <w:tc>
        <w:tcPr>
          <w:tcW w:type="dxa" w:w="2350"/>
          <w:shd w:fill="352913"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9"/>
              <w:szCs w:val="19"/>
            </w:rPr>
            <w:t xml:space="preserve">TOTAL COSTOS DIRECTOS</w:t>
          </w:r>
        </w:p>
      </w:tc>
      <w:tc>
        <w:tcPr>
          <w:tcW w:type="dxa" w:w="3350"/>
          <w:shd w:fill="352913"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9"/>
              <w:szCs w:val="19"/>
            </w:rPr>
            <w:t xml:space="preserve"/>
          </w:r>
        </w:p>
      </w:tc>
      <w:tc>
        <w:tcPr>
          <w:tcW w:type="dxa" w:w="1150"/>
          <w:shd w:fill="352913"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9"/>
              <w:szCs w:val="19"/>
            </w:rPr>
            <w:t xml:space="preserve"/>
          </w:r>
        </w:p>
      </w:tc>
      <w:tc>
        <w:tcPr>
          <w:tcW w:type="dxa" w:w="1350"/>
          <w:shd w:fill="352913"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9"/>
              <w:szCs w:val="19"/>
            </w:rPr>
            <w:t xml:space="preserve"/>
          </w:r>
        </w:p>
      </w:tc>
      <w:tc>
        <w:tcPr>
          <w:tcW w:type="dxa" w:w="1150"/>
          <w:shd w:fill="352913"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9"/>
              <w:szCs w:val="19"/>
            </w:rPr>
            <w:t xml:space="preserve">$7.279.680</w:t>
          </w:r>
        </w:p>
      </w:tc>
    </w:tr>
    <w:p>
      <w:pPr>
        <w:pStyle w:val="Heading1"/>
        <w:pBdr>
          <w:bottom w:val="single" w:color="62551C" w:sz="8" w:space="4"/>
        </w:pBdr>
        <w:spacing w:after="160" w:before="360"/>
      </w:pPr>
      <w:r>
        <w:rPr>
          <w:rFonts w:ascii="Calibri" w:cs="Calibri" w:eastAsia="Calibri" w:hAnsi="Calibri"/>
          <w:b/>
          <w:bCs/>
          <w:color w:val="62551C"/>
          <w:sz w:val="30"/>
          <w:szCs w:val="30"/>
        </w:rPr>
        <w:t xml:space="preserve">14. Costos Indirectos</w:t>
      </w:r>
    </w:p>
    <w:p>
      <w:pPr>
        <w:spacing w:after="160"/>
      </w:pPr>
      <w:r>
        <w:rPr>
          <w:rFonts w:ascii="Calibri" w:cs="Calibri" w:eastAsia="Calibri" w:hAnsi="Calibri"/>
          <w:b w:val="false"/>
          <w:bCs w:val="false"/>
          <w:i w:val="false"/>
          <w:iCs w:val="false"/>
          <w:color w:val="1A1A1A"/>
          <w:sz w:val="21"/>
          <w:szCs w:val="21"/>
        </w:rPr>
        <w:t xml:space="preserve">Los costos indirectos apoyan el desarrollo del proyecto pero no se asignan directamente a una tarea específica de programación o diseño.</w:t>
      </w:r>
    </w:p>
    <w:tbl>
      <w:tblPr>
        <w:tblW w:type="dxa" w:w="9350"/>
        <w:tblBorders>
          <w:top w:val="single" w:color="C9BBA0" w:sz="4"/>
          <w:left w:val="single" w:color="C9BBA0" w:sz="4"/>
          <w:bottom w:val="single" w:color="C9BBA0" w:sz="4"/>
          <w:right w:val="single" w:color="C9BBA0" w:sz="4"/>
          <w:insideH w:val="single" w:color="auto" w:sz="4"/>
          <w:insideV w:val="single" w:color="auto" w:sz="4"/>
        </w:tblBorders>
      </w:tblPr>
      <w:tblGrid>
        <w:gridCol w:w="2350"/>
        <w:gridCol w:w="3600"/>
        <w:gridCol w:w="1600"/>
        <w:gridCol w:w="800"/>
        <w:gridCol w:w="1000"/>
      </w:tblGrid>
      <w:tr>
        <w:trPr>
          <w:tblHeader/>
        </w:trPr>
        <w:tc>
          <w:tcPr>
            <w:tcW w:type="dxa" w:w="235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Ítem</w:t>
            </w:r>
          </w:p>
        </w:tc>
        <w:tc>
          <w:tcPr>
            <w:tcW w:type="dxa" w:w="36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Descripción</w:t>
            </w:r>
          </w:p>
        </w:tc>
        <w:tc>
          <w:tcPr>
            <w:tcW w:type="dxa" w:w="16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Estimación mensual</w:t>
            </w:r>
          </w:p>
        </w:tc>
        <w:tc>
          <w:tcPr>
            <w:tcW w:type="dxa" w:w="8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Meses</w:t>
            </w:r>
          </w:p>
        </w:tc>
        <w:tc>
          <w:tcPr>
            <w:tcW w:type="dxa" w:w="10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Subtotal COP</w:t>
            </w:r>
          </w:p>
        </w:tc>
      </w:tr>
      <w:tr>
        <w:tc>
          <w:tcPr>
            <w:tcW w:type="dxa" w:w="23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Internet (300 Mbps)</w:t>
            </w:r>
          </w:p>
        </w:tc>
        <w:tc>
          <w:tcPr>
            <w:tcW w:type="dxa" w:w="36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Plan de Internet compartido del espacio de trabajo</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≈$60.000/mes (ya disponible)</w:t>
            </w:r>
          </w:p>
        </w:tc>
        <w:tc>
          <w:tcPr>
            <w:tcW w:type="dxa" w:w="8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10</w:t>
            </w:r>
          </w:p>
        </w:tc>
        <w:tc>
          <w:tcPr>
            <w:tcW w:type="dxa" w:w="10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$0 (ya pagado)</w:t>
            </w:r>
          </w:p>
        </w:tc>
      </w:tr>
      <w:tr>
        <w:tc>
          <w:tcPr>
            <w:tcW w:type="dxa" w:w="23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Energía eléctrica (estimado)</w:t>
            </w:r>
          </w:p>
        </w:tc>
        <w:tc>
          <w:tcPr>
            <w:tcW w:type="dxa" w:w="36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4 equipos × 8 h/semana × ≈0,3 kWh × tarifa ≈$800/kWh Bogotá 2026</w:t>
            </w:r>
          </w:p>
        </w:tc>
        <w:tc>
          <w:tcPr>
            <w:tcW w:type="dxa" w:w="16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≈$25.000/mes</w:t>
            </w:r>
          </w:p>
        </w:tc>
        <w:tc>
          <w:tcPr>
            <w:tcW w:type="dxa" w:w="8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10</w:t>
            </w:r>
          </w:p>
        </w:tc>
        <w:tc>
          <w:tcPr>
            <w:tcW w:type="dxa" w:w="10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$250.000</w:t>
            </w:r>
          </w:p>
        </w:tc>
      </w:tr>
      <w:tr>
        <w:tc>
          <w:tcPr>
            <w:tcW w:type="dxa" w:w="23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Papelería y materiales de apoyo</w:t>
            </w:r>
          </w:p>
        </w:tc>
        <w:tc>
          <w:tcPr>
            <w:tcW w:type="dxa" w:w="36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Impresión de actas, guías de pruebas y documentos de análisis</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≈$10.000/mes</w:t>
            </w:r>
          </w:p>
        </w:tc>
        <w:tc>
          <w:tcPr>
            <w:tcW w:type="dxa" w:w="8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10</w:t>
            </w:r>
          </w:p>
        </w:tc>
        <w:tc>
          <w:tcPr>
            <w:tcW w:type="dxa" w:w="10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$100.000</w:t>
            </w:r>
          </w:p>
        </w:tc>
      </w:tr>
      <w:tr>
        <w:tc>
          <w:tcPr>
            <w:tcW w:type="dxa" w:w="23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Transporte reuniones presenciales</w:t>
            </w:r>
          </w:p>
        </w:tc>
        <w:tc>
          <w:tcPr>
            <w:tcW w:type="dxa" w:w="36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1 viaje/mes × 4 personas × $5.000 pasaje aprox.</w:t>
            </w:r>
          </w:p>
        </w:tc>
        <w:tc>
          <w:tcPr>
            <w:tcW w:type="dxa" w:w="16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≈$20.000/mes</w:t>
            </w:r>
          </w:p>
        </w:tc>
        <w:tc>
          <w:tcPr>
            <w:tcW w:type="dxa" w:w="8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10</w:t>
            </w:r>
          </w:p>
        </w:tc>
        <w:tc>
          <w:tcPr>
            <w:tcW w:type="dxa" w:w="10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$200.000</w:t>
            </w:r>
          </w:p>
        </w:tc>
      </w:tr>
    </w:tbl>
    <w:tr>
      <w:tc>
        <w:tcPr>
          <w:tcW w:type="dxa" w:w="2350"/>
          <w:shd w:fill="352913"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9"/>
              <w:szCs w:val="19"/>
            </w:rPr>
            <w:t xml:space="preserve">TOTAL COSTOS INDIRECTOS</w:t>
          </w:r>
        </w:p>
      </w:tc>
      <w:tc>
        <w:tcPr>
          <w:tcW w:type="dxa" w:w="3600"/>
          <w:shd w:fill="352913"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9"/>
              <w:szCs w:val="19"/>
            </w:rPr>
            <w:t xml:space="preserve"/>
          </w:r>
        </w:p>
      </w:tc>
      <w:tc>
        <w:tcPr>
          <w:tcW w:type="dxa" w:w="1600"/>
          <w:shd w:fill="352913"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9"/>
              <w:szCs w:val="19"/>
            </w:rPr>
            <w:t xml:space="preserve"/>
          </w:r>
        </w:p>
      </w:tc>
      <w:tc>
        <w:tcPr>
          <w:tcW w:type="dxa" w:w="800"/>
          <w:shd w:fill="352913"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9"/>
              <w:szCs w:val="19"/>
            </w:rPr>
            <w:t xml:space="preserve"/>
          </w:r>
        </w:p>
      </w:tc>
      <w:tc>
        <w:tcPr>
          <w:tcW w:type="dxa" w:w="1000"/>
          <w:shd w:fill="352913"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9"/>
              <w:szCs w:val="19"/>
            </w:rPr>
            <w:t xml:space="preserve">$550.000</w:t>
          </w:r>
        </w:p>
      </w:tc>
    </w:tr>
    <w:p>
      <w:pPr>
        <w:pStyle w:val="Heading1"/>
        <w:pBdr>
          <w:bottom w:val="single" w:color="62551C" w:sz="8" w:space="4"/>
        </w:pBdr>
        <w:spacing w:after="160" w:before="360"/>
      </w:pPr>
      <w:r>
        <w:rPr>
          <w:rFonts w:ascii="Calibri" w:cs="Calibri" w:eastAsia="Calibri" w:hAnsi="Calibri"/>
          <w:b/>
          <w:bCs/>
          <w:color w:val="62551C"/>
          <w:sz w:val="30"/>
          <w:szCs w:val="30"/>
        </w:rPr>
        <w:t xml:space="preserve">15. Costos Tecnológicos</w:t>
      </w:r>
    </w:p>
    <w:p>
      <w:pPr>
        <w:spacing w:after="160"/>
      </w:pPr>
      <w:r>
        <w:rPr>
          <w:rFonts w:ascii="Calibri" w:cs="Calibri" w:eastAsia="Calibri" w:hAnsi="Calibri"/>
          <w:b w:val="false"/>
          <w:bCs w:val="false"/>
          <w:i w:val="false"/>
          <w:iCs w:val="false"/>
          <w:color w:val="1A1A1A"/>
          <w:sz w:val="21"/>
          <w:szCs w:val="21"/>
        </w:rPr>
        <w:t xml:space="preserve">Los costos tecnológicos son los relacionados exclusivamente con la infraestructura digital del proyecto: hosting, dominio, herramientas de software y repositorio de código.</w:t>
      </w:r>
    </w:p>
    <w:tbl>
      <w:tblPr>
        <w:tblW w:type="dxa" w:w="9350"/>
        <w:tblBorders>
          <w:top w:val="single" w:color="C9BBA0" w:sz="4"/>
          <w:left w:val="single" w:color="C9BBA0" w:sz="4"/>
          <w:bottom w:val="single" w:color="C9BBA0" w:sz="4"/>
          <w:right w:val="single" w:color="C9BBA0" w:sz="4"/>
          <w:insideH w:val="single" w:color="auto" w:sz="4"/>
          <w:insideV w:val="single" w:color="auto" w:sz="4"/>
        </w:tblBorders>
      </w:tblPr>
      <w:tblGrid>
        <w:gridCol w:w="2900"/>
        <w:gridCol w:w="2800"/>
        <w:gridCol w:w="1900"/>
        <w:gridCol w:w="1750"/>
      </w:tblGrid>
      <w:tr>
        <w:trPr>
          <w:tblHeader/>
        </w:trPr>
        <w:tc>
          <w:tcPr>
            <w:tcW w:type="dxa" w:w="29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Tecnología / Servicio</w:t>
            </w:r>
          </w:p>
        </w:tc>
        <w:tc>
          <w:tcPr>
            <w:tcW w:type="dxa" w:w="28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Proveedor</w:t>
            </w:r>
          </w:p>
        </w:tc>
        <w:tc>
          <w:tcPr>
            <w:tcW w:type="dxa" w:w="19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Tipo</w:t>
            </w:r>
          </w:p>
        </w:tc>
        <w:tc>
          <w:tcPr>
            <w:tcW w:type="dxa" w:w="175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Costo anual COP</w:t>
            </w:r>
          </w:p>
        </w:tc>
      </w:tr>
      <w:tr>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Hosting web (Plan Premium)</w:t>
            </w:r>
          </w:p>
        </w:tc>
        <w:tc>
          <w:tcPr>
            <w:tcW w:type="dxa" w:w="28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Hostinger Colombia</w:t>
            </w:r>
          </w:p>
        </w:tc>
        <w:tc>
          <w:tcPr>
            <w:tcW w:type="dxa" w:w="19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Servicio de pago</w:t>
            </w:r>
          </w:p>
        </w:tc>
        <w:tc>
          <w:tcPr>
            <w:tcW w:type="dxa" w:w="17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$427.200 (pago único 48 meses)</w:t>
            </w:r>
          </w:p>
        </w:tc>
      </w:tr>
      <w:tr>
        <w:tc>
          <w:tcPr>
            <w:tcW w:type="dxa" w:w="29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Dominio logisticargosystem.com</w:t>
            </w:r>
          </w:p>
        </w:tc>
        <w:tc>
          <w:tcPr>
            <w:tcW w:type="dxa" w:w="28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Hostinger Colombia</w:t>
            </w:r>
          </w:p>
        </w:tc>
        <w:tc>
          <w:tcPr>
            <w:tcW w:type="dxa" w:w="19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Incluido gratis año 1</w:t>
            </w:r>
          </w:p>
        </w:tc>
        <w:tc>
          <w:tcPr>
            <w:tcW w:type="dxa" w:w="17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$0</w:t>
            </w:r>
          </w:p>
        </w:tc>
      </w:tr>
      <w:tr>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SSL (certificado de seguridad)</w:t>
            </w:r>
          </w:p>
        </w:tc>
        <w:tc>
          <w:tcPr>
            <w:tcW w:type="dxa" w:w="28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Incluido en Hostinger</w:t>
            </w:r>
          </w:p>
        </w:tc>
        <w:tc>
          <w:tcPr>
            <w:tcW w:type="dxa" w:w="19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Incluido gratis</w:t>
            </w:r>
          </w:p>
        </w:tc>
        <w:tc>
          <w:tcPr>
            <w:tcW w:type="dxa" w:w="17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$0</w:t>
            </w:r>
          </w:p>
        </w:tc>
      </w:tr>
      <w:tr>
        <w:tc>
          <w:tcPr>
            <w:tcW w:type="dxa" w:w="29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HTML5 / CSS3 / JavaScript</w:t>
            </w:r>
          </w:p>
        </w:tc>
        <w:tc>
          <w:tcPr>
            <w:tcW w:type="dxa" w:w="28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Estándares W3C / ECMA</w:t>
            </w:r>
          </w:p>
        </w:tc>
        <w:tc>
          <w:tcPr>
            <w:tcW w:type="dxa" w:w="19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Open Source</w:t>
            </w:r>
          </w:p>
        </w:tc>
        <w:tc>
          <w:tcPr>
            <w:tcW w:type="dxa" w:w="17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$0</w:t>
            </w:r>
          </w:p>
        </w:tc>
      </w:tr>
      <w:tr>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PHP 8.x</w:t>
            </w:r>
          </w:p>
        </w:tc>
        <w:tc>
          <w:tcPr>
            <w:tcW w:type="dxa" w:w="28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php.net</w:t>
            </w:r>
          </w:p>
        </w:tc>
        <w:tc>
          <w:tcPr>
            <w:tcW w:type="dxa" w:w="19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Open Source (GPL)</w:t>
            </w:r>
          </w:p>
        </w:tc>
        <w:tc>
          <w:tcPr>
            <w:tcW w:type="dxa" w:w="17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$0</w:t>
            </w:r>
          </w:p>
        </w:tc>
      </w:tr>
      <w:tr>
        <w:tc>
          <w:tcPr>
            <w:tcW w:type="dxa" w:w="29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MySQL 8.x</w:t>
            </w:r>
          </w:p>
        </w:tc>
        <w:tc>
          <w:tcPr>
            <w:tcW w:type="dxa" w:w="28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mysql.com</w:t>
            </w:r>
          </w:p>
        </w:tc>
        <w:tc>
          <w:tcPr>
            <w:tcW w:type="dxa" w:w="19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Open Source (GPL)</w:t>
            </w:r>
          </w:p>
        </w:tc>
        <w:tc>
          <w:tcPr>
            <w:tcW w:type="dxa" w:w="17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$0</w:t>
            </w:r>
          </w:p>
        </w:tc>
      </w:tr>
      <w:tr>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Git 2.x</w:t>
            </w:r>
          </w:p>
        </w:tc>
        <w:tc>
          <w:tcPr>
            <w:tcW w:type="dxa" w:w="28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git-scm.com</w:t>
            </w:r>
          </w:p>
        </w:tc>
        <w:tc>
          <w:tcPr>
            <w:tcW w:type="dxa" w:w="19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Open Source (GPL)</w:t>
            </w:r>
          </w:p>
        </w:tc>
        <w:tc>
          <w:tcPr>
            <w:tcW w:type="dxa" w:w="17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$0</w:t>
            </w:r>
          </w:p>
        </w:tc>
      </w:tr>
      <w:tr>
        <w:tc>
          <w:tcPr>
            <w:tcW w:type="dxa" w:w="29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GitHub (plan Free)</w:t>
            </w:r>
          </w:p>
        </w:tc>
        <w:tc>
          <w:tcPr>
            <w:tcW w:type="dxa" w:w="28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github.com</w:t>
            </w:r>
          </w:p>
        </w:tc>
        <w:tc>
          <w:tcPr>
            <w:tcW w:type="dxa" w:w="19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Gratuito</w:t>
            </w:r>
          </w:p>
        </w:tc>
        <w:tc>
          <w:tcPr>
            <w:tcW w:type="dxa" w:w="17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$0</w:t>
            </w:r>
          </w:p>
        </w:tc>
      </w:tr>
      <w:tr>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Visual Studio Code</w:t>
            </w:r>
          </w:p>
        </w:tc>
        <w:tc>
          <w:tcPr>
            <w:tcW w:type="dxa" w:w="28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Microsoft</w:t>
            </w:r>
          </w:p>
        </w:tc>
        <w:tc>
          <w:tcPr>
            <w:tcW w:type="dxa" w:w="19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Open Source (MIT)</w:t>
            </w:r>
          </w:p>
        </w:tc>
        <w:tc>
          <w:tcPr>
            <w:tcW w:type="dxa" w:w="17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$0</w:t>
            </w:r>
          </w:p>
        </w:tc>
      </w:tr>
      <w:tr>
        <w:tc>
          <w:tcPr>
            <w:tcW w:type="dxa" w:w="29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Servicio de mapas y geolocalización</w:t>
            </w:r>
          </w:p>
        </w:tc>
        <w:tc>
          <w:tcPr>
            <w:tcW w:type="dxa" w:w="28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OpenStreetMap + Leaflet.js + OSRM</w:t>
            </w:r>
          </w:p>
        </w:tc>
        <w:tc>
          <w:tcPr>
            <w:tcW w:type="dxa" w:w="19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Open Source</w:t>
            </w:r>
          </w:p>
        </w:tc>
        <w:tc>
          <w:tcPr>
            <w:tcW w:type="dxa" w:w="17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$0</w:t>
            </w:r>
          </w:p>
        </w:tc>
      </w:tr>
    </w:tbl>
    <w:tr>
      <w:tc>
        <w:tcPr>
          <w:tcW w:type="dxa" w:w="2900"/>
          <w:shd w:fill="352913"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9"/>
              <w:szCs w:val="19"/>
            </w:rPr>
            <w:t xml:space="preserve">TOTAL COSTOS TECNOLÓGICOS</w:t>
          </w:r>
        </w:p>
      </w:tc>
      <w:tc>
        <w:tcPr>
          <w:tcW w:type="dxa" w:w="2800"/>
          <w:shd w:fill="352913"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9"/>
              <w:szCs w:val="19"/>
            </w:rPr>
            <w:t xml:space="preserve"/>
          </w:r>
        </w:p>
      </w:tc>
      <w:tc>
        <w:tcPr>
          <w:tcW w:type="dxa" w:w="1900"/>
          <w:shd w:fill="352913"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9"/>
              <w:szCs w:val="19"/>
            </w:rPr>
            <w:t xml:space="preserve"/>
          </w:r>
        </w:p>
      </w:tc>
      <w:tc>
        <w:tcPr>
          <w:tcW w:type="dxa" w:w="1750"/>
          <w:shd w:fill="352913"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9"/>
              <w:szCs w:val="19"/>
            </w:rPr>
            <w:t xml:space="preserve">$427.200 COP (pago único)</w:t>
          </w:r>
        </w:p>
      </w:tc>
    </w:tr>
    <w:p>
      <w:pPr>
        <w:pStyle w:val="Heading1"/>
        <w:pBdr>
          <w:bottom w:val="single" w:color="62551C" w:sz="8" w:space="4"/>
        </w:pBdr>
        <w:spacing w:after="160" w:before="360"/>
      </w:pPr>
      <w:r>
        <w:rPr>
          <w:rFonts w:ascii="Calibri" w:cs="Calibri" w:eastAsia="Calibri" w:hAnsi="Calibri"/>
          <w:b/>
          <w:bCs/>
          <w:color w:val="62551C"/>
          <w:sz w:val="30"/>
          <w:szCs w:val="30"/>
        </w:rPr>
        <w:t xml:space="preserve">16. Resumen Financiero</w:t>
      </w:r>
    </w:p>
    <w:tbl>
      <w:tblPr>
        <w:tblW w:type="dxa" w:w="9350"/>
        <w:tblBorders>
          <w:top w:val="single" w:color="C9BBA0" w:sz="4"/>
          <w:left w:val="single" w:color="C9BBA0" w:sz="4"/>
          <w:bottom w:val="single" w:color="C9BBA0" w:sz="4"/>
          <w:right w:val="single" w:color="C9BBA0" w:sz="4"/>
          <w:insideH w:val="single" w:color="auto" w:sz="4"/>
          <w:insideV w:val="single" w:color="auto" w:sz="4"/>
        </w:tblBorders>
      </w:tblPr>
      <w:tblGrid>
        <w:gridCol w:w="3200"/>
        <w:gridCol w:w="4500"/>
        <w:gridCol w:w="1650"/>
      </w:tblGrid>
      <w:tr>
        <w:trPr>
          <w:tblHeader/>
        </w:trPr>
        <w:tc>
          <w:tcPr>
            <w:tcW w:type="dxa" w:w="32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Categoría de costo</w:t>
            </w:r>
          </w:p>
        </w:tc>
        <w:tc>
          <w:tcPr>
            <w:tcW w:type="dxa" w:w="45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Descripción</w:t>
            </w:r>
          </w:p>
        </w:tc>
        <w:tc>
          <w:tcPr>
            <w:tcW w:type="dxa" w:w="165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Total COP</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Recurso Humano</w:t>
            </w:r>
          </w:p>
        </w:tc>
        <w:tc>
          <w:tcPr>
            <w:tcW w:type="dxa" w:w="45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4 aprendices × 344 horas × $4.980/hora</w:t>
            </w:r>
          </w:p>
        </w:tc>
        <w:tc>
          <w:tcPr>
            <w:tcW w:type="dxa" w:w="16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$6.852.480</w:t>
            </w:r>
          </w:p>
        </w:tc>
      </w:tr>
      <w:tr>
        <w:tc>
          <w:tcPr>
            <w:tcW w:type="dxa" w:w="32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Costos Tecnológicos</w:t>
            </w:r>
          </w:p>
        </w:tc>
        <w:tc>
          <w:tcPr>
            <w:tcW w:type="dxa" w:w="45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Hosting Hostinger Premium (dominio, SSL, PHP + MySQL incluidos)</w:t>
            </w:r>
          </w:p>
        </w:tc>
        <w:tc>
          <w:tcPr>
            <w:tcW w:type="dxa" w:w="16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$427.200</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Costos Indirectos</w:t>
            </w:r>
          </w:p>
        </w:tc>
        <w:tc>
          <w:tcPr>
            <w:tcW w:type="dxa" w:w="45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Energía eléctrica estimada + papelería + transporte a reuniones</w:t>
            </w:r>
          </w:p>
        </w:tc>
        <w:tc>
          <w:tcPr>
            <w:tcW w:type="dxa" w:w="16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$550.000</w:t>
            </w:r>
          </w:p>
        </w:tc>
      </w:tr>
      <w:tr>
        <w:tc>
          <w:tcPr>
            <w:tcW w:type="dxa" w:w="32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Hardware (equipos ya disponibles)</w:t>
            </w:r>
          </w:p>
        </w:tc>
        <w:tc>
          <w:tcPr>
            <w:tcW w:type="dxa" w:w="45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2 portátiles + 2 computadores + 2 mesas + 2 sillas</w:t>
            </w:r>
          </w:p>
        </w:tc>
        <w:tc>
          <w:tcPr>
            <w:tcW w:type="dxa" w:w="16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$0</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Licencias de software</w:t>
            </w:r>
          </w:p>
        </w:tc>
        <w:tc>
          <w:tcPr>
            <w:tcW w:type="dxa" w:w="45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8 herramientas open source</w:t>
            </w:r>
          </w:p>
        </w:tc>
        <w:tc>
          <w:tcPr>
            <w:tcW w:type="dxa" w:w="16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$0</w:t>
            </w:r>
          </w:p>
        </w:tc>
      </w:tr>
    </w:tbl>
    <w:tr>
      <w:tc>
        <w:tcPr>
          <w:tcW w:type="dxa" w:w="3200"/>
          <w:shd w:fill="352913"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9"/>
              <w:szCs w:val="19"/>
            </w:rPr>
            <w:t xml:space="preserve">SUBTOTAL DEL PROYECTO</w:t>
          </w:r>
        </w:p>
      </w:tc>
      <w:tc>
        <w:tcPr>
          <w:tcW w:type="dxa" w:w="4500"/>
          <w:shd w:fill="352913"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9"/>
              <w:szCs w:val="19"/>
            </w:rPr>
            <w:t xml:space="preserve">Suma de todos los costos identificados</w:t>
          </w:r>
        </w:p>
      </w:tc>
      <w:tc>
        <w:tcPr>
          <w:tcW w:type="dxa" w:w="1650"/>
          <w:shd w:fill="352913"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9"/>
              <w:szCs w:val="19"/>
            </w:rPr>
            <w:t xml:space="preserve">$7.829.680</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Imprevistos (5%)</w:t>
          </w:r>
        </w:p>
      </w:tc>
      <w:tc>
        <w:tcPr>
          <w:tcW w:type="dxa" w:w="45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Reserva para gastos no previstos — 5% del subtotal</w:t>
          </w:r>
        </w:p>
      </w:tc>
      <w:tc>
        <w:tcPr>
          <w:tcW w:type="dxa" w:w="16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$391.484</w:t>
          </w:r>
        </w:p>
      </w:tc>
    </w:tr>
    <w:tr>
      <w:tc>
        <w:tcPr>
          <w:tcW w:type="dxa" w:w="3200"/>
          <w:shd w:fill="352913"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9"/>
              <w:szCs w:val="19"/>
            </w:rPr>
            <w:t xml:space="preserve">COSTO TOTAL DEL PROYECTO</w:t>
          </w:r>
        </w:p>
      </w:tc>
      <w:tc>
        <w:tcPr>
          <w:tcW w:type="dxa" w:w="4500"/>
          <w:shd w:fill="352913"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9"/>
              <w:szCs w:val="19"/>
            </w:rPr>
            <w:t xml:space="preserve">LOGISTICARGO SYSTEM — 10 meses — 4 aprendices ADSO</w:t>
          </w:r>
        </w:p>
      </w:tc>
      <w:tc>
        <w:tcPr>
          <w:tcW w:type="dxa" w:w="1650"/>
          <w:shd w:fill="352913"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9"/>
              <w:szCs w:val="19"/>
            </w:rPr>
            <w:t xml:space="preserve">$8.221.164 COP</w:t>
          </w:r>
        </w:p>
      </w:tc>
    </w:tr>
    <w:p>
      <w:pPr>
        <w:pStyle w:val="Heading1"/>
        <w:pBdr>
          <w:bottom w:val="single" w:color="62551C" w:sz="8" w:space="4"/>
        </w:pBdr>
        <w:spacing w:after="160" w:before="360"/>
      </w:pPr>
      <w:r>
        <w:rPr>
          <w:rFonts w:ascii="Calibri" w:cs="Calibri" w:eastAsia="Calibri" w:hAnsi="Calibri"/>
          <w:b/>
          <w:bCs/>
          <w:color w:val="62551C"/>
          <w:sz w:val="30"/>
          <w:szCs w:val="30"/>
        </w:rPr>
        <w:t xml:space="preserve">17. Determinación del Costo Total del Proyecto</w:t>
      </w:r>
    </w:p>
    <w:p>
      <w:pPr>
        <w:pStyle w:val="Heading2"/>
        <w:spacing w:after="120" w:before="260"/>
      </w:pPr>
      <w:r>
        <w:rPr>
          <w:rFonts w:ascii="Calibri" w:cs="Calibri" w:eastAsia="Calibri" w:hAnsi="Calibri"/>
          <w:b/>
          <w:bCs/>
          <w:color w:val="62551C"/>
          <w:sz w:val="25"/>
          <w:szCs w:val="25"/>
        </w:rPr>
        <w:t xml:space="preserve">17.1 Verificación del cálculo</w:t>
      </w:r>
    </w:p>
    <w:tbl>
      <w:tblPr>
        <w:tblW w:type="dxa" w:w="9350"/>
        <w:tblBorders>
          <w:top w:val="single" w:color="C9BBA0" w:sz="4"/>
          <w:left w:val="single" w:color="C9BBA0" w:sz="4"/>
          <w:bottom w:val="single" w:color="C9BBA0" w:sz="4"/>
          <w:right w:val="single" w:color="C9BBA0" w:sz="4"/>
          <w:insideH w:val="single" w:color="auto" w:sz="4"/>
          <w:insideV w:val="single" w:color="auto" w:sz="4"/>
        </w:tblBorders>
      </w:tblPr>
      <w:tblGrid>
        <w:gridCol w:w="2700"/>
        <w:gridCol w:w="4300"/>
        <w:gridCol w:w="2350"/>
      </w:tblGrid>
      <w:tr>
        <w:trPr>
          <w:tblHeader/>
        </w:trPr>
        <w:tc>
          <w:tcPr>
            <w:tcW w:type="dxa" w:w="27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Componente</w:t>
            </w:r>
          </w:p>
        </w:tc>
        <w:tc>
          <w:tcPr>
            <w:tcW w:type="dxa" w:w="430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Fórmula aplicada</w:t>
            </w:r>
          </w:p>
        </w:tc>
        <w:tc>
          <w:tcPr>
            <w:tcW w:type="dxa" w:w="2350"/>
            <w:shd w:fill="352913" w:color="auto" w:val="clear"/>
            <w:tcMar>
              <w:top w:type="dxa" w:w="80"/>
              <w:left w:type="dxa" w:w="120"/>
              <w:bottom w:type="dxa" w:w="80"/>
              <w:right w:type="dxa" w:w="120"/>
            </w:tcMar>
            <w:vAlign w:val="center"/>
          </w:tcPr>
          <w:p>
            <w:pPr>
              <w:jc w:val="center"/>
            </w:pPr>
            <w:r>
              <w:rPr>
                <w:rFonts w:ascii="Calibri" w:cs="Calibri" w:eastAsia="Calibri" w:hAnsi="Calibri"/>
                <w:b/>
                <w:bCs/>
                <w:i w:val="false"/>
                <w:iCs w:val="false"/>
                <w:color w:val="FFFFFF"/>
                <w:sz w:val="19"/>
                <w:szCs w:val="19"/>
              </w:rPr>
              <w:t xml:space="preserve">Resultado</w:t>
            </w:r>
          </w:p>
        </w:tc>
      </w:tr>
      <w:tr>
        <w:tc>
          <w:tcPr>
            <w:tcW w:type="dxa" w:w="27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Horas por integrante</w:t>
            </w:r>
          </w:p>
        </w:tc>
        <w:tc>
          <w:tcPr>
            <w:tcW w:type="dxa" w:w="43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2 ses/sem × 4 h/ses = 8 h/sem; 8 h/sem × 43 sem = 344 h</w:t>
            </w:r>
          </w:p>
        </w:tc>
        <w:tc>
          <w:tcPr>
            <w:tcW w:type="dxa" w:w="23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344 h/integrante</w:t>
            </w:r>
          </w:p>
        </w:tc>
      </w:tr>
      <w:tr>
        <w:tc>
          <w:tcPr>
            <w:tcW w:type="dxa" w:w="27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Costo por integrante</w:t>
            </w:r>
          </w:p>
        </w:tc>
        <w:tc>
          <w:tcPr>
            <w:tcW w:type="dxa" w:w="43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344 h × $4.980/h</w:t>
            </w:r>
          </w:p>
        </w:tc>
        <w:tc>
          <w:tcPr>
            <w:tcW w:type="dxa" w:w="23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$1.713.120</w:t>
            </w:r>
          </w:p>
        </w:tc>
      </w:tr>
      <w:tr>
        <w:tc>
          <w:tcPr>
            <w:tcW w:type="dxa" w:w="27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Costo total equipo</w:t>
            </w:r>
          </w:p>
        </w:tc>
        <w:tc>
          <w:tcPr>
            <w:tcW w:type="dxa" w:w="43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$1.713.120 × 4 integrantes</w:t>
            </w:r>
          </w:p>
        </w:tc>
        <w:tc>
          <w:tcPr>
            <w:tcW w:type="dxa" w:w="23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$6.852.480</w:t>
            </w:r>
          </w:p>
        </w:tc>
      </w:tr>
      <w:tr>
        <w:tc>
          <w:tcPr>
            <w:tcW w:type="dxa" w:w="27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Hosting</w:t>
            </w:r>
          </w:p>
        </w:tc>
        <w:tc>
          <w:tcPr>
            <w:tcW w:type="dxa" w:w="43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Pago único equivalente a $8.900/mes por 48 meses</w:t>
            </w:r>
          </w:p>
        </w:tc>
        <w:tc>
          <w:tcPr>
            <w:tcW w:type="dxa" w:w="23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$427.200</w:t>
            </w:r>
          </w:p>
        </w:tc>
      </w:tr>
      <w:tr>
        <w:tc>
          <w:tcPr>
            <w:tcW w:type="dxa" w:w="27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Costos indirectos</w:t>
            </w:r>
          </w:p>
        </w:tc>
        <w:tc>
          <w:tcPr>
            <w:tcW w:type="dxa" w:w="43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Energía $250.000 + Papelería $100.000 + Transporte $200.000</w:t>
            </w:r>
          </w:p>
        </w:tc>
        <w:tc>
          <w:tcPr>
            <w:tcW w:type="dxa" w:w="23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$550.000</w:t>
            </w:r>
          </w:p>
        </w:tc>
      </w:tr>
      <w:tr>
        <w:tc>
          <w:tcPr>
            <w:tcW w:type="dxa" w:w="27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Subtotal</w:t>
            </w:r>
          </w:p>
        </w:tc>
        <w:tc>
          <w:tcPr>
            <w:tcW w:type="dxa" w:w="43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$6.852.480 + $427.200 + $550.000</w:t>
            </w:r>
          </w:p>
        </w:tc>
        <w:tc>
          <w:tcPr>
            <w:tcW w:type="dxa" w:w="23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$7.829.680</w:t>
            </w:r>
          </w:p>
        </w:tc>
      </w:tr>
      <w:tr>
        <w:tc>
          <w:tcPr>
            <w:tcW w:type="dxa" w:w="27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Imprevistos 5%</w:t>
            </w:r>
          </w:p>
        </w:tc>
        <w:tc>
          <w:tcPr>
            <w:tcW w:type="dxa" w:w="430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$7.829.680 × 0,05</w:t>
            </w:r>
          </w:p>
        </w:tc>
        <w:tc>
          <w:tcPr>
            <w:tcW w:type="dxa" w:w="2350"/>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$391.484</w:t>
            </w:r>
          </w:p>
        </w:tc>
      </w:tr>
      <w:tr>
        <w:tc>
          <w:tcPr>
            <w:tcW w:type="dxa" w:w="27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COSTO TOTAL</w:t>
            </w:r>
          </w:p>
        </w:tc>
        <w:tc>
          <w:tcPr>
            <w:tcW w:type="dxa" w:w="430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$7.829.680 + $391.484</w:t>
            </w:r>
          </w:p>
        </w:tc>
        <w:tc>
          <w:tcPr>
            <w:tcW w:type="dxa" w:w="2350"/>
            <w:shd w:fill="EDE6D6" w:color="auto" w:val="clear"/>
            <w:tcMar>
              <w:top w:type="dxa" w:w="80"/>
              <w:left w:type="dxa" w:w="120"/>
              <w:bottom w:type="dxa" w:w="80"/>
              <w:right w:type="dxa" w:w="120"/>
            </w:tcMar>
            <w:vAlign w:val="center"/>
          </w:tcPr>
          <w:p>
            <w:pPr>
              <w:jc w:val="left"/>
            </w:pPr>
            <w:r>
              <w:rPr>
                <w:rFonts w:ascii="Calibri" w:cs="Calibri" w:eastAsia="Calibri" w:hAnsi="Calibri"/>
                <w:b w:val="false"/>
                <w:bCs w:val="false"/>
                <w:i w:val="false"/>
                <w:iCs w:val="false"/>
                <w:color w:val="1A1A1A"/>
                <w:sz w:val="19"/>
                <w:szCs w:val="19"/>
              </w:rPr>
              <w:t xml:space="preserve">$8.221.164 COP</w:t>
            </w:r>
          </w:p>
        </w:tc>
      </w:tr>
    </w:tbl>
    <w:p>
      <w:pPr>
        <w:pStyle w:val="Heading2"/>
        <w:spacing w:after="120" w:before="260"/>
      </w:pPr>
      <w:r>
        <w:rPr>
          <w:rFonts w:ascii="Calibri" w:cs="Calibri" w:eastAsia="Calibri" w:hAnsi="Calibri"/>
          <w:b/>
          <w:bCs/>
          <w:color w:val="62551C"/>
          <w:sz w:val="25"/>
          <w:szCs w:val="25"/>
        </w:rPr>
        <w:t xml:space="preserve">17.2 Interpretación del costo</w:t>
      </w:r>
    </w:p>
    <w:p>
      <w:pPr>
        <w:spacing w:after="160"/>
      </w:pPr>
      <w:r>
        <w:rPr>
          <w:rFonts w:ascii="Calibri" w:cs="Calibri" w:eastAsia="Calibri" w:hAnsi="Calibri"/>
          <w:b w:val="false"/>
          <w:bCs w:val="false"/>
          <w:i w:val="false"/>
          <w:iCs w:val="false"/>
          <w:color w:val="1A1A1A"/>
          <w:sz w:val="21"/>
          <w:szCs w:val="21"/>
        </w:rPr>
        <w:t xml:space="preserve">El costo total del proyecto LOGISTICARGO SYSTEM es de $8.221.164 COP para una duración de 10 meses con un equipo de 4 aprendices ADSO del SENA.</w:t>
      </w:r>
    </w:p>
    <w:p>
      <w:pPr>
        <w:spacing w:after="160"/>
      </w:pPr>
      <w:r>
        <w:rPr>
          <w:rFonts w:ascii="Calibri" w:cs="Calibri" w:eastAsia="Calibri" w:hAnsi="Calibri"/>
          <w:b w:val="false"/>
          <w:bCs w:val="false"/>
          <w:i w:val="false"/>
          <w:iCs w:val="false"/>
          <w:color w:val="1A1A1A"/>
          <w:sz w:val="21"/>
          <w:szCs w:val="21"/>
        </w:rPr>
        <w:t xml:space="preserve">Este costo mantiene coherencia con la naturaleza académica del proyecto porque:</w:t>
      </w:r>
    </w:p>
    <w:p>
      <w:pPr>
        <w:pStyle w:val="ListParagraph"/>
        <w:numPr>
          <w:ilvl w:val="0"/>
          <w:numId w:val="1"/>
        </w:numPr>
        <w:spacing w:after="100"/>
      </w:pPr>
      <w:r>
        <w:rPr>
          <w:rFonts w:ascii="Calibri" w:cs="Calibri" w:eastAsia="Calibri" w:hAnsi="Calibri"/>
          <w:b w:val="false"/>
          <w:bCs w:val="false"/>
          <w:color w:val="1A1A1A"/>
          <w:sz w:val="21"/>
          <w:szCs w:val="21"/>
        </w:rPr>
        <w:t xml:space="preserve">Se usa una tarifa académica ($4.980 COP/hora) aplicada sobre las horas reales trabajadas por el equipo (1.376 horas totales), y no una tarifa comercial.</w:t>
      </w:r>
    </w:p>
    <w:p>
      <w:pPr>
        <w:pStyle w:val="ListParagraph"/>
        <w:numPr>
          <w:ilvl w:val="0"/>
          <w:numId w:val="1"/>
        </w:numPr>
        <w:spacing w:after="100"/>
      </w:pPr>
      <w:r>
        <w:rPr>
          <w:rFonts w:ascii="Calibri" w:cs="Calibri" w:eastAsia="Calibri" w:hAnsi="Calibri"/>
          <w:b w:val="false"/>
          <w:bCs w:val="false"/>
          <w:color w:val="1A1A1A"/>
          <w:sz w:val="21"/>
          <w:szCs w:val="21"/>
        </w:rPr>
        <w:t xml:space="preserve">Se incluyen los costos indirectos reales del proyecto (energía, papelería, transporte).</w:t>
      </w:r>
    </w:p>
    <w:p>
      <w:pPr>
        <w:pStyle w:val="ListParagraph"/>
        <w:numPr>
          <w:ilvl w:val="0"/>
          <w:numId w:val="1"/>
        </w:numPr>
        <w:spacing w:after="100"/>
      </w:pPr>
      <w:r>
        <w:rPr>
          <w:rFonts w:ascii="Calibri" w:cs="Calibri" w:eastAsia="Calibri" w:hAnsi="Calibri"/>
          <w:b w:val="false"/>
          <w:bCs w:val="false"/>
          <w:color w:val="1A1A1A"/>
          <w:sz w:val="21"/>
          <w:szCs w:val="21"/>
        </w:rPr>
        <w:t xml:space="preserve">Se incluye un porcentaje de imprevistos que da mayor realismo al presupuesto.</w:t>
      </w:r>
    </w:p>
    <w:p>
      <w:pPr>
        <w:pStyle w:val="ListParagraph"/>
        <w:numPr>
          <w:ilvl w:val="0"/>
          <w:numId w:val="1"/>
        </w:numPr>
        <w:spacing w:after="100"/>
      </w:pPr>
      <w:r>
        <w:rPr>
          <w:rFonts w:ascii="Calibri" w:cs="Calibri" w:eastAsia="Calibri" w:hAnsi="Calibri"/>
          <w:b w:val="false"/>
          <w:bCs w:val="false"/>
          <w:color w:val="1A1A1A"/>
          <w:sz w:val="21"/>
          <w:szCs w:val="21"/>
        </w:rPr>
        <w:t xml:space="preserve">Las tecnologías del stack corresponden a las que el equipo realmente usa (PHP, MySQL).</w:t>
      </w:r>
    </w:p>
    <w:p>
      <w:pPr>
        <w:pStyle w:val="Heading1"/>
        <w:pBdr>
          <w:bottom w:val="single" w:color="62551C" w:sz="8" w:space="4"/>
        </w:pBdr>
        <w:spacing w:after="160" w:before="360"/>
      </w:pPr>
      <w:r>
        <w:rPr>
          <w:rFonts w:ascii="Calibri" w:cs="Calibri" w:eastAsia="Calibri" w:hAnsi="Calibri"/>
          <w:b/>
          <w:bCs/>
          <w:color w:val="62551C"/>
          <w:sz w:val="30"/>
          <w:szCs w:val="30"/>
        </w:rPr>
        <w:t xml:space="preserve">18. Conclusiones</w:t>
      </w:r>
    </w:p>
    <w:p>
      <w:pPr>
        <w:pStyle w:val="ListParagraph"/>
        <w:numPr>
          <w:ilvl w:val="0"/>
          <w:numId w:val="1"/>
        </w:numPr>
        <w:spacing w:after="100"/>
      </w:pPr>
      <w:r>
        <w:rPr>
          <w:rFonts w:ascii="Calibri" w:cs="Calibri" w:eastAsia="Calibri" w:hAnsi="Calibri"/>
          <w:b w:val="false"/>
          <w:bCs w:val="false"/>
          <w:color w:val="1A1A1A"/>
          <w:sz w:val="21"/>
          <w:szCs w:val="21"/>
        </w:rPr>
        <w:t xml:space="preserve">El costo total verificable del proyecto LOGISTICARGO SYSTEM, considerando recurso humano, infraestructura tecnológica y costos indirectos, es de $8.221.164 COP para 10 meses de desarrollo académico con 4 aprendices ADSO del SENA.</w:t>
      </w:r>
    </w:p>
    <w:p>
      <w:pPr>
        <w:pStyle w:val="ListParagraph"/>
        <w:numPr>
          <w:ilvl w:val="0"/>
          <w:numId w:val="1"/>
        </w:numPr>
        <w:spacing w:after="100"/>
      </w:pPr>
      <w:r>
        <w:rPr>
          <w:rFonts w:ascii="Calibri" w:cs="Calibri" w:eastAsia="Calibri" w:hAnsi="Calibri"/>
          <w:b w:val="false"/>
          <w:bCs w:val="false"/>
          <w:color w:val="1A1A1A"/>
          <w:sz w:val="21"/>
          <w:szCs w:val="21"/>
        </w:rPr>
        <w:t xml:space="preserve">El componente de mayor costo es el recurso humano ($6.852.480 COP ≈ 88% del subtotal), lo que es coherente con la naturaleza de los proyectos de desarrollo de software, donde el tiempo del equipo es el principal insumo.</w:t>
      </w:r>
    </w:p>
    <w:p>
      <w:pPr>
        <w:pStyle w:val="ListParagraph"/>
        <w:numPr>
          <w:ilvl w:val="0"/>
          <w:numId w:val="1"/>
        </w:numPr>
        <w:spacing w:after="100"/>
      </w:pPr>
      <w:r>
        <w:rPr>
          <w:rFonts w:ascii="Calibri" w:cs="Calibri" w:eastAsia="Calibri" w:hAnsi="Calibri"/>
          <w:b w:val="false"/>
          <w:bCs w:val="false"/>
          <w:color w:val="1A1A1A"/>
          <w:sz w:val="21"/>
          <w:szCs w:val="21"/>
        </w:rPr>
        <w:t xml:space="preserve">La selección de tecnologías 100% open source (HTML5, CSS3, JavaScript, PHP, MySQL, Git, GitHub, VS Code) elimina cualquier costo por licencias de software, una decisión inteligente en un contexto académico con recursos limitados.</w:t>
      </w:r>
    </w:p>
    <w:p>
      <w:pPr>
        <w:pStyle w:val="ListParagraph"/>
        <w:numPr>
          <w:ilvl w:val="0"/>
          <w:numId w:val="1"/>
        </w:numPr>
        <w:spacing w:after="100"/>
      </w:pPr>
      <w:r>
        <w:rPr>
          <w:rFonts w:ascii="Calibri" w:cs="Calibri" w:eastAsia="Calibri" w:hAnsi="Calibri"/>
          <w:b w:val="false"/>
          <w:bCs w:val="false"/>
          <w:color w:val="1A1A1A"/>
          <w:sz w:val="21"/>
          <w:szCs w:val="21"/>
        </w:rPr>
        <w:t xml:space="preserve">Hostinger (Plan Premium) fue seleccionado como proveedor de hosting por ofrecer la mejor relación calidad-precio para Colombia en 2026, con PHP + MySQL incluido, SSL gratuito y dominio gratis el primer año.</w:t>
      </w:r>
    </w:p>
    <w:p>
      <w:pPr>
        <w:pStyle w:val="ListParagraph"/>
        <w:numPr>
          <w:ilvl w:val="0"/>
          <w:numId w:val="1"/>
        </w:numPr>
        <w:spacing w:after="100"/>
      </w:pPr>
      <w:r>
        <w:rPr>
          <w:rFonts w:ascii="Calibri" w:cs="Calibri" w:eastAsia="Calibri" w:hAnsi="Calibri"/>
          <w:b w:val="false"/>
          <w:bCs w:val="false"/>
          <w:color w:val="1A1A1A"/>
          <w:sz w:val="21"/>
          <w:szCs w:val="21"/>
        </w:rPr>
        <w:t xml:space="preserve">Los servicios en la nube más avanzados (FaaS, BaaS, CaaS) no se justifican para el tamaño actual del proyecto; el hosting compartido tradicional cubre la necesidad real de Mudanzas Sharon a menor costo y complejidad.</w:t>
      </w:r>
    </w:p>
    <w:p>
      <w:pPr>
        <w:pStyle w:val="ListParagraph"/>
        <w:numPr>
          <w:ilvl w:val="0"/>
          <w:numId w:val="1"/>
        </w:numPr>
        <w:spacing w:after="100"/>
      </w:pPr>
      <w:r>
        <w:rPr>
          <w:rFonts w:ascii="Calibri" w:cs="Calibri" w:eastAsia="Calibri" w:hAnsi="Calibri"/>
          <w:b w:val="false"/>
          <w:bCs w:val="false"/>
          <w:color w:val="1A1A1A"/>
          <w:sz w:val="21"/>
          <w:szCs w:val="21"/>
        </w:rPr>
        <w:t xml:space="preserve">Para una empresa pequeña como Mudanzas Sharon, un servicio de hosting en la nube resulta más conveniente que un servidor local, porque reduce el costo inicial y traslada el mantenimiento y la seguridad al proveedor.</w:t>
      </w:r>
    </w:p>
    <w:p>
      <w:pPr>
        <w:pStyle w:val="ListParagraph"/>
        <w:numPr>
          <w:ilvl w:val="0"/>
          <w:numId w:val="1"/>
        </w:numPr>
        <w:spacing w:after="100"/>
      </w:pPr>
      <w:r>
        <w:rPr>
          <w:rFonts w:ascii="Calibri" w:cs="Calibri" w:eastAsia="Calibri" w:hAnsi="Calibri"/>
          <w:b w:val="false"/>
          <w:bCs w:val="false"/>
          <w:color w:val="1A1A1A"/>
          <w:sz w:val="21"/>
          <w:szCs w:val="21"/>
        </w:rPr>
        <w:t xml:space="preserve">El hardware usado durante el desarrollo ya estaba disponible antes de iniciar el proyecto, por lo que su costo de adquisición es $0 para el presupuesto del proyecto; sin embargo, para la operación futura del sistema se recomienda a Mudanzas Sharon adquirir los equipos descritos en la Sección 5.</w:t>
      </w:r>
    </w:p>
    <w:p>
      <w:pPr>
        <w:pStyle w:val="Heading1"/>
        <w:pBdr>
          <w:bottom w:val="single" w:color="62551C" w:sz="8" w:space="4"/>
        </w:pBdr>
        <w:spacing w:after="160" w:before="360"/>
      </w:pPr>
      <w:r>
        <w:rPr>
          <w:rFonts w:ascii="Calibri" w:cs="Calibri" w:eastAsia="Calibri" w:hAnsi="Calibri"/>
          <w:b/>
          <w:bCs/>
          <w:color w:val="62551C"/>
          <w:sz w:val="30"/>
          <w:szCs w:val="30"/>
        </w:rPr>
        <w:t xml:space="preserve">19. Recomendaciones</w:t>
      </w:r>
    </w:p>
    <w:p>
      <w:pPr>
        <w:pStyle w:val="ListParagraph"/>
        <w:numPr>
          <w:ilvl w:val="0"/>
          <w:numId w:val="1"/>
        </w:numPr>
        <w:spacing w:after="100"/>
      </w:pPr>
      <w:r>
        <w:rPr>
          <w:rFonts w:ascii="Calibri" w:cs="Calibri" w:eastAsia="Calibri" w:hAnsi="Calibri"/>
          <w:b w:val="false"/>
          <w:bCs w:val="false"/>
          <w:color w:val="1A1A1A"/>
          <w:sz w:val="21"/>
          <w:szCs w:val="21"/>
        </w:rPr>
        <w:t xml:space="preserve">Contratar el Plan Premium de Hostinger pagando los 48 meses de una sola vez (CO$427.200 total) para obtener el precio promocional de CO$8.900/mes equivalente; el equipo debe acordar desde el inicio quién hace ese desembolso y cómo se reparte entre los integrantes.</w:t>
      </w:r>
    </w:p>
    <w:p>
      <w:pPr>
        <w:pStyle w:val="ListParagraph"/>
        <w:numPr>
          <w:ilvl w:val="0"/>
          <w:numId w:val="1"/>
        </w:numPr>
        <w:spacing w:after="100"/>
      </w:pPr>
      <w:r>
        <w:rPr>
          <w:rFonts w:ascii="Calibri" w:cs="Calibri" w:eastAsia="Calibri" w:hAnsi="Calibri"/>
          <w:b w:val="false"/>
          <w:bCs w:val="false"/>
          <w:color w:val="1A1A1A"/>
          <w:sz w:val="21"/>
          <w:szCs w:val="21"/>
        </w:rPr>
        <w:t xml:space="preserve">Mantener el repositorio GitHub en el plan gratuito durante todo el proyecto académico, ya que cumple con todas las necesidades del equipo.</w:t>
      </w:r>
    </w:p>
    <w:p>
      <w:pPr>
        <w:pStyle w:val="ListParagraph"/>
        <w:numPr>
          <w:ilvl w:val="0"/>
          <w:numId w:val="1"/>
        </w:numPr>
        <w:spacing w:after="100"/>
      </w:pPr>
      <w:r>
        <w:rPr>
          <w:rFonts w:ascii="Calibri" w:cs="Calibri" w:eastAsia="Calibri" w:hAnsi="Calibri"/>
          <w:b w:val="false"/>
          <w:bCs w:val="false"/>
          <w:color w:val="1A1A1A"/>
          <w:sz w:val="21"/>
          <w:szCs w:val="21"/>
        </w:rPr>
        <w:t xml:space="preserve">Acordar entre los 4 integrantes cómo se dividirá el pago único de CO$427.200 (equivalente a CO$106.800 por persona) y quién quedará a cargo de la cuenta de Hostinger, para evitar confusiones sobre la propiedad del hosting una vez entregado el proyecto.</w:t>
      </w:r>
    </w:p>
    <w:p>
      <w:pPr>
        <w:pStyle w:val="ListParagraph"/>
        <w:numPr>
          <w:ilvl w:val="0"/>
          <w:numId w:val="1"/>
        </w:numPr>
        <w:spacing w:after="100"/>
      </w:pPr>
      <w:r>
        <w:rPr>
          <w:rFonts w:ascii="Calibri" w:cs="Calibri" w:eastAsia="Calibri" w:hAnsi="Calibri"/>
          <w:b w:val="false"/>
          <w:bCs w:val="false"/>
          <w:color w:val="1A1A1A"/>
          <w:sz w:val="21"/>
          <w:szCs w:val="21"/>
        </w:rPr>
        <w:t xml:space="preserve">Guardar evidencia fotográfica de los equipos disponibles al inicio del proyecto, como respaldo de que el hardware no fue adquirido con fondos del proyecto.</w:t>
      </w:r>
    </w:p>
    <w:p>
      <w:pPr>
        <w:pStyle w:val="ListParagraph"/>
        <w:numPr>
          <w:ilvl w:val="0"/>
          <w:numId w:val="1"/>
        </w:numPr>
        <w:spacing w:after="100"/>
      </w:pPr>
      <w:r>
        <w:rPr>
          <w:rFonts w:ascii="Calibri" w:cs="Calibri" w:eastAsia="Calibri" w:hAnsi="Calibri"/>
          <w:b w:val="false"/>
          <w:bCs w:val="false"/>
          <w:color w:val="1A1A1A"/>
          <w:sz w:val="21"/>
          <w:szCs w:val="21"/>
        </w:rPr>
        <w:t xml:space="preserve">Informar a Mudanzas Sharon que el dominio tendrá un costo de renovación a partir del segundo año (estimado entre $45.000 y $90.000 COP/año) para que lo incluya en su presupuesto operativo.</w:t>
      </w:r>
    </w:p>
    <w:p>
      <w:pPr>
        <w:pStyle w:val="ListParagraph"/>
        <w:numPr>
          <w:ilvl w:val="0"/>
          <w:numId w:val="1"/>
        </w:numPr>
        <w:spacing w:after="100"/>
      </w:pPr>
      <w:r>
        <w:rPr>
          <w:rFonts w:ascii="Calibri" w:cs="Calibri" w:eastAsia="Calibri" w:hAnsi="Calibri"/>
          <w:b w:val="false"/>
          <w:bCs w:val="false"/>
          <w:color w:val="1A1A1A"/>
          <w:sz w:val="21"/>
          <w:szCs w:val="21"/>
        </w:rPr>
        <w:t xml:space="preserve">Antes de poner en marcha el sistema, adquirir al menos el computador administrativo, el router y el UPS recomendados en la Sección 5, priorizando la relación calidad-precio sobre el equipo más costoso.</w:t>
      </w:r>
    </w:p>
    <w:p>
      <w:pPr>
        <w:pStyle w:val="ListParagraph"/>
        <w:numPr>
          <w:ilvl w:val="0"/>
          <w:numId w:val="1"/>
        </w:numPr>
        <w:spacing w:after="100"/>
      </w:pPr>
      <w:r>
        <w:rPr>
          <w:rFonts w:ascii="Calibri" w:cs="Calibri" w:eastAsia="Calibri" w:hAnsi="Calibri"/>
          <w:b w:val="false"/>
          <w:bCs w:val="false"/>
          <w:color w:val="1A1A1A"/>
          <w:sz w:val="21"/>
          <w:szCs w:val="21"/>
        </w:rPr>
        <w:t xml:space="preserve">Reevaluar en el futuro los servicios en la nube (FaaS, BaaS, CaaS) solo si el volumen de usuarios o la cantidad de sucursales de Mudanzas Sharon crece de forma significativa.</w:t>
      </w:r>
    </w:p>
    <w:p>
      <w:pPr>
        <w:pStyle w:val="ListParagraph"/>
        <w:numPr>
          <w:ilvl w:val="0"/>
          <w:numId w:val="1"/>
        </w:numPr>
        <w:spacing w:after="100"/>
      </w:pPr>
      <w:r>
        <w:rPr>
          <w:rFonts w:ascii="Calibri" w:cs="Calibri" w:eastAsia="Calibri" w:hAnsi="Calibri"/>
          <w:b w:val="false"/>
          <w:bCs w:val="false"/>
          <w:color w:val="1A1A1A"/>
          <w:sz w:val="21"/>
          <w:szCs w:val="21"/>
        </w:rPr>
        <w:t xml:space="preserve">Para futuros proyectos, continuar usando tecnologías open source y proveedores con precios en pesos colombianos, para evitar el impacto de la tasa de cambio dólar/peso en el presupuesto.</w:t>
      </w:r>
    </w:p>
    <w:p>
      <w:pPr>
        <w:pStyle w:val="Heading1"/>
        <w:pBdr>
          <w:bottom w:val="single" w:color="62551C" w:sz="8" w:space="4"/>
        </w:pBdr>
        <w:spacing w:after="160" w:before="360"/>
      </w:pPr>
      <w:r>
        <w:rPr>
          <w:rFonts w:ascii="Calibri" w:cs="Calibri" w:eastAsia="Calibri" w:hAnsi="Calibri"/>
          <w:b/>
          <w:bCs/>
          <w:color w:val="62551C"/>
          <w:sz w:val="30"/>
          <w:szCs w:val="30"/>
        </w:rPr>
        <w:t xml:space="preserve">20. Bibliografía</w:t>
      </w:r>
    </w:p>
    <w:p>
      <w:pPr>
        <w:spacing w:after="160"/>
      </w:pPr>
      <w:r>
        <w:rPr>
          <w:rFonts w:ascii="Calibri" w:cs="Calibri" w:eastAsia="Calibri" w:hAnsi="Calibri"/>
          <w:b w:val="false"/>
          <w:bCs w:val="false"/>
          <w:i w:val="false"/>
          <w:iCs w:val="false"/>
          <w:color w:val="1A1A1A"/>
          <w:sz w:val="21"/>
          <w:szCs w:val="21"/>
        </w:rPr>
        <w:t xml:space="preserve">A continuación se listan las fuentes bibliográficas utilizadas en la elaboración de este estudio:</w:t>
      </w:r>
    </w:p>
    <w:p>
      <w:pPr>
        <w:spacing w:after="100"/>
      </w:pPr>
      <w:r>
        <w:rPr>
          <w:rFonts w:ascii="Calibri" w:cs="Calibri" w:eastAsia="Calibri" w:hAnsi="Calibri"/>
          <w:b/>
          <w:bCs/>
          <w:sz w:val="19"/>
          <w:szCs w:val="19"/>
        </w:rPr>
        <w:t xml:space="preserve">Hostinger International Ltd. </w:t>
      </w:r>
      <w:r>
        <w:rPr>
          <w:rFonts w:ascii="Calibri" w:cs="Calibri" w:eastAsia="Calibri" w:hAnsi="Calibri"/>
          <w:sz w:val="19"/>
          <w:szCs w:val="19"/>
        </w:rPr>
        <w:t xml:space="preserve">(2026). Planes de hosting web para Colombia. Consultado en junio de 2026 desde: </w:t>
      </w:r>
      <w:hyperlink w:history="1" r:id="rIdteneqf5ui8d2l7jvmoj4u">
        <w:r>
          <w:rPr>
            <w:rFonts w:ascii="Calibri" w:cs="Calibri" w:eastAsia="Calibri" w:hAnsi="Calibri"/>
            <w:color w:val="1155CC"/>
            <w:sz w:val="19"/>
            <w:szCs w:val="19"/>
            <w:u w:val="single"/>
          </w:rPr>
          <w:t xml:space="preserve">https://www.hostinger.com/co/hosting-web</w:t>
        </w:r>
      </w:hyperlink>
    </w:p>
    <w:p>
      <w:pPr>
        <w:spacing w:after="100"/>
      </w:pPr>
      <w:r>
        <w:rPr>
          <w:rFonts w:ascii="Calibri" w:cs="Calibri" w:eastAsia="Calibri" w:hAnsi="Calibri"/>
          <w:b/>
          <w:bCs/>
          <w:sz w:val="19"/>
          <w:szCs w:val="19"/>
        </w:rPr>
        <w:t xml:space="preserve">GoDaddy LLC. </w:t>
      </w:r>
      <w:r>
        <w:rPr>
          <w:rFonts w:ascii="Calibri" w:cs="Calibri" w:eastAsia="Calibri" w:hAnsi="Calibri"/>
          <w:sz w:val="19"/>
          <w:szCs w:val="19"/>
        </w:rPr>
        <w:t xml:space="preserve">(2026). Comparativa de proveedores de hosting en Colombia. Consultado en junio de 2026 desde: </w:t>
      </w:r>
      <w:hyperlink w:history="1" r:id="rIdbhyruvrrxnarx3ebkyd1o">
        <w:r>
          <w:rPr>
            <w:rFonts w:ascii="Calibri" w:cs="Calibri" w:eastAsia="Calibri" w:hAnsi="Calibri"/>
            <w:color w:val="1155CC"/>
            <w:sz w:val="19"/>
            <w:szCs w:val="19"/>
            <w:u w:val="single"/>
          </w:rPr>
          <w:t xml:space="preserve">https://www.godaddy.com/resources/latam/desarrollo/compara-proveedores-colombia-hosting</w:t>
        </w:r>
      </w:hyperlink>
    </w:p>
    <w:p>
      <w:pPr>
        <w:spacing w:after="100"/>
      </w:pPr>
      <w:r>
        <w:rPr>
          <w:rFonts w:ascii="Calibri" w:cs="Calibri" w:eastAsia="Calibri" w:hAnsi="Calibri"/>
          <w:b/>
          <w:bCs/>
          <w:sz w:val="19"/>
          <w:szCs w:val="19"/>
        </w:rPr>
        <w:t xml:space="preserve">Colombia Cloud. </w:t>
      </w:r>
      <w:r>
        <w:rPr>
          <w:rFonts w:ascii="Calibri" w:cs="Calibri" w:eastAsia="Calibri" w:hAnsi="Calibri"/>
          <w:sz w:val="19"/>
          <w:szCs w:val="19"/>
        </w:rPr>
        <w:t xml:space="preserve">(2026). Cuánto cuesta un hosting en Colombia 2026: precios reales y comparativa. Consultado en junio de 2026 desde: </w:t>
      </w:r>
      <w:hyperlink w:history="1" r:id="rIdbhmpg3kkojnplnyc85dci">
        <w:r>
          <w:rPr>
            <w:rFonts w:ascii="Calibri" w:cs="Calibri" w:eastAsia="Calibri" w:hAnsi="Calibri"/>
            <w:color w:val="1155CC"/>
            <w:sz w:val="19"/>
            <w:szCs w:val="19"/>
            <w:u w:val="single"/>
          </w:rPr>
          <w:t xml:space="preserve">https://www.colombiacloud.co/cuanto-cuesta-hosting-colombia-2026/</w:t>
        </w:r>
      </w:hyperlink>
    </w:p>
    <w:p>
      <w:pPr>
        <w:spacing w:after="100"/>
      </w:pPr>
      <w:r>
        <w:rPr>
          <w:rFonts w:ascii="Calibri" w:cs="Calibri" w:eastAsia="Calibri" w:hAnsi="Calibri"/>
          <w:b/>
          <w:bCs/>
          <w:sz w:val="19"/>
          <w:szCs w:val="19"/>
        </w:rPr>
        <w:t xml:space="preserve">Amazon Web Services. </w:t>
      </w:r>
      <w:r>
        <w:rPr>
          <w:rFonts w:ascii="Calibri" w:cs="Calibri" w:eastAsia="Calibri" w:hAnsi="Calibri"/>
          <w:sz w:val="19"/>
          <w:szCs w:val="19"/>
        </w:rPr>
        <w:t xml:space="preserve">(2026). AWS Lambda — Precios. Consultado en junio de 2026 desde: </w:t>
      </w:r>
      <w:hyperlink w:history="1" r:id="rIdjmv0ln65zioz8rnb37cc7">
        <w:r>
          <w:rPr>
            <w:rFonts w:ascii="Calibri" w:cs="Calibri" w:eastAsia="Calibri" w:hAnsi="Calibri"/>
            <w:color w:val="1155CC"/>
            <w:sz w:val="19"/>
            <w:szCs w:val="19"/>
            <w:u w:val="single"/>
          </w:rPr>
          <w:t xml:space="preserve">https://aws.amazon.com/lambda/pricing/</w:t>
        </w:r>
      </w:hyperlink>
    </w:p>
    <w:p>
      <w:pPr>
        <w:spacing w:after="100"/>
      </w:pPr>
      <w:r>
        <w:rPr>
          <w:rFonts w:ascii="Calibri" w:cs="Calibri" w:eastAsia="Calibri" w:hAnsi="Calibri"/>
          <w:b/>
          <w:bCs/>
          <w:sz w:val="19"/>
          <w:szCs w:val="19"/>
        </w:rPr>
        <w:t xml:space="preserve">Google Cloud. </w:t>
      </w:r>
      <w:r>
        <w:rPr>
          <w:rFonts w:ascii="Calibri" w:cs="Calibri" w:eastAsia="Calibri" w:hAnsi="Calibri"/>
          <w:sz w:val="19"/>
          <w:szCs w:val="19"/>
        </w:rPr>
        <w:t xml:space="preserve">(2026). Cloud Run functions — Precios. Consultado en junio de 2026 desde: </w:t>
      </w:r>
      <w:hyperlink w:history="1" r:id="rIdy-bhasqofmov74myxuakk">
        <w:r>
          <w:rPr>
            <w:rFonts w:ascii="Calibri" w:cs="Calibri" w:eastAsia="Calibri" w:hAnsi="Calibri"/>
            <w:color w:val="1155CC"/>
            <w:sz w:val="19"/>
            <w:szCs w:val="19"/>
            <w:u w:val="single"/>
          </w:rPr>
          <w:t xml:space="preserve">https://cloud.google.com/functions/pricing-1stgen</w:t>
        </w:r>
      </w:hyperlink>
    </w:p>
    <w:p>
      <w:pPr>
        <w:spacing w:after="100"/>
      </w:pPr>
      <w:r>
        <w:rPr>
          <w:rFonts w:ascii="Calibri" w:cs="Calibri" w:eastAsia="Calibri" w:hAnsi="Calibri"/>
          <w:b/>
          <w:bCs/>
          <w:sz w:val="19"/>
          <w:szCs w:val="19"/>
        </w:rPr>
        <w:t xml:space="preserve">Microsoft Azure. </w:t>
      </w:r>
      <w:r>
        <w:rPr>
          <w:rFonts w:ascii="Calibri" w:cs="Calibri" w:eastAsia="Calibri" w:hAnsi="Calibri"/>
          <w:sz w:val="19"/>
          <w:szCs w:val="19"/>
        </w:rPr>
        <w:t xml:space="preserve">(2026). Azure Functions — Precios. Consultado en junio de 2026 desde: </w:t>
      </w:r>
      <w:hyperlink w:history="1" r:id="rIdic82wwvdngzjlmn-jm-r_">
        <w:r>
          <w:rPr>
            <w:rFonts w:ascii="Calibri" w:cs="Calibri" w:eastAsia="Calibri" w:hAnsi="Calibri"/>
            <w:color w:val="1155CC"/>
            <w:sz w:val="19"/>
            <w:szCs w:val="19"/>
            <w:u w:val="single"/>
          </w:rPr>
          <w:t xml:space="preserve">https://azure.microsoft.com/en-us/pricing/details/functions/</w:t>
        </w:r>
      </w:hyperlink>
    </w:p>
    <w:p>
      <w:pPr>
        <w:spacing w:after="100"/>
      </w:pPr>
      <w:r>
        <w:rPr>
          <w:rFonts w:ascii="Calibri" w:cs="Calibri" w:eastAsia="Calibri" w:hAnsi="Calibri"/>
          <w:b/>
          <w:bCs/>
          <w:sz w:val="19"/>
          <w:szCs w:val="19"/>
        </w:rPr>
        <w:t xml:space="preserve">Firebase / Google. </w:t>
      </w:r>
      <w:r>
        <w:rPr>
          <w:rFonts w:ascii="Calibri" w:cs="Calibri" w:eastAsia="Calibri" w:hAnsi="Calibri"/>
          <w:sz w:val="19"/>
          <w:szCs w:val="19"/>
        </w:rPr>
        <w:t xml:space="preserve">(2026). Planes de precios de Firebase. Consultado en junio de 2026 desde: </w:t>
      </w:r>
      <w:hyperlink w:history="1" r:id="rIdjyr37ephgm0ne6wr_eswg">
        <w:r>
          <w:rPr>
            <w:rFonts w:ascii="Calibri" w:cs="Calibri" w:eastAsia="Calibri" w:hAnsi="Calibri"/>
            <w:color w:val="1155CC"/>
            <w:sz w:val="19"/>
            <w:szCs w:val="19"/>
            <w:u w:val="single"/>
          </w:rPr>
          <w:t xml:space="preserve">https://firebase.google.com/pricing</w:t>
        </w:r>
      </w:hyperlink>
    </w:p>
    <w:p>
      <w:pPr>
        <w:spacing w:after="100"/>
      </w:pPr>
      <w:r>
        <w:rPr>
          <w:rFonts w:ascii="Calibri" w:cs="Calibri" w:eastAsia="Calibri" w:hAnsi="Calibri"/>
          <w:b/>
          <w:bCs/>
          <w:sz w:val="19"/>
          <w:szCs w:val="19"/>
        </w:rPr>
        <w:t xml:space="preserve">Supabase. </w:t>
      </w:r>
      <w:r>
        <w:rPr>
          <w:rFonts w:ascii="Calibri" w:cs="Calibri" w:eastAsia="Calibri" w:hAnsi="Calibri"/>
          <w:sz w:val="19"/>
          <w:szCs w:val="19"/>
        </w:rPr>
        <w:t xml:space="preserve">(2026). Pricing &amp; Fees. Consultado en junio de 2026 desde: </w:t>
      </w:r>
      <w:hyperlink w:history="1" r:id="rIdew5fjaodb0sy0hegbb6qn">
        <w:r>
          <w:rPr>
            <w:rFonts w:ascii="Calibri" w:cs="Calibri" w:eastAsia="Calibri" w:hAnsi="Calibri"/>
            <w:color w:val="1155CC"/>
            <w:sz w:val="19"/>
            <w:szCs w:val="19"/>
            <w:u w:val="single"/>
          </w:rPr>
          <w:t xml:space="preserve">https://supabase.com/pricing</w:t>
        </w:r>
      </w:hyperlink>
    </w:p>
    <w:p>
      <w:pPr>
        <w:spacing w:after="100"/>
      </w:pPr>
      <w:r>
        <w:rPr>
          <w:rFonts w:ascii="Calibri" w:cs="Calibri" w:eastAsia="Calibri" w:hAnsi="Calibri"/>
          <w:b/>
          <w:bCs/>
          <w:sz w:val="19"/>
          <w:szCs w:val="19"/>
        </w:rPr>
        <w:t xml:space="preserve">Appwrite. </w:t>
      </w:r>
      <w:r>
        <w:rPr>
          <w:rFonts w:ascii="Calibri" w:cs="Calibri" w:eastAsia="Calibri" w:hAnsi="Calibri"/>
          <w:sz w:val="19"/>
          <w:szCs w:val="19"/>
        </w:rPr>
        <w:t xml:space="preserve">(2026). Pricing. Consultado en junio de 2026 desde: </w:t>
      </w:r>
      <w:hyperlink w:history="1" r:id="rIdi_4igacdx8c8l1i3si2om">
        <w:r>
          <w:rPr>
            <w:rFonts w:ascii="Calibri" w:cs="Calibri" w:eastAsia="Calibri" w:hAnsi="Calibri"/>
            <w:color w:val="1155CC"/>
            <w:sz w:val="19"/>
            <w:szCs w:val="19"/>
            <w:u w:val="single"/>
          </w:rPr>
          <w:t xml:space="preserve">https://appwrite.io/pricing</w:t>
        </w:r>
      </w:hyperlink>
    </w:p>
    <w:p>
      <w:pPr>
        <w:spacing w:after="100"/>
      </w:pPr>
      <w:r>
        <w:rPr>
          <w:rFonts w:ascii="Calibri" w:cs="Calibri" w:eastAsia="Calibri" w:hAnsi="Calibri"/>
          <w:b/>
          <w:bCs/>
          <w:sz w:val="19"/>
          <w:szCs w:val="19"/>
        </w:rPr>
        <w:t xml:space="preserve">Google Cloud. </w:t>
      </w:r>
      <w:r>
        <w:rPr>
          <w:rFonts w:ascii="Calibri" w:cs="Calibri" w:eastAsia="Calibri" w:hAnsi="Calibri"/>
          <w:sz w:val="19"/>
          <w:szCs w:val="19"/>
        </w:rPr>
        <w:t xml:space="preserve">(2026). Google Kubernetes Engine — Precios. Consultado en junio de 2026 desde: </w:t>
      </w:r>
      <w:hyperlink w:history="1" r:id="rIdm9jdc1x-r9iek2poqt7h7">
        <w:r>
          <w:rPr>
            <w:rFonts w:ascii="Calibri" w:cs="Calibri" w:eastAsia="Calibri" w:hAnsi="Calibri"/>
            <w:color w:val="1155CC"/>
            <w:sz w:val="19"/>
            <w:szCs w:val="19"/>
            <w:u w:val="single"/>
          </w:rPr>
          <w:t xml:space="preserve">https://cloud.google.com/kubernetes-engine/pricing</w:t>
        </w:r>
      </w:hyperlink>
    </w:p>
    <w:p>
      <w:pPr>
        <w:spacing w:after="100"/>
      </w:pPr>
      <w:r>
        <w:rPr>
          <w:rFonts w:ascii="Calibri" w:cs="Calibri" w:eastAsia="Calibri" w:hAnsi="Calibri"/>
          <w:b/>
          <w:bCs/>
          <w:sz w:val="19"/>
          <w:szCs w:val="19"/>
        </w:rPr>
        <w:t xml:space="preserve">Open Source Initiative. </w:t>
      </w:r>
      <w:r>
        <w:rPr>
          <w:rFonts w:ascii="Calibri" w:cs="Calibri" w:eastAsia="Calibri" w:hAnsi="Calibri"/>
          <w:sz w:val="19"/>
          <w:szCs w:val="19"/>
        </w:rPr>
        <w:t xml:space="preserve">(2024). Licencia MIT. Consultado en junio de 2026 desde: </w:t>
      </w:r>
      <w:hyperlink w:history="1" r:id="rId8ropfx2s0w3dapmthutrm">
        <w:r>
          <w:rPr>
            <w:rFonts w:ascii="Calibri" w:cs="Calibri" w:eastAsia="Calibri" w:hAnsi="Calibri"/>
            <w:color w:val="1155CC"/>
            <w:sz w:val="19"/>
            <w:szCs w:val="19"/>
            <w:u w:val="single"/>
          </w:rPr>
          <w:t xml:space="preserve">https://opensource.org/license/mit</w:t>
        </w:r>
      </w:hyperlink>
    </w:p>
    <w:p>
      <w:pPr>
        <w:spacing w:after="100"/>
      </w:pPr>
      <w:r>
        <w:rPr>
          <w:rFonts w:ascii="Calibri" w:cs="Calibri" w:eastAsia="Calibri" w:hAnsi="Calibri"/>
          <w:b/>
          <w:bCs/>
          <w:sz w:val="19"/>
          <w:szCs w:val="19"/>
        </w:rPr>
        <w:t xml:space="preserve">PHP Group. </w:t>
      </w:r>
      <w:r>
        <w:rPr>
          <w:rFonts w:ascii="Calibri" w:cs="Calibri" w:eastAsia="Calibri" w:hAnsi="Calibri"/>
          <w:sz w:val="19"/>
          <w:szCs w:val="19"/>
        </w:rPr>
        <w:t xml:space="preserve">(2024). PHP License v3.01. Consultado en junio de 2026 desde: </w:t>
      </w:r>
      <w:hyperlink w:history="1" r:id="rIdrqv7b7a5-zsvmwc3axc41">
        <w:r>
          <w:rPr>
            <w:rFonts w:ascii="Calibri" w:cs="Calibri" w:eastAsia="Calibri" w:hAnsi="Calibri"/>
            <w:color w:val="1155CC"/>
            <w:sz w:val="19"/>
            <w:szCs w:val="19"/>
            <w:u w:val="single"/>
          </w:rPr>
          <w:t xml:space="preserve">https://www.php.net/license/index.php</w:t>
        </w:r>
      </w:hyperlink>
    </w:p>
    <w:p>
      <w:pPr>
        <w:spacing w:after="100"/>
      </w:pPr>
      <w:r>
        <w:rPr>
          <w:rFonts w:ascii="Calibri" w:cs="Calibri" w:eastAsia="Calibri" w:hAnsi="Calibri"/>
          <w:b/>
          <w:bCs/>
          <w:sz w:val="19"/>
          <w:szCs w:val="19"/>
        </w:rPr>
        <w:t xml:space="preserve">MySQL AB / Oracle Corporation. </w:t>
      </w:r>
      <w:r>
        <w:rPr>
          <w:rFonts w:ascii="Calibri" w:cs="Calibri" w:eastAsia="Calibri" w:hAnsi="Calibri"/>
          <w:sz w:val="19"/>
          <w:szCs w:val="19"/>
        </w:rPr>
        <w:t xml:space="preserve">(2024). MySQL Community Edition — GPL License. Consultado en junio de 2026 desde: </w:t>
      </w:r>
      <w:hyperlink w:history="1" r:id="rIdpbjsayyvcs8f1brldojnl">
        <w:r>
          <w:rPr>
            <w:rFonts w:ascii="Calibri" w:cs="Calibri" w:eastAsia="Calibri" w:hAnsi="Calibri"/>
            <w:color w:val="1155CC"/>
            <w:sz w:val="19"/>
            <w:szCs w:val="19"/>
            <w:u w:val="single"/>
          </w:rPr>
          <w:t xml:space="preserve">https://www.mysql.com/products/community/</w:t>
        </w:r>
      </w:hyperlink>
    </w:p>
    <w:p>
      <w:pPr>
        <w:spacing w:after="100"/>
      </w:pPr>
      <w:r>
        <w:rPr>
          <w:rFonts w:ascii="Calibri" w:cs="Calibri" w:eastAsia="Calibri" w:hAnsi="Calibri"/>
          <w:b/>
          <w:bCs/>
          <w:sz w:val="19"/>
          <w:szCs w:val="19"/>
        </w:rPr>
        <w:t xml:space="preserve">GitHub, Inc. </w:t>
      </w:r>
      <w:r>
        <w:rPr>
          <w:rFonts w:ascii="Calibri" w:cs="Calibri" w:eastAsia="Calibri" w:hAnsi="Calibri"/>
          <w:sz w:val="19"/>
          <w:szCs w:val="19"/>
        </w:rPr>
        <w:t xml:space="preserve">(2026). GitHub Pricing. Consultado en junio de 2026 desde: </w:t>
      </w:r>
      <w:hyperlink w:history="1" r:id="rIdbv8knmiorgwmgumcwg6_y">
        <w:r>
          <w:rPr>
            <w:rFonts w:ascii="Calibri" w:cs="Calibri" w:eastAsia="Calibri" w:hAnsi="Calibri"/>
            <w:color w:val="1155CC"/>
            <w:sz w:val="19"/>
            <w:szCs w:val="19"/>
            <w:u w:val="single"/>
          </w:rPr>
          <w:t xml:space="preserve">https://github.com/pricing</w:t>
        </w:r>
      </w:hyperlink>
    </w:p>
    <w:p>
      <w:pPr>
        <w:spacing w:after="100"/>
      </w:pPr>
      <w:r>
        <w:rPr>
          <w:rFonts w:ascii="Calibri" w:cs="Calibri" w:eastAsia="Calibri" w:hAnsi="Calibri"/>
          <w:b/>
          <w:bCs/>
          <w:sz w:val="19"/>
          <w:szCs w:val="19"/>
        </w:rPr>
        <w:t xml:space="preserve">W3C. </w:t>
      </w:r>
      <w:r>
        <w:rPr>
          <w:rFonts w:ascii="Calibri" w:cs="Calibri" w:eastAsia="Calibri" w:hAnsi="Calibri"/>
          <w:sz w:val="19"/>
          <w:szCs w:val="19"/>
        </w:rPr>
        <w:t xml:space="preserve">(2024). HTML y CSS — Estándares abiertos. Consultado en junio de 2026 desde: </w:t>
      </w:r>
      <w:hyperlink w:history="1" r:id="rIdkdebhwkx5ccxdh6jooaig">
        <w:r>
          <w:rPr>
            <w:rFonts w:ascii="Calibri" w:cs="Calibri" w:eastAsia="Calibri" w:hAnsi="Calibri"/>
            <w:color w:val="1155CC"/>
            <w:sz w:val="19"/>
            <w:szCs w:val="19"/>
            <w:u w:val="single"/>
          </w:rPr>
          <w:t xml:space="preserve">https://www.w3.org/standards/</w:t>
        </w:r>
      </w:hyperlink>
    </w:p>
    <w:p>
      <w:pPr>
        <w:spacing w:after="100"/>
      </w:pPr>
      <w:r>
        <w:rPr>
          <w:rFonts w:ascii="Calibri" w:cs="Calibri" w:eastAsia="Calibri" w:hAnsi="Calibri"/>
          <w:b/>
          <w:bCs/>
          <w:sz w:val="19"/>
          <w:szCs w:val="19"/>
        </w:rPr>
        <w:t xml:space="preserve">Ecma International. </w:t>
      </w:r>
      <w:r>
        <w:rPr>
          <w:rFonts w:ascii="Calibri" w:cs="Calibri" w:eastAsia="Calibri" w:hAnsi="Calibri"/>
          <w:sz w:val="19"/>
          <w:szCs w:val="19"/>
        </w:rPr>
        <w:t xml:space="preserve">(2024). ECMAScript 2024 (ES15). Consultado en junio de 2026 desde: </w:t>
      </w:r>
      <w:hyperlink w:history="1" r:id="rIdrcnpufmoqhq7l7hysobbg">
        <w:r>
          <w:rPr>
            <w:rFonts w:ascii="Calibri" w:cs="Calibri" w:eastAsia="Calibri" w:hAnsi="Calibri"/>
            <w:color w:val="1155CC"/>
            <w:sz w:val="19"/>
            <w:szCs w:val="19"/>
            <w:u w:val="single"/>
          </w:rPr>
          <w:t xml:space="preserve">https://www.ecma-international.org/publications-and-standards/standards/ecma-262/</w:t>
        </w:r>
      </w:hyperlink>
    </w:p>
    <w:p>
      <w:pPr>
        <w:spacing w:after="100"/>
      </w:pPr>
      <w:r>
        <w:rPr>
          <w:rFonts w:ascii="Calibri" w:cs="Calibri" w:eastAsia="Calibri" w:hAnsi="Calibri"/>
          <w:b/>
          <w:bCs/>
          <w:sz w:val="19"/>
          <w:szCs w:val="19"/>
        </w:rPr>
        <w:t xml:space="preserve">Git SCM. </w:t>
      </w:r>
      <w:r>
        <w:rPr>
          <w:rFonts w:ascii="Calibri" w:cs="Calibri" w:eastAsia="Calibri" w:hAnsi="Calibri"/>
          <w:sz w:val="19"/>
          <w:szCs w:val="19"/>
        </w:rPr>
        <w:t xml:space="preserve">(2024). Git — Free and Open Source. Consultado en junio de 2026 desde: </w:t>
      </w:r>
      <w:hyperlink w:history="1" r:id="rId4tibr6pg4r0tyyjqal5ka">
        <w:r>
          <w:rPr>
            <w:rFonts w:ascii="Calibri" w:cs="Calibri" w:eastAsia="Calibri" w:hAnsi="Calibri"/>
            <w:color w:val="1155CC"/>
            <w:sz w:val="19"/>
            <w:szCs w:val="19"/>
            <w:u w:val="single"/>
          </w:rPr>
          <w:t xml:space="preserve">https://git-scm.com/about</w:t>
        </w:r>
      </w:hyperlink>
    </w:p>
    <w:p>
      <w:pPr>
        <w:spacing w:after="100"/>
      </w:pPr>
      <w:r>
        <w:rPr>
          <w:rFonts w:ascii="Calibri" w:cs="Calibri" w:eastAsia="Calibri" w:hAnsi="Calibri"/>
          <w:b/>
          <w:bCs/>
          <w:sz w:val="19"/>
          <w:szCs w:val="19"/>
        </w:rPr>
        <w:t xml:space="preserve">Microsoft Corporation. </w:t>
      </w:r>
      <w:r>
        <w:rPr>
          <w:rFonts w:ascii="Calibri" w:cs="Calibri" w:eastAsia="Calibri" w:hAnsi="Calibri"/>
          <w:sz w:val="19"/>
          <w:szCs w:val="19"/>
        </w:rPr>
        <w:t xml:space="preserve">(2024). Visual Studio Code — License. Consultado en junio de 2026 desde: </w:t>
      </w:r>
      <w:hyperlink w:history="1" r:id="rId4f363gmwvq5rrvako_47a">
        <w:r>
          <w:rPr>
            <w:rFonts w:ascii="Calibri" w:cs="Calibri" w:eastAsia="Calibri" w:hAnsi="Calibri"/>
            <w:color w:val="1155CC"/>
            <w:sz w:val="19"/>
            <w:szCs w:val="19"/>
            <w:u w:val="single"/>
          </w:rPr>
          <w:t xml:space="preserve">https://code.visualstudio.com/license/</w:t>
        </w:r>
      </w:hyperlink>
    </w:p>
    <w:p>
      <w:pPr>
        <w:spacing w:after="100"/>
      </w:pPr>
      <w:r>
        <w:rPr>
          <w:rFonts w:ascii="Calibri" w:cs="Calibri" w:eastAsia="Calibri" w:hAnsi="Calibri"/>
          <w:b/>
          <w:bCs/>
          <w:sz w:val="19"/>
          <w:szCs w:val="19"/>
        </w:rPr>
        <w:t xml:space="preserve">Mapbox. </w:t>
      </w:r>
      <w:r>
        <w:rPr>
          <w:rFonts w:ascii="Calibri" w:cs="Calibri" w:eastAsia="Calibri" w:hAnsi="Calibri"/>
          <w:sz w:val="19"/>
          <w:szCs w:val="19"/>
        </w:rPr>
        <w:t xml:space="preserve">(2026). Pricing. Consultado en junio de 2026 desde: </w:t>
      </w:r>
      <w:hyperlink w:history="1" r:id="rIdew0erfcwx_f4jykrxsw7r">
        <w:r>
          <w:rPr>
            <w:rFonts w:ascii="Calibri" w:cs="Calibri" w:eastAsia="Calibri" w:hAnsi="Calibri"/>
            <w:color w:val="1155CC"/>
            <w:sz w:val="19"/>
            <w:szCs w:val="19"/>
            <w:u w:val="single"/>
          </w:rPr>
          <w:t xml:space="preserve">https://www.mapbox.com/pricing</w:t>
        </w:r>
      </w:hyperlink>
    </w:p>
    <w:p>
      <w:pPr>
        <w:spacing w:after="100"/>
      </w:pPr>
      <w:r>
        <w:rPr>
          <w:rFonts w:ascii="Calibri" w:cs="Calibri" w:eastAsia="Calibri" w:hAnsi="Calibri"/>
          <w:b/>
          <w:bCs/>
          <w:sz w:val="19"/>
          <w:szCs w:val="19"/>
        </w:rPr>
        <w:t xml:space="preserve">OpenStreetMap Foundation. </w:t>
      </w:r>
      <w:r>
        <w:rPr>
          <w:rFonts w:ascii="Calibri" w:cs="Calibri" w:eastAsia="Calibri" w:hAnsi="Calibri"/>
          <w:sz w:val="19"/>
          <w:szCs w:val="19"/>
        </w:rPr>
        <w:t xml:space="preserve">(2026). Copyright and License. Consultado en junio de 2026 desde: </w:t>
      </w:r>
      <w:hyperlink w:history="1" r:id="rIdeeanrqt8o0guv5d0veyey">
        <w:r>
          <w:rPr>
            <w:rFonts w:ascii="Calibri" w:cs="Calibri" w:eastAsia="Calibri" w:hAnsi="Calibri"/>
            <w:color w:val="1155CC"/>
            <w:sz w:val="19"/>
            <w:szCs w:val="19"/>
            <w:u w:val="single"/>
          </w:rPr>
          <w:t xml:space="preserve">https://www.openstreetmap.org/copyright</w:t>
        </w:r>
      </w:hyperlink>
    </w:p>
    <w:p>
      <w:pPr>
        <w:spacing w:after="100"/>
      </w:pPr>
      <w:r>
        <w:rPr>
          <w:rFonts w:ascii="Calibri" w:cs="Calibri" w:eastAsia="Calibri" w:hAnsi="Calibri"/>
          <w:b/>
          <w:bCs/>
          <w:sz w:val="19"/>
          <w:szCs w:val="19"/>
        </w:rPr>
        <w:t xml:space="preserve">Alkosto S.A. </w:t>
      </w:r>
      <w:r>
        <w:rPr>
          <w:rFonts w:ascii="Calibri" w:cs="Calibri" w:eastAsia="Calibri" w:hAnsi="Calibri"/>
          <w:sz w:val="19"/>
          <w:szCs w:val="19"/>
        </w:rPr>
        <w:t xml:space="preserve">(2026). Computadores, portátiles, monitores, routers y UPS — catálogo Colombia. Consultado en junio de 2026 desde: </w:t>
      </w:r>
      <w:hyperlink w:history="1" r:id="rIdb6_xbju_tzlepme6utiu8">
        <w:r>
          <w:rPr>
            <w:rFonts w:ascii="Calibri" w:cs="Calibri" w:eastAsia="Calibri" w:hAnsi="Calibri"/>
            <w:color w:val="1155CC"/>
            <w:sz w:val="19"/>
            <w:szCs w:val="19"/>
            <w:u w:val="single"/>
          </w:rPr>
          <w:t xml:space="preserve">https://www.alkosto.com/computadores-tablet/c/BI_COMP_ALKOS</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Página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de </w:t>
    </w:r>
    <w:r>
      <w:rPr>
        <w:rFonts w:ascii="Calibri" w:cs="Calibri" w:eastAsia="Calibri" w:hAnsi="Calibri"/>
        <w:color w:val="595959"/>
        <w:sz w:val="16"/>
        <w:szCs w:val="16"/>
      </w:rPr>
      <w:fldChar w:fldCharType="begin"/>
      <w:instrText xml:space="preserve">NUMPAGES</w:instrText>
      <w:fldChar w:fldCharType="separate"/>
      <w:fldChar w:fldCharType="end"/>
    </w:r>
    <w:r>
      <w:rPr>
        <w:rFonts w:ascii="Calibri" w:cs="Calibri" w:eastAsia="Calibri" w:hAnsi="Calibri"/>
        <w:color w:val="595959"/>
        <w:sz w:val="16"/>
        <w:szCs w:val="16"/>
      </w:rPr>
      <w:t xml:space="preserve">  |  Grupo N.º 4 — ADSO — SENA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BBA0" w:sz="4" w:space="4"/>
      </w:pBdr>
      <w:jc w:val="right"/>
    </w:pPr>
    <w:r>
      <w:rPr>
        <w:rFonts w:ascii="Calibri" w:cs="Calibri" w:eastAsia="Calibri" w:hAnsi="Calibri"/>
        <w:i/>
        <w:iCs/>
        <w:color w:val="595959"/>
        <w:sz w:val="15"/>
        <w:szCs w:val="15"/>
      </w:rPr>
      <w:t xml:space="preserve">LOGISTICARGO SYSTEM — Estudio de Costos e Infraestructura Tecnológica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9tpw0az3eux7wt9wa55v" Type="http://schemas.openxmlformats.org/officeDocument/2006/relationships/hyperlink" Target="https://developers.google.com/maps/billing-and-pricing/pricing" TargetMode="External"/><Relationship Id="rIduuriw1kjumgqxvsd_yei3" Type="http://schemas.openxmlformats.org/officeDocument/2006/relationships/hyperlink" Target="https://www.mapbox.com/pricing" TargetMode="External"/><Relationship Id="rIdh7tge1cttindrbmmdru_x" Type="http://schemas.openxmlformats.org/officeDocument/2006/relationships/hyperlink" Target="https://leafletjs.com/" TargetMode="External"/><Relationship Id="rId17ely_r3g6tewmbw0izqu" Type="http://schemas.openxmlformats.org/officeDocument/2006/relationships/hyperlink" Target="https://www.alkosto.com/computadores-tablet/computadores-portatiles/c/BI_104_ALKOS" TargetMode="External"/><Relationship Id="rIdn32avofxgk3ismpm8cfan" Type="http://schemas.openxmlformats.org/officeDocument/2006/relationships/hyperlink" Target="https://www.alkosto.com/computadores-tablet/computadores-escritorio-all-in-one/c/BI_105_ALKOS" TargetMode="External"/><Relationship Id="rIdj5vdmkikpowrrctrr_g5n" Type="http://schemas.openxmlformats.org/officeDocument/2006/relationships/hyperlink" Target="https://www.homecenter.com.co/homecenter-co/landing/cat10320/Muebles-de-Oficina-y-Escritorio/" TargetMode="External"/><Relationship Id="rIdeczolo7u8c_jlxa9-hzym" Type="http://schemas.openxmlformats.org/officeDocument/2006/relationships/hyperlink" Target="https://www.alkosto.com/computadores-tablet/computadores-escritorio-all-in-one/c/BI_105_ALKOS" TargetMode="External"/><Relationship Id="rIdug3l0rig81yjqcgbjphq8" Type="http://schemas.openxmlformats.org/officeDocument/2006/relationships/hyperlink" Target="https://www.alkosto.com/computador-portatil-lenovo-ideapad-slim-3-153-pulgadas/p/198155958915" TargetMode="External"/><Relationship Id="rId2zyjny7mvb0maize2e4io" Type="http://schemas.openxmlformats.org/officeDocument/2006/relationships/hyperlink" Target="https://www.alkosto.com/computadores-tablet/monitores/c/BI_110_ALKOS" TargetMode="External"/><Relationship Id="rId69r0bzp919bsa8u5822_w" Type="http://schemas.openxmlformats.org/officeDocument/2006/relationships/hyperlink" Target="https://www.alkosto.com/casa-inteligente-domotica/redes-wifi/routers/c/BI_5004_ALKOS" TargetMode="External"/><Relationship Id="rIdaf3yf5igdgj0yerxjitip" Type="http://schemas.openxmlformats.org/officeDocument/2006/relationships/hyperlink" Target="https://www.alkosto.com/accesorios-electronica/reguladores-voltaje-ups-multitomas/c/BI_146_ALKOS" TargetMode="External"/><Relationship Id="rIdi9j5jqcis8xav_x2mrhb_" Type="http://schemas.openxmlformats.org/officeDocument/2006/relationships/hyperlink" Target="https://www.alkosto.com/computadores-tablet/impresion/impresoras-multifuncionales/c/BI_0210_ALKOS" TargetMode="External"/><Relationship Id="rId2st4stmkyfg0bydsdtuo0" Type="http://schemas.openxmlformats.org/officeDocument/2006/relationships/hyperlink" Target="https://www.mysql.com/products/community/" TargetMode="External"/><Relationship Id="rIdbzpimdrfl8hq73lmqwgng" Type="http://schemas.openxmlformats.org/officeDocument/2006/relationships/hyperlink" Target="https://www.postgresql.org/about/licence/" TargetMode="External"/><Relationship Id="rIdfb8fhjzuhdpnwhqkyclzm" Type="http://schemas.openxmlformats.org/officeDocument/2006/relationships/hyperlink" Target="https://www.mongodb.com/legal/licensing/community-edition" TargetMode="External"/><Relationship Id="rIdp6_5w4fmrxth3bzkcf33a" Type="http://schemas.openxmlformats.org/officeDocument/2006/relationships/hyperlink" Target="https://aws.amazon.com/lambda/pricing/" TargetMode="External"/><Relationship Id="rId7xe80hicifiwxnsvscgj7" Type="http://schemas.openxmlformats.org/officeDocument/2006/relationships/hyperlink" Target="https://cloud.google.com/functions/pricing-1stgen" TargetMode="External"/><Relationship Id="rIdq_b0trcb56omubqe6lojt" Type="http://schemas.openxmlformats.org/officeDocument/2006/relationships/hyperlink" Target="https://azure.microsoft.com/en-us/pricing/details/functions/" TargetMode="External"/><Relationship Id="rIdmytfnlprrx1tn6wrayay7" Type="http://schemas.openxmlformats.org/officeDocument/2006/relationships/hyperlink" Target="https://firebase.google.com/pricing" TargetMode="External"/><Relationship Id="rIdaujpo7xpf9t1zvephn6y2" Type="http://schemas.openxmlformats.org/officeDocument/2006/relationships/hyperlink" Target="https://supabase.com/pricing" TargetMode="External"/><Relationship Id="rIdsshyjxpkkvyguv__qe_e4" Type="http://schemas.openxmlformats.org/officeDocument/2006/relationships/hyperlink" Target="https://appwrite.io/pricing" TargetMode="External"/><Relationship Id="rId8z6ycvdirqzbrg5cjweez" Type="http://schemas.openxmlformats.org/officeDocument/2006/relationships/hyperlink" Target="https://cloud.google.com/kubernetes-engine/pricing" TargetMode="External"/><Relationship Id="rIdx8vwdollmuui2fkv_9txz" Type="http://schemas.openxmlformats.org/officeDocument/2006/relationships/hyperlink" Target="https://sedai.io/blog/kubernetes-cost-eks-vs-aks-vs-gke" TargetMode="External"/><Relationship Id="rIdijdlup3xjo2_jradstdzn" Type="http://schemas.openxmlformats.org/officeDocument/2006/relationships/hyperlink" Target="https://www.cloudoptimo.com/blog/eks-vs-gke-vs-aks-best-managed-kubernetes-service-in-2026/" TargetMode="External"/><Relationship Id="rIdp-po3x3isy2i9ole7lubh" Type="http://schemas.openxmlformats.org/officeDocument/2006/relationships/hyperlink" Target="https://www.hostinger.com/co/hosting-web" TargetMode="External"/><Relationship Id="rIdbgbk4swyhprzr9dy0vzaj" Type="http://schemas.openxmlformats.org/officeDocument/2006/relationships/hyperlink" Target="https://www.godaddy.com/resources/latam/desarrollo/compara-proveedores-colombia-hosting" TargetMode="External"/><Relationship Id="rIdrnjsi0ht0ppjxxrk9dfge" Type="http://schemas.openxmlformats.org/officeDocument/2006/relationships/hyperlink" Target="https://www.colombiacloud.co/cuanto-cuesta-hosting-colombia-2026/" TargetMode="External"/><Relationship Id="rId-dsl2en-fldel5xid0dbs" Type="http://schemas.openxmlformats.org/officeDocument/2006/relationships/hyperlink" Target="https://www.hostinger.com/co/tld/dominio-com" TargetMode="External"/><Relationship Id="rIds25xp7wvldvosox7_iubv" Type="http://schemas.openxmlformats.org/officeDocument/2006/relationships/hyperlink" Target="https://www.namecheap.com/domains/" TargetMode="External"/><Relationship Id="rIdsterxiku954uxfhiemuos" Type="http://schemas.openxmlformats.org/officeDocument/2006/relationships/hyperlink" Target="https://www.godaddy.com/resources/latam/stories/descubre-el-mejor-sitio-de-dominios-de-colombia" TargetMode="External"/><Relationship Id="rIdteneqf5ui8d2l7jvmoj4u" Type="http://schemas.openxmlformats.org/officeDocument/2006/relationships/hyperlink" Target="https://www.hostinger.com/co/hosting-web" TargetMode="External"/><Relationship Id="rIdbhyruvrrxnarx3ebkyd1o" Type="http://schemas.openxmlformats.org/officeDocument/2006/relationships/hyperlink" Target="https://www.godaddy.com/resources/latam/desarrollo/compara-proveedores-colombia-hosting" TargetMode="External"/><Relationship Id="rIdbhmpg3kkojnplnyc85dci" Type="http://schemas.openxmlformats.org/officeDocument/2006/relationships/hyperlink" Target="https://www.colombiacloud.co/cuanto-cuesta-hosting-colombia-2026/" TargetMode="External"/><Relationship Id="rIdjmv0ln65zioz8rnb37cc7" Type="http://schemas.openxmlformats.org/officeDocument/2006/relationships/hyperlink" Target="https://aws.amazon.com/lambda/pricing/" TargetMode="External"/><Relationship Id="rIdy-bhasqofmov74myxuakk" Type="http://schemas.openxmlformats.org/officeDocument/2006/relationships/hyperlink" Target="https://cloud.google.com/functions/pricing-1stgen" TargetMode="External"/><Relationship Id="rIdic82wwvdngzjlmn-jm-r_" Type="http://schemas.openxmlformats.org/officeDocument/2006/relationships/hyperlink" Target="https://azure.microsoft.com/en-us/pricing/details/functions/" TargetMode="External"/><Relationship Id="rIdjyr37ephgm0ne6wr_eswg" Type="http://schemas.openxmlformats.org/officeDocument/2006/relationships/hyperlink" Target="https://firebase.google.com/pricing" TargetMode="External"/><Relationship Id="rIdew5fjaodb0sy0hegbb6qn" Type="http://schemas.openxmlformats.org/officeDocument/2006/relationships/hyperlink" Target="https://supabase.com/pricing" TargetMode="External"/><Relationship Id="rIdi_4igacdx8c8l1i3si2om" Type="http://schemas.openxmlformats.org/officeDocument/2006/relationships/hyperlink" Target="https://appwrite.io/pricing" TargetMode="External"/><Relationship Id="rIdm9jdc1x-r9iek2poqt7h7" Type="http://schemas.openxmlformats.org/officeDocument/2006/relationships/hyperlink" Target="https://cloud.google.com/kubernetes-engine/pricing" TargetMode="External"/><Relationship Id="rId8ropfx2s0w3dapmthutrm" Type="http://schemas.openxmlformats.org/officeDocument/2006/relationships/hyperlink" Target="https://opensource.org/license/mit" TargetMode="External"/><Relationship Id="rIdrqv7b7a5-zsvmwc3axc41" Type="http://schemas.openxmlformats.org/officeDocument/2006/relationships/hyperlink" Target="https://www.php.net/license/index.php" TargetMode="External"/><Relationship Id="rIdpbjsayyvcs8f1brldojnl" Type="http://schemas.openxmlformats.org/officeDocument/2006/relationships/hyperlink" Target="https://www.mysql.com/products/community/" TargetMode="External"/><Relationship Id="rIdbv8knmiorgwmgumcwg6_y" Type="http://schemas.openxmlformats.org/officeDocument/2006/relationships/hyperlink" Target="https://github.com/pricing" TargetMode="External"/><Relationship Id="rIdkdebhwkx5ccxdh6jooaig" Type="http://schemas.openxmlformats.org/officeDocument/2006/relationships/hyperlink" Target="https://www.w3.org/standards/" TargetMode="External"/><Relationship Id="rIdrcnpufmoqhq7l7hysobbg" Type="http://schemas.openxmlformats.org/officeDocument/2006/relationships/hyperlink" Target="https://www.ecma-international.org/publications-and-standards/standards/ecma-262/" TargetMode="External"/><Relationship Id="rId4tibr6pg4r0tyyjqal5ka" Type="http://schemas.openxmlformats.org/officeDocument/2006/relationships/hyperlink" Target="https://git-scm.com/about" TargetMode="External"/><Relationship Id="rId4f363gmwvq5rrvako_47a" Type="http://schemas.openxmlformats.org/officeDocument/2006/relationships/hyperlink" Target="https://code.visualstudio.com/license/" TargetMode="External"/><Relationship Id="rIdew0erfcwx_f4jykrxsw7r" Type="http://schemas.openxmlformats.org/officeDocument/2006/relationships/hyperlink" Target="https://www.mapbox.com/pricing" TargetMode="External"/><Relationship Id="rIdeeanrqt8o0guv5d0veyey" Type="http://schemas.openxmlformats.org/officeDocument/2006/relationships/hyperlink" Target="https://www.openstreetmap.org/copyright" TargetMode="External"/><Relationship Id="rIdb6_xbju_tzlepme6utiu8" Type="http://schemas.openxmlformats.org/officeDocument/2006/relationships/hyperlink" Target="https://www.alkosto.com/computadores-tablet/c/BI_COMP_ALKOS" TargetMode="External"/><Relationship Id="rId6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2026-07-03T04:04:26.366Z</dcterms:created>
  <dcterms:modified xsi:type="dcterms:W3CDTF">2026-07-03T04:04:26.382Z</dcterms:modified>
</cp:coreProperties>
</file>

<file path=docProps/custom.xml><?xml version="1.0" encoding="utf-8"?>
<Properties xmlns="http://schemas.openxmlformats.org/officeDocument/2006/custom-properties" xmlns:vt="http://schemas.openxmlformats.org/officeDocument/2006/docPropsVTypes"/>
</file>