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qonto-carbon-ledger</w:t>
      </w:r>
    </w:p>
    <w:p>
      <w:pPr>
        <w:jc w:val="center"/>
      </w:pPr>
      <w:r>
        <w:rPr>
          <w:b/>
          <w:color w:val="1D1B29"/>
          <w:sz w:val="26"/>
        </w:rPr>
        <w:t>Your bank statement is secretly a carbon ledger — an approximate footprint from real spending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100% read-only  ·  ±50% printed everywhere  ·  Sourced &amp; dated factors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Small businesses never do a carbon assessment — not because they don't care, but because they have no data, no time, and no budget for a consultant. Here's the thing: bank debits ARE data. Every euro spent has a footprint, and the skill reads it straight from the Qonto account:</w:t>
      </w:r>
    </w:p>
    <w:p>
      <w:pPr>
        <w:pStyle w:val="ListBullet"/>
        <w:spacing w:after="60"/>
      </w:pPr>
      <w:r>
        <w:rPr>
          <w:sz w:val="21"/>
        </w:rPr>
        <w:t>1. Approximate annual footprint — spend-based method: debits classified into emission categories × monetary emission factors (kgCO2e/€, ADEME-style monetary ratios), embedded, sourced and dated — with the ±50% uncertainty printed on every figure</w:t>
      </w:r>
    </w:p>
    <w:p>
      <w:pPr>
        <w:pStyle w:val="ListBullet"/>
        <w:spacing w:after="60"/>
      </w:pPr>
      <w:r>
        <w:rPr>
          <w:sz w:val="21"/>
        </w:rPr>
        <w:t>2. Dominant categories — the 2-3 categories concentrating most emissions, matched to the amounts actually spent</w:t>
      </w:r>
    </w:p>
    <w:p>
      <w:pPr>
        <w:pStyle w:val="ListBullet"/>
        <w:spacing w:after="60"/>
      </w:pPr>
      <w:r>
        <w:rPr>
          <w:sz w:val="21"/>
        </w:rPr>
        <w:t>3. Trend — year over year across 24-36 months of history</w:t>
      </w:r>
    </w:p>
    <w:p>
      <w:pPr>
        <w:pStyle w:val="ListBullet"/>
        <w:spacing w:after="60"/>
      </w:pPr>
      <w:r>
        <w:rPr>
          <w:sz w:val="21"/>
        </w:rPr>
        <w:t>4. Top-3 levers — the most effective actions given real spending (lever #1 is often free), and never a carbon offset for sale</w:t>
      </w:r>
    </w:p>
    <w:p>
      <w:r>
        <w:rPr>
          <w:b/>
          <w:i w:val="0"/>
          <w:sz w:val="21"/>
        </w:rPr>
        <w:t>An orientation pre-assessment, not a regulatory report — and the skill says so itself, loudly. The first carbon number most small businesses will ever see — for two minutes of their Monday morning.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Factors calibrated for France / EU. Other Qonto countries (DE, ES, IT…): identical method, factors flagged as needing adaptation (electricity mix, prices) — stated plainly, estimate still produced and tagged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≥ 6 months of history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Below that: annualization with an explicit warning. 24-36 months for the trend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Optional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Datagouv MCP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Optional — cross-checks against current ADEME datasets; otherwise embedded (sourced, dated) factors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Optional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Qonto labels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Optional — sharpen the classification of ambiguous debits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(zero writes, 100% read)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Honest scope, announced: goods, services and energy. Excluded and said to be excluded: internal transfers, salaries, taxes, VAT payments, loan repayments, dividends — financial flows carry no emission factor</w:t>
      </w:r>
    </w:p>
    <w:p>
      <w:pPr>
        <w:pStyle w:val="ListBullet"/>
        <w:spacing w:after="60"/>
      </w:pPr>
      <w:r>
        <w:rPr>
          <w:sz w:val="21"/>
        </w:rPr>
        <w:t>Normalized counterparties (case, accents, spellings merged) + labels + supplier invoices; list_cash_flow_categories returns 403 on the claude.ai connector → labels are the fallback</w:t>
      </w:r>
    </w:p>
    <w:p>
      <w:pPr>
        <w:pStyle w:val="ListBullet"/>
        <w:spacing w:after="60"/>
      </w:pPr>
      <w:r>
        <w:rPr>
          <w:sz w:val="21"/>
        </w:rPr>
        <w:t>Visible 'unclassified' bucket with its share; above ~20% of spend the estimate is declared weak and the skill suggests labelling the top counterparties</w:t>
      </w:r>
    </w:p>
    <w:p>
      <w:pPr>
        <w:pStyle w:val="ListBullet"/>
        <w:spacing w:after="60"/>
      </w:pPr>
      <w:r>
        <w:rPr>
          <w:sz w:val="21"/>
        </w:rPr>
        <w:t>Excl-VAT amounts: vat_amount when present, else ÷ 1.20 — count of estimated lines disclosed</w:t>
      </w:r>
    </w:p>
    <w:p>
      <w:pPr>
        <w:pStyle w:val="ListBullet"/>
        <w:spacing w:after="60"/>
      </w:pPr>
      <w:r>
        <w:rPr>
          <w:sz w:val="21"/>
        </w:rPr>
        <w:t>One-off purchases flagged apart (≥ ~€5,000): a vehicle bought once doesn't masquerade as a recurring emission</w:t>
      </w:r>
    </w:p>
    <w:p>
      <w:pPr>
        <w:pStyle w:val="ListBullet"/>
        <w:spacing w:after="60"/>
      </w:pPr>
      <w:r>
        <w:rPr>
          <w:sz w:val="21"/>
        </w:rPr>
        <w:t>Short history → annualized with a warning · empty account → the skill explains the method and stops there · pagination ≤ 50 everywhere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100% read, no write, nothing to approve</w:t>
      </w:r>
    </w:p>
    <w:p>
      <w:r>
        <w:rPr>
          <w:b/>
          <w:i w:val="0"/>
          <w:sz w:val="21"/>
        </w:rPr>
        <w:t>🔒 Solid arrows only: this skill is 100% read. No write, no transfer request, no payment — there is literally nothing to approve. The only deliverable is information: tables and a dashboard. And it never sells carbon offsets.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🧮 Embedded emission factors (indicative, spend-based method)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51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53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Factor (kgCO2e/€ excl. VAT, indicative central value)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/>
            </w:pPr>
            <w:r>
              <w:rPr>
                <w:b/>
                <w:sz w:val="19"/>
              </w:rPr>
              <w:t>Energy — vehicle fuel</w:t>
            </w:r>
          </w:p>
        </w:tc>
        <w:tc>
          <w:tcPr>
            <w:tcW w:type="dxa" w:w="4535"/>
          </w:tcPr>
          <w:p>
            <w:pPr>
              <w:keepNext/>
            </w:pPr>
            <w:r>
              <w:rPr>
                <w:sz w:val="19"/>
              </w:rPr>
              <w:t>~1.5</w:t>
            </w:r>
          </w:p>
        </w:tc>
      </w:tr>
      <w:tr>
        <w:trPr>
          <w:cantSplit/>
        </w:trPr>
        <w:tc>
          <w:tcPr>
            <w:tcW w:type="dxa" w:w="510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Energy — electricity (FR mix)</w:t>
            </w:r>
          </w:p>
        </w:tc>
        <w:tc>
          <w:tcPr>
            <w:tcW w:type="dxa" w:w="4535"/>
            <w:shd w:val="clear" w:fill="F1EDFF"/>
          </w:tcPr>
          <w:p>
            <w:pPr>
              <w:keepNext/>
            </w:pPr>
            <w:r>
              <w:rPr>
                <w:sz w:val="19"/>
              </w:rPr>
              <w:t>~0.25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/>
            </w:pPr>
            <w:r>
              <w:rPr>
                <w:b/>
                <w:sz w:val="19"/>
              </w:rPr>
              <w:t>Energy — gas / heating</w:t>
            </w:r>
          </w:p>
        </w:tc>
        <w:tc>
          <w:tcPr>
            <w:tcW w:type="dxa" w:w="4535"/>
          </w:tcPr>
          <w:p>
            <w:pPr>
              <w:keepNext/>
            </w:pPr>
            <w:r>
              <w:rPr>
                <w:sz w:val="19"/>
              </w:rPr>
              <w:t>~1.9</w:t>
            </w:r>
          </w:p>
        </w:tc>
      </w:tr>
      <w:tr>
        <w:trPr>
          <w:cantSplit/>
        </w:trPr>
        <w:tc>
          <w:tcPr>
            <w:tcW w:type="dxa" w:w="510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Travel — air</w:t>
            </w:r>
          </w:p>
        </w:tc>
        <w:tc>
          <w:tcPr>
            <w:tcW w:type="dxa" w:w="4535"/>
            <w:shd w:val="clear" w:fill="F1EDFF"/>
          </w:tcPr>
          <w:p>
            <w:pPr>
              <w:keepNext/>
            </w:pPr>
            <w:r>
              <w:rPr>
                <w:sz w:val="19"/>
              </w:rPr>
              <w:t>~1.2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/>
            </w:pPr>
            <w:r>
              <w:rPr>
                <w:b/>
                <w:sz w:val="19"/>
              </w:rPr>
              <w:t>Travel — rail (FR)</w:t>
            </w:r>
          </w:p>
        </w:tc>
        <w:tc>
          <w:tcPr>
            <w:tcW w:type="dxa" w:w="4535"/>
          </w:tcPr>
          <w:p>
            <w:pPr>
              <w:keepNext/>
            </w:pPr>
            <w:r>
              <w:rPr>
                <w:sz w:val="19"/>
              </w:rPr>
              <w:t>~0.05</w:t>
            </w:r>
          </w:p>
        </w:tc>
      </w:tr>
      <w:tr>
        <w:trPr>
          <w:cantSplit/>
        </w:trPr>
        <w:tc>
          <w:tcPr>
            <w:tcW w:type="dxa" w:w="510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Travel — road, taxi/VTC, freight</w:t>
            </w:r>
          </w:p>
        </w:tc>
        <w:tc>
          <w:tcPr>
            <w:tcW w:type="dxa" w:w="4535"/>
            <w:shd w:val="clear" w:fill="F1EDFF"/>
          </w:tcPr>
          <w:p>
            <w:pPr>
              <w:keepNext/>
            </w:pPr>
            <w:r>
              <w:rPr>
                <w:sz w:val="19"/>
              </w:rPr>
              <w:t>~0.5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/>
            </w:pPr>
            <w:r>
              <w:rPr>
                <w:b/>
                <w:sz w:val="19"/>
              </w:rPr>
              <w:t>Digital, cloud &amp; SaaS</w:t>
            </w:r>
          </w:p>
        </w:tc>
        <w:tc>
          <w:tcPr>
            <w:tcW w:type="dxa" w:w="4535"/>
          </w:tcPr>
          <w:p>
            <w:pPr>
              <w:keepNext/>
            </w:pPr>
            <w:r>
              <w:rPr>
                <w:sz w:val="19"/>
              </w:rPr>
              <w:t>~0.3</w:t>
            </w:r>
          </w:p>
        </w:tc>
      </w:tr>
      <w:tr>
        <w:trPr>
          <w:cantSplit/>
        </w:trPr>
        <w:tc>
          <w:tcPr>
            <w:tcW w:type="dxa" w:w="510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Purchased goods &amp; equipment</w:t>
            </w:r>
          </w:p>
        </w:tc>
        <w:tc>
          <w:tcPr>
            <w:tcW w:type="dxa" w:w="4535"/>
            <w:shd w:val="clear" w:fill="F1EDFF"/>
          </w:tcPr>
          <w:p>
            <w:pPr>
              <w:keepNext/>
            </w:pPr>
            <w:r>
              <w:rPr>
                <w:sz w:val="19"/>
              </w:rPr>
              <w:t>~0.5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/>
            </w:pPr>
            <w:r>
              <w:rPr>
                <w:b/>
                <w:sz w:val="19"/>
              </w:rPr>
              <w:t>Services &amp; professional fees</w:t>
            </w:r>
          </w:p>
        </w:tc>
        <w:tc>
          <w:tcPr>
            <w:tcW w:type="dxa" w:w="4535"/>
          </w:tcPr>
          <w:p>
            <w:pPr>
              <w:keepNext/>
            </w:pPr>
            <w:r>
              <w:rPr>
                <w:sz w:val="19"/>
              </w:rPr>
              <w:t>~0.15</w:t>
            </w:r>
          </w:p>
        </w:tc>
      </w:tr>
      <w:tr>
        <w:trPr>
          <w:cantSplit/>
        </w:trPr>
        <w:tc>
          <w:tcPr>
            <w:tcW w:type="dxa" w:w="510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Catering &amp; food</w:t>
            </w:r>
          </w:p>
        </w:tc>
        <w:tc>
          <w:tcPr>
            <w:tcW w:type="dxa" w:w="4535"/>
            <w:shd w:val="clear" w:fill="F1EDFF"/>
          </w:tcPr>
          <w:p>
            <w:pPr>
              <w:keepNext/>
            </w:pPr>
            <w:r>
              <w:rPr>
                <w:sz w:val="19"/>
              </w:rPr>
              <w:t>~0.7</w:t>
            </w:r>
          </w:p>
        </w:tc>
      </w:tr>
      <w:tr>
        <w:trPr>
          <w:cantSplit/>
        </w:trPr>
        <w:tc>
          <w:tcPr>
            <w:tcW w:type="dxa" w:w="5102"/>
          </w:tcPr>
          <w:p>
            <w:r>
              <w:rPr>
                <w:b/>
                <w:sz w:val="19"/>
              </w:rPr>
              <w:t>Insurance &amp; banking fees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~0.1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ADEME Base Empreinte-style monetary ratios, 2023-2024 vintage, ±50% and more — inherent to the monetary method (a cheap flight ≠ low emissions). Every displayed line carries its factor, source and vintage; a Datagouv cross-check is offered when that MCP is present.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tables: footprint + range, categories (factor + source + vintage per line), trend, top-3 levers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Interactive dashboard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HTML file/artifact: gauge with uncertainty band, category bars, trend, levers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When the host renders files; fallback to tables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problem (small businesses "have no data") → reading and classifying the account → the honesty about uncertainty → the "your footprint in two minutes" moment → the dashboard and the levers. It runs live on a real production account. (Shooting script kept internal, out of the repo.)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Automatic Datagouv cross-check (up-to-date ADEME datasets)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Optional multi-MCP — detected dynamically, embedded factors otherwise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Per-country factor packs (DE · ES · IT · AT · NL · BE · PT)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Qonto is pan-European; same method, local electricity mix and prices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Sector comparison of the footprint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Natural pairing with qonto-sector-benchmark (same spirit: your real flows × public reference data)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Monthly lever tracking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Is the footprint actually going down? Re-runs on the same categories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Line-item refinement from rich supplier invoices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When supplier invoices carry detail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Order-of-magnitude estimate, not a regulatory carbon report (BEGES / CSRD / GHG Protocol) — repeated in every report; for an official assessment: a specialized provider</w:t>
      </w:r>
    </w:p>
    <w:p>
      <w:pPr>
        <w:pStyle w:val="ListBullet"/>
        <w:spacing w:after="60"/>
      </w:pPr>
      <w:r>
        <w:rPr>
          <w:sz w:val="21"/>
        </w:rPr>
        <w:t>Every factor shown with its source and vintage; every figure with its range — no false precision ("~9 tCO2e (4.5–13.5)", never "9.37")</w:t>
      </w:r>
    </w:p>
    <w:p>
      <w:pPr>
        <w:pStyle w:val="ListBullet"/>
        <w:spacing w:after="60"/>
      </w:pPr>
      <w:r>
        <w:rPr>
          <w:sz w:val="21"/>
        </w:rPr>
        <w:t>Never sells or recommends carbon offsets</w:t>
      </w:r>
    </w:p>
    <w:p>
      <w:pPr>
        <w:pStyle w:val="ListBullet"/>
        <w:spacing w:after="60"/>
      </w:pPr>
      <w:r>
        <w:rPr>
          <w:sz w:val="21"/>
        </w:rPr>
        <w:t>100% read-only · IBANs masked (last 4 digits) · pagination ≤ 50 everywhere</w:t>
      </w:r>
    </w:p>
    <w:p>
      <w:pPr>
        <w:pStyle w:val="ListBullet"/>
        <w:spacing w:after="60"/>
      </w:pPr>
      <w:r>
        <w:rPr>
          <w:sz w:val="21"/>
        </w:rPr>
        <w:t>Country ≠ FR: identical method, factors flagged as needing adaptation — no fake local calibration</w:t>
      </w:r>
    </w:p>
    <w:p>
      <w:pPr>
        <w:spacing w:before="360"/>
        <w:jc w:val="center"/>
      </w:pPr>
      <w:r>
        <w:rPr>
          <w:color w:val="5A5670"/>
          <w:sz w:val="17"/>
        </w:rPr>
        <w:t>qonto-carbon-ledger · English documentation · Qonto × Anthropic MCP Hackathon · July 2026 · PR deliverable: SKILL.md · French version: doc-qonto-carbon-ledger.fr.docx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