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qonto-carbon-ledger</w:t>
      </w:r>
    </w:p>
    <w:p>
      <w:pPr>
        <w:jc w:val="center"/>
      </w:pPr>
      <w:r>
        <w:rPr>
          <w:b/>
          <w:color w:val="1D1B29"/>
          <w:sz w:val="26"/>
        </w:rPr>
        <w:t>Ton relevé bancaire est un registre carbone qui s'ignore — l'empreinte approchée depuis les dépenses réelles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100 % lecture seule  ·  ±50 % affiché partout  ·  Facteurs sourcés &amp; millésimés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Le bilan carbone, les TPE ne le font jamais — pas par désintérêt, mais faute de données, de temps et de budget consultant. Or les dépenses bancaires SONT une donnée : chaque euro dépensé a une empreinte. Le skill lit le compte Qonto et en tire :</w:t>
      </w:r>
    </w:p>
    <w:p>
      <w:pPr>
        <w:pStyle w:val="ListBullet"/>
        <w:spacing w:after="60"/>
      </w:pPr>
      <w:r>
        <w:rPr>
          <w:sz w:val="21"/>
        </w:rPr>
        <w:t>1. Empreinte annuelle approchée — méthode dépenses : débits classés par postes d'émission × facteurs monétaires (kgCO2e/€) type Base Empreinte ADEME, embarqués, sourcés et millésimés — incertitude ±50 % affichée sur chaque chiffre</w:t>
      </w:r>
    </w:p>
    <w:p>
      <w:pPr>
        <w:pStyle w:val="ListBullet"/>
        <w:spacing w:after="60"/>
      </w:pPr>
      <w:r>
        <w:rPr>
          <w:sz w:val="21"/>
        </w:rPr>
        <w:t>2. Postes dominants — les 2-3 postes qui concentrent l'essentiel des émissions, rapprochés des montants réellement dépensés</w:t>
      </w:r>
    </w:p>
    <w:p>
      <w:pPr>
        <w:pStyle w:val="ListBullet"/>
        <w:spacing w:after="60"/>
      </w:pPr>
      <w:r>
        <w:rPr>
          <w:sz w:val="21"/>
        </w:rPr>
        <w:t>3. Tendance — année par année sur 24-36 mois d'historique</w:t>
      </w:r>
    </w:p>
    <w:p>
      <w:pPr>
        <w:pStyle w:val="ListBullet"/>
        <w:spacing w:after="60"/>
      </w:pPr>
      <w:r>
        <w:rPr>
          <w:sz w:val="21"/>
        </w:rPr>
        <w:t>4. 3 leviers chiffrés — les actions les plus efficaces au regard des dépenses réelles (le levier n°1 est souvent gratuit), jamais de compensation vendue</w:t>
      </w:r>
    </w:p>
    <w:p>
      <w:r>
        <w:rPr>
          <w:b/>
          <w:i w:val="0"/>
          <w:sz w:val="21"/>
        </w:rPr>
        <w:t>C'est un pré-bilan d'orientation, pas un bilan réglementaire — et le skill le martèle lui-même.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Facteurs calibrés France / UE. Autres pays Qonto (DE, ES, IT…) : méthode identique, facteurs à adapter (mix électrique, prix) — annoncé clairement, estimation produite et taguée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Historique ≥ 6 mois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En dessous : annualisation avec avertissement explicite. 24-36 mois pour la tendance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Optionnel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Datagouv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Optionnel — recoupement avec les référentiels ADEME ; sinon facteurs embarqués (sourcés, millésimés)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Optionnel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Labels Qonto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Optionnels — améliorent la classification des débits ambigus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Optionnel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(0 écriture, 100 % lecture)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Périmètre honnête, annoncé : biens, services et énergie. Exclus et dits exclus : virements internes, salaires, impôts, TVA, remboursements d'emprunt, dividendes — les flux financiers n'ont pas de facteur d'émission</w:t>
      </w:r>
    </w:p>
    <w:p>
      <w:pPr>
        <w:pStyle w:val="ListBullet"/>
        <w:spacing w:after="60"/>
      </w:pPr>
      <w:r>
        <w:rPr>
          <w:sz w:val="21"/>
        </w:rPr>
        <w:t>Contreparties normalisées (casse, accents, graphies fusionnées) + labels + factures fournisseurs ; list_cash_flow_categories renvoie 403 sur le connecteur claude.ai → repli sur les labels</w:t>
      </w:r>
    </w:p>
    <w:p>
      <w:pPr>
        <w:pStyle w:val="ListBullet"/>
        <w:spacing w:after="60"/>
      </w:pPr>
      <w:r>
        <w:rPr>
          <w:sz w:val="21"/>
        </w:rPr>
        <w:t>Poste « non classé » visible avec sa part ; au-delà de ~20 % des dépenses, l'estimation est déclarée fragile et le skill propose de labelliser les principales contreparties</w:t>
      </w:r>
    </w:p>
    <w:p>
      <w:pPr>
        <w:pStyle w:val="ListBullet"/>
        <w:spacing w:after="60"/>
      </w:pPr>
      <w:r>
        <w:rPr>
          <w:sz w:val="21"/>
        </w:rPr>
        <w:t>Montants HT : vat_amount quand il existe, sinon ÷ 1,20 — nombre de lignes estimées annoncé</w:t>
      </w:r>
    </w:p>
    <w:p>
      <w:pPr>
        <w:pStyle w:val="ListBullet"/>
        <w:spacing w:after="60"/>
      </w:pPr>
      <w:r>
        <w:rPr>
          <w:sz w:val="21"/>
        </w:rPr>
        <w:t>Gros achats ponctuels isolés (≥ ~5 000 €) : un véhicule acheté une fois ne se déguise pas en émission récurrente</w:t>
      </w:r>
    </w:p>
    <w:p>
      <w:pPr>
        <w:pStyle w:val="ListBullet"/>
        <w:spacing w:after="60"/>
      </w:pPr>
      <w:r>
        <w:rPr>
          <w:sz w:val="21"/>
        </w:rPr>
        <w:t>Historique court → annualisation avertie · compte vide → le skill explique la méthode et s'arrête · pagination ≤ 50 partout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100 % lecture, aucune écriture, rien à approuver</w:t>
      </w:r>
    </w:p>
    <w:p>
      <w:r>
        <w:rPr>
          <w:b/>
          <w:i w:val="0"/>
          <w:sz w:val="21"/>
        </w:rPr>
        <w:t>🔒 Que des traits pleins : ce skill est 100 % lecture. Aucune écriture, aucune demande de virement, aucun paiement — il n'y a littéralement rien à approuver. Le seul livrable est de l'information : des tableaux et un dashboard. Et il ne vend jamais de compensation carbone.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🧮 Facteurs d'émission embarqués (indicatifs, méthode dépenses)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51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Poste</w:t>
            </w:r>
          </w:p>
        </w:tc>
        <w:tc>
          <w:tcPr>
            <w:tcW w:type="dxa" w:w="453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Facteur (kgCO2e/€ HT, valeur centrale indicative)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/>
            </w:pPr>
            <w:r>
              <w:rPr>
                <w:b/>
                <w:sz w:val="19"/>
              </w:rPr>
              <w:t>Énergie — carburant</w:t>
            </w:r>
          </w:p>
        </w:tc>
        <w:tc>
          <w:tcPr>
            <w:tcW w:type="dxa" w:w="4535"/>
          </w:tcPr>
          <w:p>
            <w:pPr>
              <w:keepNext/>
            </w:pPr>
            <w:r>
              <w:rPr>
                <w:sz w:val="19"/>
              </w:rPr>
              <w:t>~1,5</w:t>
            </w:r>
          </w:p>
        </w:tc>
      </w:tr>
      <w:tr>
        <w:trPr>
          <w:cantSplit/>
        </w:trPr>
        <w:tc>
          <w:tcPr>
            <w:tcW w:type="dxa" w:w="510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Énergie — électricité (mix FR)</w:t>
            </w:r>
          </w:p>
        </w:tc>
        <w:tc>
          <w:tcPr>
            <w:tcW w:type="dxa" w:w="4535"/>
            <w:shd w:val="clear" w:fill="F1EDFF"/>
          </w:tcPr>
          <w:p>
            <w:pPr>
              <w:keepNext/>
            </w:pPr>
            <w:r>
              <w:rPr>
                <w:sz w:val="19"/>
              </w:rPr>
              <w:t>~0,25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/>
            </w:pPr>
            <w:r>
              <w:rPr>
                <w:b/>
                <w:sz w:val="19"/>
              </w:rPr>
              <w:t>Énergie — gaz / chauffage</w:t>
            </w:r>
          </w:p>
        </w:tc>
        <w:tc>
          <w:tcPr>
            <w:tcW w:type="dxa" w:w="4535"/>
          </w:tcPr>
          <w:p>
            <w:pPr>
              <w:keepNext/>
            </w:pPr>
            <w:r>
              <w:rPr>
                <w:sz w:val="19"/>
              </w:rPr>
              <w:t>~1,9</w:t>
            </w:r>
          </w:p>
        </w:tc>
      </w:tr>
      <w:tr>
        <w:trPr>
          <w:cantSplit/>
        </w:trPr>
        <w:tc>
          <w:tcPr>
            <w:tcW w:type="dxa" w:w="510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Déplacements — avion</w:t>
            </w:r>
          </w:p>
        </w:tc>
        <w:tc>
          <w:tcPr>
            <w:tcW w:type="dxa" w:w="4535"/>
            <w:shd w:val="clear" w:fill="F1EDFF"/>
          </w:tcPr>
          <w:p>
            <w:pPr>
              <w:keepNext/>
            </w:pPr>
            <w:r>
              <w:rPr>
                <w:sz w:val="19"/>
              </w:rPr>
              <w:t>~1,2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/>
            </w:pPr>
            <w:r>
              <w:rPr>
                <w:b/>
                <w:sz w:val="19"/>
              </w:rPr>
              <w:t>Déplacements — train (FR)</w:t>
            </w:r>
          </w:p>
        </w:tc>
        <w:tc>
          <w:tcPr>
            <w:tcW w:type="dxa" w:w="4535"/>
          </w:tcPr>
          <w:p>
            <w:pPr>
              <w:keepNext/>
            </w:pPr>
            <w:r>
              <w:rPr>
                <w:sz w:val="19"/>
              </w:rPr>
              <w:t>~0,05</w:t>
            </w:r>
          </w:p>
        </w:tc>
      </w:tr>
      <w:tr>
        <w:trPr>
          <w:cantSplit/>
        </w:trPr>
        <w:tc>
          <w:tcPr>
            <w:tcW w:type="dxa" w:w="510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Déplacements — route, taxi/VTC, fret</w:t>
            </w:r>
          </w:p>
        </w:tc>
        <w:tc>
          <w:tcPr>
            <w:tcW w:type="dxa" w:w="4535"/>
            <w:shd w:val="clear" w:fill="F1EDFF"/>
          </w:tcPr>
          <w:p>
            <w:pPr>
              <w:keepNext/>
            </w:pPr>
            <w:r>
              <w:rPr>
                <w:sz w:val="19"/>
              </w:rPr>
              <w:t>~0,5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/>
            </w:pPr>
            <w:r>
              <w:rPr>
                <w:b/>
                <w:sz w:val="19"/>
              </w:rPr>
              <w:t>Numérique, cloud &amp; SaaS</w:t>
            </w:r>
          </w:p>
        </w:tc>
        <w:tc>
          <w:tcPr>
            <w:tcW w:type="dxa" w:w="4535"/>
          </w:tcPr>
          <w:p>
            <w:pPr>
              <w:keepNext/>
            </w:pPr>
            <w:r>
              <w:rPr>
                <w:sz w:val="19"/>
              </w:rPr>
              <w:t>~0,3</w:t>
            </w:r>
          </w:p>
        </w:tc>
      </w:tr>
      <w:tr>
        <w:trPr>
          <w:cantSplit/>
        </w:trPr>
        <w:tc>
          <w:tcPr>
            <w:tcW w:type="dxa" w:w="510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Achats de biens &amp; équipement</w:t>
            </w:r>
          </w:p>
        </w:tc>
        <w:tc>
          <w:tcPr>
            <w:tcW w:type="dxa" w:w="4535"/>
            <w:shd w:val="clear" w:fill="F1EDFF"/>
          </w:tcPr>
          <w:p>
            <w:pPr>
              <w:keepNext/>
            </w:pPr>
            <w:r>
              <w:rPr>
                <w:sz w:val="19"/>
              </w:rPr>
              <w:t>~0,5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/>
            </w:pPr>
            <w:r>
              <w:rPr>
                <w:b/>
                <w:sz w:val="19"/>
              </w:rPr>
              <w:t>Services &amp; prestations intellectuelles</w:t>
            </w:r>
          </w:p>
        </w:tc>
        <w:tc>
          <w:tcPr>
            <w:tcW w:type="dxa" w:w="4535"/>
          </w:tcPr>
          <w:p>
            <w:pPr>
              <w:keepNext/>
            </w:pPr>
            <w:r>
              <w:rPr>
                <w:sz w:val="19"/>
              </w:rPr>
              <w:t>~0,15</w:t>
            </w:r>
          </w:p>
        </w:tc>
      </w:tr>
      <w:tr>
        <w:trPr>
          <w:cantSplit/>
        </w:trPr>
        <w:tc>
          <w:tcPr>
            <w:tcW w:type="dxa" w:w="510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Restauration &amp; alimentation</w:t>
            </w:r>
          </w:p>
        </w:tc>
        <w:tc>
          <w:tcPr>
            <w:tcW w:type="dxa" w:w="4535"/>
            <w:shd w:val="clear" w:fill="F1EDFF"/>
          </w:tcPr>
          <w:p>
            <w:pPr>
              <w:keepNext/>
            </w:pPr>
            <w:r>
              <w:rPr>
                <w:sz w:val="19"/>
              </w:rPr>
              <w:t>~0,7</w:t>
            </w:r>
          </w:p>
        </w:tc>
      </w:tr>
      <w:tr>
        <w:trPr>
          <w:cantSplit/>
        </w:trPr>
        <w:tc>
          <w:tcPr>
            <w:tcW w:type="dxa" w:w="5102"/>
          </w:tcPr>
          <w:p>
            <w:r>
              <w:rPr>
                <w:b/>
                <w:sz w:val="19"/>
              </w:rPr>
              <w:t>Assurance &amp; frais bancaires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~0,1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Ratios monétaires type Base Empreinte ADEME, millésime 2023-2024, ±50 % et plus — c'est inhérent à la méthode monétaire (un vol pas cher ≠ peu d'émissions). Chaque ligne affichée porte son facteur, sa source et son millésime ; recoupement Datagouv proposé si le MCP est présent.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Tableaux markdown : empreinte + fourchette, postes (facteur + source + millésime par ligne), tendance, 3 leviers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r>
              <w:rPr>
                <w:b/>
                <w:sz w:val="19"/>
              </w:rPr>
              <w:t>Dashboard interactif</w:t>
            </w:r>
          </w:p>
        </w:tc>
        <w:tc>
          <w:tcPr>
            <w:tcW w:type="dxa" w:w="3969"/>
            <w:shd w:val="clear" w:fill="F1EDFF"/>
          </w:tcPr>
          <w:p>
            <w:r>
              <w:rPr>
                <w:sz w:val="19"/>
              </w:rPr>
              <w:t>Fichier/artifact HTML : jauge avec bande d'incertitude, barres par poste, tendance, leviers</w:t>
            </w:r>
          </w:p>
        </w:tc>
        <w:tc>
          <w:tcPr>
            <w:tcW w:type="dxa" w:w="3061"/>
            <w:shd w:val="clear" w:fill="F1EDFF"/>
          </w:tcPr>
          <w:p>
            <w:r>
              <w:rPr>
                <w:sz w:val="19"/>
              </w:rPr>
              <w:t>Si l'hôte affiche les fichiers ; repli sur tableaux sinon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le problème (les TPE n'ont « pas de données ») → lecture et classification du compte → l'honnêteté sur l'incertitude → le moment « ton empreinte en 2 minutes » → dashboard et leviers. Tournée en live sur un compte de production réel.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Recoupement Datagouv automatique (référentiels ADEME à jour)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Multi-MCP optionnel — détecté dynamiquement, sinon facteurs embarqués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Facteurs par pays (DE · ES · IT · AT · NL · BE · PT)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Qonto est paneuropéen ; même méthode, mix électrique et prix locaux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Comparaison sectorielle de l'empreinte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Croisement naturel avec qonto-sector-benchmark (même esprit : tes flux × référentiels publics)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Suivi mensuel des leviers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L'empreinte baisse-t-elle vraiment ? Relance sur les mêmes postes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Affinage ligne à ligne par facture fournisseur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Quand les factures fournisseurs sont riches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Estimation d'ordre de grandeur, pas un bilan réglementaire (BEGES / CSRD / GHG Protocol) — rappelé dans chaque rapport ; pour un bilan officiel : prestataire spécialisé</w:t>
      </w:r>
    </w:p>
    <w:p>
      <w:pPr>
        <w:pStyle w:val="ListBullet"/>
        <w:spacing w:after="60"/>
      </w:pPr>
      <w:r>
        <w:rPr>
          <w:sz w:val="21"/>
        </w:rPr>
        <w:t>Chaque facteur affiché avec sa source et son millésime ; chaque chiffre avec sa fourchette — jamais de fausse précision (« ~9 tCO2e (4,5–13,5) », pas « 9,37 »)</w:t>
      </w:r>
    </w:p>
    <w:p>
      <w:pPr>
        <w:pStyle w:val="ListBullet"/>
        <w:spacing w:after="60"/>
      </w:pPr>
      <w:r>
        <w:rPr>
          <w:sz w:val="21"/>
        </w:rPr>
        <w:t>Jamais de compensation vendue ni recommandée</w:t>
      </w:r>
    </w:p>
    <w:p>
      <w:pPr>
        <w:pStyle w:val="ListBullet"/>
        <w:spacing w:after="60"/>
      </w:pPr>
      <w:r>
        <w:rPr>
          <w:sz w:val="21"/>
        </w:rPr>
        <w:t>100 % lecture seule · IBAN masqués (4 derniers chiffres) · pagination ≤ 50 partout</w:t>
      </w:r>
    </w:p>
    <w:p>
      <w:pPr>
        <w:pStyle w:val="ListBullet"/>
        <w:spacing w:after="60"/>
      </w:pPr>
      <w:r>
        <w:rPr>
          <w:sz w:val="21"/>
        </w:rPr>
        <w:t>Pays ≠ FR : méthode identique, facteurs annoncés comme à adapter — jamais de calibration locale prétendue</w:t>
      </w:r>
    </w:p>
    <w:p>
      <w:pPr>
        <w:spacing w:before="360"/>
        <w:jc w:val="center"/>
      </w:pPr>
      <w:r>
        <w:rPr>
          <w:color w:val="5A5670"/>
          <w:sz w:val="17"/>
        </w:rPr>
        <w:t>qonto-carbon-ledger · Documentation FR (pilotage) · Hackathon Qonto × Anthropic MCP · juillet 2026 · Livrable PR : SKILL.md · Version jury : doc-qonto-carbon-ledger.en.docx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