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54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>
        <w:trPr>
          <w:trHeight w:val="699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Architetture dei Sistemi di Elaborazione</w:t>
            </w:r>
            <w:r>
              <w:rPr>
                <w:b/>
                <w:lang w:val="it-IT"/>
              </w:rPr>
              <w:t xml:space="preserve"> </w:t>
            </w:r>
            <w:r>
              <w:rPr>
                <w:b/>
                <w:sz w:val="20"/>
                <w:lang w:val="it-IT"/>
              </w:rPr>
              <w:t xml:space="preserve">02GOLOV </w:t>
            </w:r>
            <w:r>
              <w:rPr>
                <w:b/>
                <w:sz w:val="20"/>
                <w:highlight w:val="red"/>
                <w:lang w:val="it-IT"/>
              </w:rPr>
              <w:t xml:space="preserve">[</w:t>
            </w:r>
            <w:r>
              <w:rPr>
                <w:b/>
                <w:sz w:val="20"/>
                <w:highlight w:val="red"/>
                <w:lang w:val="it-IT"/>
              </w:rPr>
              <w:t xml:space="preserve">GRB</w:t>
            </w:r>
            <w:r>
              <w:rPr>
                <w:b/>
                <w:sz w:val="20"/>
                <w:highlight w:val="red"/>
                <w:lang w:val="it-IT"/>
              </w:rPr>
              <w:t xml:space="preserve">-Z</w:t>
            </w:r>
            <w:r>
              <w:rPr>
                <w:b/>
                <w:sz w:val="20"/>
                <w:highlight w:val="red"/>
                <w:lang w:val="it-IT"/>
              </w:rPr>
              <w:t xml:space="preserve">ZZ</w:t>
            </w:r>
            <w:r>
              <w:rPr>
                <w:b/>
                <w:sz w:val="20"/>
                <w:highlight w:val="red"/>
                <w:lang w:val="it-IT"/>
              </w:rPr>
              <w:t xml:space="preserve">]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center"/>
            </w:pPr>
            <w:r>
              <w:t xml:space="preserve">Delivery date: </w:t>
            </w:r>
            <w:r/>
          </w:p>
          <w:p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  <w:highlight w:val="red"/>
              </w:rPr>
              <w:t xml:space="preserve">1</w:t>
            </w:r>
            <w:r>
              <w:rPr>
                <w:b/>
                <w:bCs/>
                <w:highlight w:val="red"/>
                <w:vertAlign w:val="superscript"/>
              </w:rPr>
              <w:t xml:space="preserve">st</w:t>
            </w:r>
            <w:r>
              <w:rPr>
                <w:b/>
                <w:bCs/>
                <w:highlight w:val="red"/>
              </w:rPr>
              <w:t xml:space="preserve"> November 2022</w:t>
            </w:r>
            <w:r/>
          </w:p>
        </w:tc>
      </w:tr>
      <w:tr>
        <w:trPr>
          <w:trHeight w:val="294"/>
        </w:trPr>
        <w:tc>
          <w:tcPr>
            <w:tcW w:w="3681" w:type="dxa"/>
            <w:textDirection w:val="lrTb"/>
            <w:noWrap w:val="false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3</w:t>
            </w:r>
            <w:r/>
          </w:p>
        </w:tc>
        <w:tc>
          <w:tcPr>
            <w:tcW w:w="4949" w:type="dxa"/>
            <w:textDirection w:val="lrTb"/>
            <w:noWrap w:val="false"/>
          </w:tcPr>
          <w:p>
            <w:pPr>
              <w:jc w:val="both"/>
            </w:pPr>
            <w:r>
              <w:t xml:space="preserve">Expected delivery of lab_</w:t>
            </w:r>
            <w:r>
              <w:t xml:space="preserve">0</w:t>
            </w:r>
            <w:r>
              <w:t xml:space="preserve">3</w:t>
            </w:r>
            <w:r>
              <w:t xml:space="preserve">.zip </w:t>
            </w:r>
            <w:r>
              <w:t xml:space="preserve">must </w:t>
            </w:r>
            <w:r>
              <w:t xml:space="preserve">includ</w:t>
            </w:r>
            <w:r>
              <w:t xml:space="preserve">e</w:t>
            </w:r>
            <w:r>
              <w:t xml:space="preserve">:</w:t>
            </w:r>
            <w:r/>
          </w:p>
          <w:p>
            <w:pPr>
              <w:pStyle w:val="853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</w:t>
            </w:r>
            <w:r>
              <w:rPr>
                <w:rFonts w:ascii="Courier New" w:hAnsi="Courier New" w:cs="Courier New"/>
                <w:highlight w:val="yellow"/>
              </w:rPr>
              <w:t xml:space="preserve">a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>
              <w:rPr>
                <w:rFonts w:ascii="Courier New" w:hAnsi="Courier New" w:cs="Courier New"/>
                <w:highlight w:val="yellow"/>
              </w:rPr>
              <w:t xml:space="preserve">, 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_b.s </w:t>
            </w:r>
            <w:r>
              <w:rPr>
                <w:highlight w:val="yellow"/>
              </w:rPr>
              <w:t xml:space="preserve"> and </w:t>
            </w:r>
            <w:r>
              <w:rPr>
                <w:rFonts w:ascii="Courier New" w:hAnsi="Courier New" w:cs="Courier New"/>
                <w:highlight w:val="yellow"/>
              </w:rPr>
              <w:t xml:space="preserve">program_</w:t>
            </w:r>
            <w:r>
              <w:rPr>
                <w:rFonts w:ascii="Courier New" w:hAnsi="Courier New" w:cs="Courier New"/>
                <w:highlight w:val="yellow"/>
              </w:rPr>
              <w:t xml:space="preserve">1</w:t>
            </w:r>
            <w:r>
              <w:rPr>
                <w:rFonts w:ascii="Courier New" w:hAnsi="Courier New" w:cs="Courier New"/>
                <w:highlight w:val="yellow"/>
              </w:rPr>
              <w:t xml:space="preserve">_c</w:t>
            </w:r>
            <w:r>
              <w:rPr>
                <w:rFonts w:ascii="Courier New" w:hAnsi="Courier New" w:cs="Courier New"/>
                <w:highlight w:val="yellow"/>
              </w:rPr>
              <w:t xml:space="preserve">.s</w:t>
            </w:r>
            <w:r/>
          </w:p>
          <w:p>
            <w:pPr>
              <w:pStyle w:val="853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 xml:space="preserve">this file compiled </w:t>
            </w:r>
            <w:r>
              <w:rPr>
                <w:highlight w:val="yellow"/>
              </w:rPr>
              <w:t xml:space="preserve">and if </w:t>
            </w:r>
            <w:r>
              <w:rPr>
                <w:highlight w:val="yellow"/>
              </w:rPr>
              <w:t xml:space="preserve">possible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in pdf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format</w:t>
            </w:r>
            <w:r>
              <w:rPr>
                <w:highlight w:val="yellow"/>
              </w:rPr>
              <w:t xml:space="preserve">.</w:t>
            </w:r>
            <w:r>
              <w:t xml:space="preserve"> </w:t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>
        <w:t xml:space="preserve">P</w:t>
      </w:r>
      <w:r>
        <w:t xml:space="preserve">lease</w:t>
      </w:r>
      <w:r>
        <w:t xml:space="preserve">,</w:t>
      </w:r>
      <w:r>
        <w:t xml:space="preserve"> </w:t>
      </w:r>
      <w:r>
        <w:t xml:space="preserve">configure </w:t>
      </w:r>
      <w:r>
        <w:t xml:space="preserve">the </w:t>
      </w:r>
      <w:r>
        <w:t xml:space="preserve">win</w:t>
      </w:r>
      <w:r>
        <w:t xml:space="preserve">MIPS64 </w:t>
      </w:r>
      <w:r>
        <w:t xml:space="preserve">simulator</w:t>
      </w:r>
      <w:r>
        <w:t xml:space="preserve"> </w:t>
      </w:r>
      <w:r>
        <w:t xml:space="preserve">with the </w:t>
      </w:r>
      <w:r>
        <w:rPr>
          <w:i/>
        </w:rPr>
        <w:t xml:space="preserve">Base Configuration</w:t>
      </w:r>
      <w:r>
        <w:t xml:space="preserve"> provided in </w:t>
      </w:r>
      <w:r>
        <w:t xml:space="preserve">the following</w:t>
      </w:r>
      <w:r>
        <w:t xml:space="preserve">:</w:t>
      </w:r>
      <w:r/>
    </w:p>
    <w:p>
      <w:pPr>
        <w:numPr>
          <w:ilvl w:val="0"/>
          <w:numId w:val="5"/>
        </w:numPr>
        <w:jc w:val="both"/>
      </w:pPr>
      <w:r>
        <w:t xml:space="preserve">Code address bus: 12</w:t>
      </w:r>
      <w:r/>
    </w:p>
    <w:p>
      <w:pPr>
        <w:pStyle w:val="853"/>
        <w:numPr>
          <w:ilvl w:val="0"/>
          <w:numId w:val="5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4046024</wp:posOffset>
                </wp:positionH>
                <wp:positionV relativeFrom="paragraph">
                  <wp:posOffset>10991</wp:posOffset>
                </wp:positionV>
                <wp:extent cx="1421765" cy="1883410"/>
                <wp:effectExtent l="0" t="0" r="6985" b="2540"/>
                <wp:wrapSquare wrapText="bothSides"/>
                <wp:docPr id="1" name="Immagin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21765" cy="188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18.6pt;mso-position-horizontal:absolute;mso-position-vertical-relative:text;margin-top:0.9pt;mso-position-vertical:absolute;width:111.9pt;height:148.3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Data address bus: 12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FP arithmetic unit</w:t>
      </w:r>
      <w:r>
        <w:t xml:space="preserve"> (latency)</w:t>
      </w:r>
      <w:r>
        <w:t xml:space="preserve">: </w:t>
      </w:r>
      <w:r>
        <w:t xml:space="preserve">6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Pipelined </w:t>
      </w:r>
      <w:r>
        <w:t xml:space="preserve">multiplier unit (latency): </w:t>
      </w:r>
      <w:r>
        <w:t xml:space="preserve">8</w:t>
      </w:r>
      <w:r>
        <w:t xml:space="preserve"> stages</w:t>
      </w:r>
      <w:r/>
    </w:p>
    <w:p>
      <w:pPr>
        <w:numPr>
          <w:ilvl w:val="0"/>
          <w:numId w:val="5"/>
        </w:numPr>
        <w:jc w:val="both"/>
      </w:pPr>
      <w:r>
        <w:t xml:space="preserve">D</w:t>
      </w:r>
      <w:r>
        <w:t xml:space="preserve">ivider unit</w:t>
      </w:r>
      <w:r>
        <w:t xml:space="preserve"> (latency)</w:t>
      </w:r>
      <w:r>
        <w:t xml:space="preserve">: not pipelined unit, </w:t>
      </w:r>
      <w:r>
        <w:t xml:space="preserve">24</w:t>
      </w:r>
      <w:r>
        <w:t xml:space="preserve"> </w:t>
      </w:r>
      <w:r>
        <w:t xml:space="preserve">clock cycles</w:t>
      </w:r>
      <w:r/>
    </w:p>
    <w:p>
      <w:pPr>
        <w:numPr>
          <w:ilvl w:val="0"/>
          <w:numId w:val="5"/>
        </w:numPr>
        <w:jc w:val="both"/>
      </w:pPr>
      <w:r>
        <w:t xml:space="preserve">F</w:t>
      </w:r>
      <w:r>
        <w:t xml:space="preserve">orwarding is </w:t>
      </w:r>
      <w:r>
        <w:t xml:space="preserve">enable</w:t>
      </w:r>
      <w:r>
        <w:t xml:space="preserve">d</w:t>
      </w:r>
      <w:r/>
    </w:p>
    <w:p>
      <w:pPr>
        <w:numPr>
          <w:ilvl w:val="0"/>
          <w:numId w:val="5"/>
        </w:numPr>
        <w:jc w:val="both"/>
      </w:pPr>
      <w:r>
        <w:t xml:space="preserve">Branch prediction is disabled</w:t>
      </w:r>
      <w:r/>
    </w:p>
    <w:p>
      <w:pPr>
        <w:numPr>
          <w:ilvl w:val="0"/>
          <w:numId w:val="5"/>
        </w:numPr>
        <w:jc w:val="both"/>
      </w:pPr>
      <w:r>
        <w:t xml:space="preserve">Branch delay slot is disabled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Integer ALU: 1 clock cycle</w:t>
      </w:r>
      <w:r/>
    </w:p>
    <w:p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Data memory: 1 clock cycle</w:t>
      </w:r>
      <w:r/>
    </w:p>
    <w:p>
      <w:pPr>
        <w:numPr>
          <w:ilvl w:val="0"/>
          <w:numId w:val="5"/>
        </w:numPr>
        <w:jc w:val="both"/>
      </w:pPr>
      <w:r>
        <w:rPr>
          <w:i/>
        </w:rPr>
        <w:t xml:space="preserve">Branch delay slot: 1 clock cycle</w:t>
      </w:r>
      <w:r>
        <w:t xml:space="preserve">.</w:t>
      </w:r>
      <w:r/>
    </w:p>
    <w:p>
      <w:pPr>
        <w:ind w:left="1080"/>
        <w:jc w:val="both"/>
      </w:pPr>
      <w:r/>
      <w:r/>
    </w:p>
    <w:p>
      <w:pPr>
        <w:numPr>
          <w:ilvl w:val="0"/>
          <w:numId w:val="10"/>
        </w:numPr>
        <w:jc w:val="both"/>
      </w:pPr>
      <w:r>
        <w:t xml:space="preserve">Starting from</w:t>
      </w:r>
      <w:r>
        <w:t xml:space="preserve"> the </w:t>
      </w:r>
      <w:r>
        <w:t xml:space="preserve">assembly program</w:t>
      </w:r>
      <w:r>
        <w:t xml:space="preserve"> </w:t>
      </w:r>
      <w:r>
        <w:t xml:space="preserve">you create</w:t>
      </w:r>
      <w:r>
        <w:t xml:space="preserve">d</w:t>
      </w:r>
      <w:r>
        <w:t xml:space="preserve"> in the previous lab called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.s</w:t>
      </w:r>
      <w:r>
        <w:t xml:space="preserve">:</w:t>
      </w:r>
      <w:r>
        <w:t xml:space="preserve"> </w:t>
      </w:r>
      <w:r/>
    </w:p>
    <w:p>
      <w:pPr>
        <w:ind w:left="360"/>
        <w:jc w:val="both"/>
      </w:pPr>
      <w:r/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for (i = 0; i &lt; </w:t>
      </w:r>
      <w:r>
        <w:rPr>
          <w:rFonts w:ascii="Arial Unicode MS" w:hAnsi="Arial Unicode MS" w:cs="Arial Unicode MS" w:eastAsia="Arial Unicode MS"/>
          <w:lang w:val="it-IT"/>
        </w:rPr>
        <w:t xml:space="preserve">6</w:t>
      </w:r>
      <w:r>
        <w:rPr>
          <w:rFonts w:ascii="Arial Unicode MS" w:hAnsi="Arial Unicode MS" w:cs="Arial Unicode MS" w:eastAsia="Arial Unicode MS"/>
          <w:lang w:val="it-IT"/>
        </w:rPr>
        <w:t xml:space="preserve">0; i+</w:t>
      </w:r>
      <w:r>
        <w:rPr>
          <w:rFonts w:ascii="Arial Unicode MS" w:hAnsi="Arial Unicode MS" w:cs="Arial Unicode MS" w:eastAsia="Arial Unicode MS"/>
          <w:lang w:val="it-IT"/>
        </w:rPr>
        <w:t xml:space="preserve">+){</w:t>
      </w:r>
      <w:r>
        <w:rPr>
          <w:rFonts w:ascii="Arial Unicode MS" w:hAnsi="Arial Unicode MS" w:cs="Arial Unicode MS" w:eastAsia="Arial Unicode MS"/>
          <w:lang w:val="it-IT"/>
        </w:rPr>
        <w:tab/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  <w:t xml:space="preserve">v5[i] = </w:t>
      </w:r>
      <w:r>
        <w:rPr>
          <w:rFonts w:ascii="Arial Unicode MS" w:hAnsi="Arial Unicode MS" w:cs="Arial Unicode MS" w:eastAsia="Arial Unicode MS"/>
          <w:lang w:val="it-IT"/>
        </w:rPr>
        <w:t xml:space="preserve">((</w:t>
      </w:r>
      <w:r>
        <w:rPr>
          <w:rFonts w:ascii="Arial Unicode MS" w:hAnsi="Arial Unicode MS" w:cs="Arial Unicode MS" w:eastAsia="Arial Unicode MS"/>
          <w:lang w:val="it-IT"/>
        </w:rPr>
        <w:t xml:space="preserve">v1[i]</w:t>
      </w:r>
      <w:r>
        <w:rPr>
          <w:rFonts w:ascii="Arial Unicode MS" w:hAnsi="Arial Unicode MS" w:cs="Arial Unicode MS" w:eastAsia="Arial Unicode MS"/>
          <w:lang w:val="it-IT"/>
        </w:rPr>
        <w:t xml:space="preserve">+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) *</w:t>
      </w:r>
      <w:r>
        <w:rPr>
          <w:rFonts w:ascii="Arial Unicode MS" w:hAnsi="Arial Unicode MS" w:cs="Arial Unicode MS" w:eastAsia="Arial Unicode MS"/>
          <w:lang w:val="it-IT"/>
        </w:rPr>
        <w:t xml:space="preserve"> v3[i</w:t>
      </w:r>
      <w:r>
        <w:rPr>
          <w:rFonts w:ascii="Arial Unicode MS" w:hAnsi="Arial Unicode MS" w:cs="Arial Unicode MS" w:eastAsia="Arial Unicode MS"/>
          <w:lang w:val="it-IT"/>
        </w:rPr>
        <w:t xml:space="preserve">]</w:t>
      </w:r>
      <w:r>
        <w:rPr>
          <w:rFonts w:ascii="Arial Unicode MS" w:hAnsi="Arial Unicode MS" w:cs="Arial Unicode MS" w:eastAsia="Arial Unicode MS"/>
          <w:lang w:val="it-IT"/>
        </w:rPr>
        <w:t xml:space="preserve">)+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ab/>
      </w:r>
      <w:r>
        <w:rPr>
          <w:rFonts w:ascii="Arial Unicode MS" w:hAnsi="Arial Unicode MS" w:cs="Arial Unicode MS" w:eastAsia="Arial Unicode MS"/>
          <w:lang w:val="it-IT"/>
        </w:rPr>
        <w:t xml:space="preserve">v6[i] =</w:t>
      </w:r>
      <w:r>
        <w:rPr>
          <w:rFonts w:ascii="Arial Unicode MS" w:hAnsi="Arial Unicode MS" w:cs="Arial Unicode MS" w:eastAsia="Arial Unicode MS"/>
          <w:lang w:val="it-IT"/>
        </w:rPr>
        <w:t xml:space="preserve"> </w:t>
      </w:r>
      <w:r>
        <w:rPr>
          <w:rFonts w:ascii="Arial Unicode MS" w:hAnsi="Arial Unicode MS" w:cs="Arial Unicode MS" w:eastAsia="Arial Unicode MS"/>
          <w:lang w:val="it-IT"/>
        </w:rPr>
        <w:t xml:space="preserve">v5[i]</w:t>
      </w:r>
      <w:r>
        <w:rPr>
          <w:rFonts w:ascii="Arial Unicode MS" w:hAnsi="Arial Unicode MS" w:cs="Arial Unicode MS" w:eastAsia="Arial Unicode MS"/>
          <w:lang w:val="it-IT"/>
        </w:rPr>
        <w:t xml:space="preserve">/(</w:t>
      </w:r>
      <w:r>
        <w:rPr>
          <w:rFonts w:ascii="Arial Unicode MS" w:hAnsi="Arial Unicode MS" w:cs="Arial Unicode MS" w:eastAsia="Arial Unicode MS"/>
          <w:lang w:val="it-IT"/>
        </w:rPr>
        <w:t xml:space="preserve">v4[i]</w:t>
      </w:r>
      <w:r>
        <w:rPr>
          <w:rFonts w:ascii="Arial Unicode MS" w:hAnsi="Arial Unicode MS" w:cs="Arial Unicode MS" w:eastAsia="Arial Unicode MS"/>
          <w:lang w:val="it-IT"/>
        </w:rPr>
        <w:t xml:space="preserve">*v1[i])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1440" w:firstLine="720"/>
        <w:jc w:val="both"/>
        <w:spacing w:line="260" w:lineRule="exact"/>
        <w:rPr>
          <w:rFonts w:ascii="Arial Unicode MS" w:hAnsi="Arial Unicode MS" w:cs="Arial Unicode MS" w:eastAsia="Arial Unicode MS"/>
          <w:lang w:val="it-IT"/>
        </w:rPr>
      </w:pPr>
      <w:r>
        <w:rPr>
          <w:rFonts w:ascii="Arial Unicode MS" w:hAnsi="Arial Unicode MS" w:cs="Arial Unicode MS" w:eastAsia="Arial Unicode MS"/>
          <w:lang w:val="it-IT"/>
        </w:rPr>
        <w:t xml:space="preserve">v7[i] = v6[i]*</w:t>
      </w:r>
      <w:r>
        <w:rPr>
          <w:rFonts w:ascii="Arial Unicode MS" w:hAnsi="Arial Unicode MS" w:cs="Arial Unicode MS" w:eastAsia="Arial Unicode MS"/>
          <w:lang w:val="it-IT"/>
        </w:rPr>
        <w:t xml:space="preserve">(</w:t>
      </w:r>
      <w:r>
        <w:rPr>
          <w:rFonts w:ascii="Arial Unicode MS" w:hAnsi="Arial Unicode MS" w:cs="Arial Unicode MS" w:eastAsia="Arial Unicode MS"/>
          <w:lang w:val="it-IT"/>
        </w:rPr>
        <w:t xml:space="preserve">v2[i]</w:t>
      </w:r>
      <w:r>
        <w:rPr>
          <w:rFonts w:ascii="Arial Unicode MS" w:hAnsi="Arial Unicode MS" w:cs="Arial Unicode MS" w:eastAsia="Arial Unicode MS"/>
          <w:lang w:val="it-IT"/>
        </w:rPr>
        <w:t xml:space="preserve">+v3[i])</w:t>
      </w:r>
      <w:r>
        <w:rPr>
          <w:rFonts w:ascii="Arial Unicode MS" w:hAnsi="Arial Unicode MS" w:cs="Arial Unicode MS" w:eastAsia="Arial Unicode MS"/>
          <w:lang w:val="it-IT"/>
        </w:rPr>
        <w:t xml:space="preserve">;</w:t>
      </w:r>
      <w:r/>
    </w:p>
    <w:p>
      <w:pPr>
        <w:ind w:left="720" w:firstLine="720"/>
        <w:jc w:val="both"/>
        <w:spacing w:line="260" w:lineRule="exact"/>
        <w:rPr>
          <w:rFonts w:ascii="Arial Unicode MS" w:hAnsi="Arial Unicode MS" w:cs="Arial Unicode MS" w:eastAsia="Arial Unicode MS"/>
        </w:rPr>
      </w:pPr>
      <w:r>
        <w:rPr>
          <w:rFonts w:ascii="Arial Unicode MS" w:hAnsi="Arial Unicode MS" w:cs="Arial Unicode MS" w:eastAsia="Arial Unicode MS"/>
        </w:rPr>
        <w:t xml:space="preserve">}</w:t>
      </w:r>
      <w:r/>
    </w:p>
    <w:p>
      <w:pPr>
        <w:jc w:val="both"/>
      </w:pPr>
      <w:r>
        <w:tab/>
      </w:r>
      <w:r/>
    </w:p>
    <w:p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>
        <w:t xml:space="preserve">structural</w:t>
      </w:r>
      <w:r>
        <w:t xml:space="preserve"> and control hazards that provoke a pipeline stall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>
        <w:t xml:space="preserve">program </w:t>
      </w:r>
      <w:r>
        <w:t xml:space="preserve">instructions </w:t>
      </w:r>
      <w:r>
        <w:t xml:space="preserve">in order to</w:t>
      </w:r>
      <w:r>
        <w:t xml:space="preserve"> eliminate </w:t>
      </w:r>
      <w:r>
        <w:t xml:space="preserve">as </w:t>
      </w:r>
      <w:r>
        <w:t xml:space="preserve">many </w:t>
      </w:r>
      <w:r>
        <w:t xml:space="preserve">hazards</w:t>
      </w:r>
      <w:r>
        <w:t xml:space="preserve"> as possible</w:t>
      </w:r>
      <w:r>
        <w:t xml:space="preserve">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a.s</w:t>
      </w:r>
      <w:r>
        <w:t xml:space="preserve">, enable the </w:t>
      </w:r>
      <w:r>
        <w:rPr>
          <w:i/>
        </w:rPr>
        <w:t xml:space="preserve">branch delay slot</w:t>
      </w:r>
      <w:r>
        <w:t xml:space="preserve"> and re-schedule some instructions in order to improve the previous program execution time. Compute 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 requires to execute, and compare the obtained results with the ones obtained by the simulator.</w:t>
      </w:r>
      <w:r/>
    </w:p>
    <w:p>
      <w:pPr>
        <w:ind w:left="1080"/>
        <w:jc w:val="both"/>
      </w:pPr>
      <w:r/>
      <w:r/>
    </w:p>
    <w:p>
      <w:pPr>
        <w:numPr>
          <w:ilvl w:val="2"/>
          <w:numId w:val="14"/>
        </w:numPr>
        <w:ind w:hanging="371"/>
        <w:jc w:val="both"/>
      </w:pPr>
      <w:r>
        <w:t xml:space="preserve">Unroll </w:t>
      </w:r>
      <w:r>
        <w:t xml:space="preserve">3</w:t>
      </w:r>
      <w:r>
        <w:t xml:space="preserve"> times the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b.s</w:t>
      </w:r>
      <w:r>
        <w:t xml:space="preserve">), if necessary re-schedule some instructions and </w:t>
      </w:r>
      <w:r>
        <w:t xml:space="preserve">increase the </w:t>
      </w:r>
      <w:r>
        <w:t xml:space="preserve">number of </w:t>
      </w:r>
      <w:r>
        <w:t xml:space="preserve">used registers</w:t>
      </w:r>
      <w:r>
        <w:t xml:space="preserve">.  Compute </w:t>
      </w:r>
      <w:r>
        <w:t xml:space="preserve">manually the number of clock cycles the new program (</w:t>
      </w:r>
      <w:r>
        <w:rPr>
          <w:rFonts w:ascii="Courier New" w:hAnsi="Courier New" w:cs="Courier New"/>
          <w:b/>
          <w:highlight w:val="yellow"/>
        </w:rPr>
        <w:t xml:space="preserve">program_</w:t>
      </w:r>
      <w:r>
        <w:rPr>
          <w:rFonts w:ascii="Courier New" w:hAnsi="Courier New" w:cs="Courier New"/>
          <w:b/>
          <w:highlight w:val="yellow"/>
        </w:rPr>
        <w:t xml:space="preserve">1</w:t>
      </w:r>
      <w:r>
        <w:rPr>
          <w:rFonts w:ascii="Courier New" w:hAnsi="Courier New" w:cs="Courier New"/>
          <w:b/>
          <w:highlight w:val="yellow"/>
        </w:rPr>
        <w:t xml:space="preserve">_</w:t>
      </w:r>
      <w:r>
        <w:rPr>
          <w:rFonts w:ascii="Courier New" w:hAnsi="Courier New" w:cs="Courier New"/>
          <w:b/>
          <w:highlight w:val="yellow"/>
        </w:rPr>
        <w:t xml:space="preserve">c.s</w:t>
      </w:r>
      <w:r>
        <w:t xml:space="preserve">) requires to execute, and compare the obtained results with the ones obtained by the simulator.</w:t>
      </w:r>
      <w:r/>
    </w:p>
    <w:p>
      <w:pPr>
        <w:pStyle w:val="853"/>
      </w:pPr>
      <w:r/>
      <w:r/>
    </w:p>
    <w:p>
      <w:pPr>
        <w:pStyle w:val="853"/>
      </w:pPr>
      <w:r>
        <w:rPr>
          <w:highlight w:val="yellow"/>
        </w:rPr>
        <w:t xml:space="preserve">Complete the following table with the obtained results</w:t>
      </w:r>
      <w:r>
        <w:t xml:space="preserve">:</w:t>
      </w:r>
      <w:r/>
    </w:p>
    <w:p>
      <w:pPr>
        <w:pStyle w:val="853"/>
      </w:pPr>
      <w:r/>
      <w:r/>
    </w:p>
    <w:tbl>
      <w:tblPr>
        <w:tblStyle w:val="854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</w:t>
            </w:r>
            <w:r/>
          </w:p>
          <w:p>
            <w:pPr>
              <w:pStyle w:val="853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  <w:p>
            <w:pPr>
              <w:pStyle w:val="853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853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>
              <w:rPr>
                <w:b/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  <w:t xml:space="preserve">ycle</w:t>
            </w:r>
            <w:r>
              <w:rPr>
                <w:b/>
                <w:sz w:val="20"/>
                <w:szCs w:val="20"/>
              </w:rPr>
              <w:t xml:space="preserve"> computation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a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</w:rPr>
              <w:t xml:space="preserve"> 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b.s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program_</w:t>
            </w:r>
            <w:r>
              <w:rPr>
                <w:rFonts w:ascii="Courier New" w:hAnsi="Courier New" w:cs="Courier New"/>
                <w:b/>
                <w:sz w:val="20"/>
              </w:rPr>
              <w:t xml:space="preserve">1</w:t>
            </w:r>
            <w:r>
              <w:rPr>
                <w:rFonts w:ascii="Courier New" w:hAnsi="Courier New" w:cs="Courier New"/>
                <w:b/>
                <w:sz w:val="20"/>
              </w:rPr>
              <w:t xml:space="preserve">_</w:t>
            </w:r>
            <w:r>
              <w:rPr>
                <w:rFonts w:ascii="Courier New" w:hAnsi="Courier New" w:cs="Courier New"/>
                <w:b/>
                <w:sz w:val="20"/>
              </w:rPr>
              <w:t xml:space="preserve">c</w:t>
            </w:r>
            <w:r>
              <w:rPr>
                <w:rFonts w:ascii="Courier New" w:hAnsi="Courier New" w:cs="Courier New"/>
                <w:b/>
                <w:sz w:val="20"/>
              </w:rPr>
              <w:t xml:space="preserve">.s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hand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3905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3360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3360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  <w:r/>
          </w:p>
        </w:tc>
      </w:tr>
      <w:tr>
        <w:trPr/>
        <w:tc>
          <w:tcPr>
            <w:tcW w:w="1985" w:type="dxa"/>
            <w:textDirection w:val="lrTb"/>
            <w:noWrap w:val="false"/>
          </w:tcPr>
          <w:p>
            <w:pPr>
              <w:pStyle w:val="853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By simulation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4029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left"/>
            </w:pPr>
            <w:r>
              <w:rPr>
                <w:sz w:val="20"/>
                <w:szCs w:val="20"/>
                <w:u w:val="single"/>
                <w:lang w:val="it-IT"/>
              </w:rPr>
              <w:t xml:space="preserve">3726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853"/>
              <w:ind w:left="0"/>
              <w:jc w:val="left"/>
            </w:pPr>
            <w:r>
              <w:rPr>
                <w:sz w:val="20"/>
                <w:szCs w:val="20"/>
                <w:u w:val="single"/>
                <w:lang w:val="it-IT"/>
              </w:rPr>
              <w:t xml:space="preserve">3607</w:t>
            </w:r>
            <w:r>
              <w:rPr>
                <w:sz w:val="20"/>
                <w:szCs w:val="20"/>
                <w:u w:val="single"/>
              </w:rPr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pStyle w:val="853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lang w:val="it-IT"/>
              </w:rPr>
              <w:t xml:space="preserve">3567</w:t>
            </w:r>
            <w:r/>
          </w:p>
        </w:tc>
      </w:tr>
    </w:tbl>
    <w:p>
      <w:pPr>
        <w:jc w:val="both"/>
      </w:pPr>
      <w:r/>
      <w:r/>
    </w:p>
    <w:p>
      <w:pPr>
        <w:ind w:left="360"/>
        <w:jc w:val="both"/>
      </w:pPr>
      <w:r>
        <w:rPr>
          <w:highlight w:val="yellow"/>
        </w:rPr>
        <w:t xml:space="preserve">Compare the results obtained in point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1,</w:t>
      </w:r>
      <w:r>
        <w:rPr>
          <w:highlight w:val="yellow"/>
        </w:rPr>
        <w:t xml:space="preserve"> and</w:t>
      </w:r>
      <w:r>
        <w:rPr>
          <w:highlight w:val="yellow"/>
        </w:rPr>
        <w:t xml:space="preserve"> provide some explanation</w:t>
      </w:r>
      <w:r>
        <w:rPr>
          <w:highlight w:val="yellow"/>
        </w:rPr>
        <w:t xml:space="preserve"> in the case </w:t>
      </w:r>
      <w:r>
        <w:rPr>
          <w:highlight w:val="yellow"/>
        </w:rPr>
        <w:t xml:space="preserve">the results are different.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  <w:t xml:space="preserve">Eventual explanation:</w:t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p>
      <w:pPr>
        <w:jc w:val="both"/>
        <w:rPr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u w:val="single"/>
        </w:rPr>
      </w:r>
      <w:r/>
    </w:p>
    <w:sectPr>
      <w:footnotePr/>
      <w:endnotePr/>
      <w:type w:val="continuous"/>
      <w:pgSz w:w="12240" w:h="15840" w:orient="portrait"/>
      <w:pgMar w:top="993" w:right="1800" w:bottom="993" w:left="180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2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160" w:hanging="180"/>
        <w:tabs>
          <w:tab w:val="num" w:pos="2160" w:leader="none"/>
        </w:tabs>
      </w:pPr>
      <w:rPr>
        <w:rFonts w:ascii="Symbol" w:hAnsi="Symbol" w:hint="default"/>
      </w:rPr>
    </w:lvl>
    <w:lvl w:ilvl="3">
      <w:start w:val="1"/>
      <w:numFmt w:val="lowerLetter"/>
      <w:isLgl w:val="false"/>
      <w:suff w:val="tab"/>
      <w:lvlText w:val="%4)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bullet"/>
      <w:isLgl w:val="false"/>
      <w:suff w:val="tab"/>
      <w:lvlText w:val=""/>
      <w:lvlJc w:val="left"/>
      <w:pPr>
        <w:ind w:left="2520" w:hanging="180"/>
        <w:tabs>
          <w:tab w:val="num" w:pos="2520" w:leader="none"/>
        </w:tabs>
      </w:pPr>
      <w:rPr>
        <w:rFonts w:ascii="Symbol" w:hAnsi="Symbol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2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3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isLgl w:val="false"/>
      <w:suff w:val="tab"/>
      <w:lvlText w:val="%4."/>
      <w:lvlJc w:val="left"/>
      <w:pPr>
        <w:ind w:left="1440" w:hanging="360"/>
      </w:pPr>
    </w:lvl>
    <w:lvl w:ilvl="4">
      <w:start w:val="1"/>
      <w:numFmt w:val="decimal"/>
      <w:isLgl w:val="false"/>
      <w:suff w:val="tab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Letter"/>
      <w:isLgl w:val="false"/>
      <w:suff w:val="tab"/>
      <w:lvlText w:val="%3."/>
      <w:lvlJc w:val="left"/>
      <w:pPr>
        <w:ind w:left="10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5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2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7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1"/>
    <w:next w:val="841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1">
    <w:name w:val="Heading 1 Char"/>
    <w:basedOn w:val="842"/>
    <w:link w:val="670"/>
    <w:uiPriority w:val="9"/>
    <w:rPr>
      <w:rFonts w:ascii="Arial" w:hAnsi="Arial" w:cs="Arial" w:eastAsia="Arial"/>
      <w:sz w:val="40"/>
      <w:szCs w:val="40"/>
    </w:rPr>
  </w:style>
  <w:style w:type="paragraph" w:styleId="672">
    <w:name w:val="Heading 2"/>
    <w:basedOn w:val="841"/>
    <w:next w:val="841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3">
    <w:name w:val="Heading 2 Char"/>
    <w:basedOn w:val="842"/>
    <w:link w:val="672"/>
    <w:uiPriority w:val="9"/>
    <w:rPr>
      <w:rFonts w:ascii="Arial" w:hAnsi="Arial" w:cs="Arial" w:eastAsia="Arial"/>
      <w:sz w:val="34"/>
    </w:rPr>
  </w:style>
  <w:style w:type="paragraph" w:styleId="674">
    <w:name w:val="Heading 3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5">
    <w:name w:val="Heading 3 Char"/>
    <w:basedOn w:val="842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7">
    <w:name w:val="Heading 4 Char"/>
    <w:basedOn w:val="842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9">
    <w:name w:val="Heading 5 Char"/>
    <w:basedOn w:val="842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1">
    <w:name w:val="Heading 6 Char"/>
    <w:basedOn w:val="842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3">
    <w:name w:val="Heading 7 Char"/>
    <w:basedOn w:val="842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1"/>
    <w:next w:val="841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5">
    <w:name w:val="Heading 8 Char"/>
    <w:basedOn w:val="842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1"/>
    <w:next w:val="841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7">
    <w:name w:val="Heading 9 Char"/>
    <w:basedOn w:val="842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Title"/>
    <w:basedOn w:val="841"/>
    <w:next w:val="841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2"/>
    <w:link w:val="688"/>
    <w:uiPriority w:val="10"/>
    <w:rPr>
      <w:sz w:val="48"/>
      <w:szCs w:val="48"/>
    </w:rPr>
  </w:style>
  <w:style w:type="paragraph" w:styleId="690">
    <w:name w:val="Subtitle"/>
    <w:basedOn w:val="841"/>
    <w:next w:val="841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2"/>
    <w:link w:val="690"/>
    <w:uiPriority w:val="11"/>
    <w:rPr>
      <w:sz w:val="24"/>
      <w:szCs w:val="24"/>
    </w:rPr>
  </w:style>
  <w:style w:type="paragraph" w:styleId="692">
    <w:name w:val="Quote"/>
    <w:basedOn w:val="841"/>
    <w:next w:val="841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1"/>
    <w:next w:val="841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  <w:rPr>
      <w:sz w:val="24"/>
      <w:szCs w:val="24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Balloon Text"/>
    <w:basedOn w:val="841"/>
    <w:semiHidden/>
    <w:rPr>
      <w:rFonts w:ascii="Tahoma" w:hAnsi="Tahoma" w:cs="Tahoma"/>
      <w:sz w:val="16"/>
      <w:szCs w:val="16"/>
    </w:rPr>
  </w:style>
  <w:style w:type="paragraph" w:styleId="846">
    <w:name w:val="Header"/>
    <w:basedOn w:val="841"/>
    <w:link w:val="847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847" w:customStyle="1">
    <w:name w:val="Header Char"/>
    <w:link w:val="846"/>
    <w:uiPriority w:val="99"/>
    <w:rPr>
      <w:sz w:val="24"/>
      <w:szCs w:val="24"/>
      <w:lang w:val="en-US" w:eastAsia="en-US"/>
    </w:rPr>
  </w:style>
  <w:style w:type="paragraph" w:styleId="848">
    <w:name w:val="Footer"/>
    <w:basedOn w:val="841"/>
    <w:link w:val="849"/>
    <w:uiPriority w:val="99"/>
    <w:unhideWhenUsed/>
    <w:pPr>
      <w:tabs>
        <w:tab w:val="center" w:pos="4819" w:leader="none"/>
        <w:tab w:val="right" w:pos="9638" w:leader="none"/>
      </w:tabs>
    </w:pPr>
  </w:style>
  <w:style w:type="character" w:styleId="849" w:customStyle="1">
    <w:name w:val="Footer Char"/>
    <w:link w:val="848"/>
    <w:uiPriority w:val="99"/>
    <w:rPr>
      <w:sz w:val="24"/>
      <w:szCs w:val="24"/>
      <w:lang w:val="en-US" w:eastAsia="en-US"/>
    </w:rPr>
  </w:style>
  <w:style w:type="paragraph" w:styleId="850">
    <w:name w:val="Document Map"/>
    <w:basedOn w:val="841"/>
    <w:link w:val="851"/>
    <w:uiPriority w:val="99"/>
    <w:semiHidden/>
    <w:unhideWhenUsed/>
    <w:rPr>
      <w:rFonts w:ascii="Tahoma" w:hAnsi="Tahoma" w:cs="Tahoma"/>
      <w:sz w:val="16"/>
      <w:szCs w:val="16"/>
    </w:rPr>
  </w:style>
  <w:style w:type="character" w:styleId="851" w:customStyle="1">
    <w:name w:val="Document Map Char"/>
    <w:link w:val="850"/>
    <w:uiPriority w:val="99"/>
    <w:semiHidden/>
    <w:rPr>
      <w:rFonts w:ascii="Tahoma" w:hAnsi="Tahoma" w:cs="Tahoma"/>
      <w:sz w:val="16"/>
      <w:szCs w:val="16"/>
      <w:lang w:val="en-US" w:eastAsia="en-US"/>
    </w:rPr>
  </w:style>
  <w:style w:type="paragraph" w:styleId="852">
    <w:name w:val="No Spacing"/>
    <w:uiPriority w:val="1"/>
    <w:qFormat/>
    <w:rPr>
      <w:sz w:val="24"/>
      <w:szCs w:val="24"/>
    </w:rPr>
  </w:style>
  <w:style w:type="paragraph" w:styleId="853">
    <w:name w:val="List Paragraph"/>
    <w:basedOn w:val="841"/>
    <w:uiPriority w:val="34"/>
    <w:qFormat/>
    <w:pPr>
      <w:contextualSpacing/>
      <w:ind w:left="720"/>
    </w:pPr>
  </w:style>
  <w:style w:type="table" w:styleId="854">
    <w:name w:val="Table Grid"/>
    <w:basedOn w:val="84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>
    <w:name w:val="annotation reference"/>
    <w:basedOn w:val="842"/>
    <w:uiPriority w:val="99"/>
    <w:semiHidden/>
    <w:unhideWhenUsed/>
    <w:rPr>
      <w:sz w:val="16"/>
      <w:szCs w:val="16"/>
    </w:rPr>
  </w:style>
  <w:style w:type="paragraph" w:styleId="856">
    <w:name w:val="annotation text"/>
    <w:basedOn w:val="841"/>
    <w:link w:val="857"/>
    <w:uiPriority w:val="99"/>
    <w:semiHidden/>
    <w:unhideWhenUsed/>
    <w:rPr>
      <w:sz w:val="20"/>
      <w:szCs w:val="20"/>
    </w:rPr>
  </w:style>
  <w:style w:type="character" w:styleId="857" w:customStyle="1">
    <w:name w:val="Comment Text Char"/>
    <w:basedOn w:val="842"/>
    <w:link w:val="856"/>
    <w:uiPriority w:val="99"/>
    <w:semiHidden/>
  </w:style>
  <w:style w:type="paragraph" w:styleId="858">
    <w:name w:val="annotation subject"/>
    <w:basedOn w:val="856"/>
    <w:next w:val="856"/>
    <w:link w:val="859"/>
    <w:uiPriority w:val="99"/>
    <w:semiHidden/>
    <w:unhideWhenUsed/>
    <w:rPr>
      <w:b/>
      <w:bCs/>
    </w:rPr>
  </w:style>
  <w:style w:type="character" w:styleId="859" w:customStyle="1">
    <w:name w:val="Comment Subject Char"/>
    <w:basedOn w:val="857"/>
    <w:link w:val="858"/>
    <w:uiPriority w:val="99"/>
    <w:semiHidden/>
    <w:rPr>
      <w:b/>
      <w:bCs/>
    </w:rPr>
  </w:style>
  <w:style w:type="paragraph" w:styleId="860">
    <w:name w:val="Revision"/>
    <w:hidden/>
    <w:uiPriority w:val="99"/>
    <w:semiHidden/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revision>22</cp:revision>
  <dcterms:created xsi:type="dcterms:W3CDTF">2018-10-24T13:36:00Z</dcterms:created>
  <dcterms:modified xsi:type="dcterms:W3CDTF">2022-10-25T09:45:50Z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