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3C3F" w14:textId="77777777" w:rsidR="009A7253" w:rsidRDefault="006E6E57">
      <w:pPr>
        <w:jc w:val="center"/>
      </w:pPr>
      <w:r>
        <w:rPr>
          <w:b/>
          <w:bCs/>
          <w:color w:val="06283D"/>
          <w:sz w:val="28"/>
          <w:szCs w:val="28"/>
        </w:rPr>
        <w:t>DOCUMENTACIÓN DE SOFTWARE</w:t>
      </w:r>
    </w:p>
    <w:p w14:paraId="0430FD67" w14:textId="77777777" w:rsidR="009A7253" w:rsidRDefault="006E6E57">
      <w:pPr>
        <w:spacing w:after="40"/>
        <w:jc w:val="center"/>
      </w:pPr>
      <w:r>
        <w:t>Sistema de Gestión de Inventario y Bodega ALMEXA</w:t>
      </w:r>
    </w:p>
    <w:p w14:paraId="66761AF4" w14:textId="77777777" w:rsidR="009A7253" w:rsidRDefault="006E6E57">
      <w:pPr>
        <w:spacing w:after="120"/>
        <w:jc w:val="center"/>
      </w:pPr>
      <w:r>
        <w:t>VERSIÓN CORREGIDA — ALINEADA CON EL SRS (Kevin SRS-Sistema de Inventario)</w:t>
      </w:r>
    </w:p>
    <w:p w14:paraId="5BF4E7DE" w14:textId="77777777" w:rsidR="009A7253" w:rsidRDefault="006E6E57">
      <w:pPr>
        <w:spacing w:after="200"/>
        <w:jc w:val="center"/>
      </w:pPr>
      <w:r>
        <w:t xml:space="preserve">Programa: </w:t>
      </w:r>
      <w:proofErr w:type="gramStart"/>
      <w:r>
        <w:t>ADSO  |</w:t>
      </w:r>
      <w:proofErr w:type="gramEnd"/>
      <w:r>
        <w:t xml:space="preserve">  Ficha: </w:t>
      </w:r>
      <w:proofErr w:type="gramStart"/>
      <w:r>
        <w:t>3407799  |</w:t>
      </w:r>
      <w:proofErr w:type="gramEnd"/>
      <w:r>
        <w:t xml:space="preserve">  Centro: CIES - SENA</w:t>
      </w:r>
    </w:p>
    <w:p w14:paraId="5D7018B2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1. Descripción general del sistema</w:t>
      </w:r>
    </w:p>
    <w:p w14:paraId="307057D5" w14:textId="77777777" w:rsidR="009A7253" w:rsidRDefault="006E6E57">
      <w:pPr>
        <w:spacing w:after="90"/>
      </w:pPr>
      <w:r>
        <w:t>ALMEXA es una aplicación web para la gestión de inventario y bodega de la comunidad educativa del SENA (ficha 3407799), que cubre los ocho módulos funcionales definidos en el SRS: Gestión de Usuarios (RF1), Roles y Permisos (RF2), Proveedores (RF3), Rutas y Transporte (RF4), Inventario y Productos (RF5), Espacios y Bodega (RF6), Reportes (RF7) y API de Integración Externa (RF8).</w:t>
      </w:r>
    </w:p>
    <w:p w14:paraId="60E640D2" w14:textId="77777777" w:rsidR="009A7253" w:rsidRDefault="006E6E57">
      <w:pPr>
        <w:spacing w:after="90"/>
      </w:pPr>
      <w:r>
        <w:t>Este documento detalla la arquitectura, el entorno tecnológico, el manejo de datos y las consideraciones que rigen la construcción del sistema, alineada con los requisitos no funcionales (RNF) del SRS.</w:t>
      </w:r>
    </w:p>
    <w:p w14:paraId="7C51AC33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2. RESTRICCIÓN LEGAL SOBRE PERSONALIZACIÓN (RNF5)</w:t>
      </w:r>
    </w:p>
    <w:p w14:paraId="644820A7" w14:textId="77777777" w:rsidR="009A7253" w:rsidRDefault="006E6E57">
      <w:pPr>
        <w:spacing w:after="90"/>
      </w:pPr>
      <w:r>
        <w:t xml:space="preserve">La interfaz de pantalla NO será de </w:t>
      </w:r>
      <w:proofErr w:type="gramStart"/>
      <w:r>
        <w:t>uso libre o personalización libre</w:t>
      </w:r>
      <w:proofErr w:type="gramEnd"/>
      <w:r>
        <w:t xml:space="preserve"> para el usuario. La personalización de la interfaz de la aplicación se encuentra PROHIBIDA en el presente proceso formativo. El diseño de ALMEXA seguirá la uniformidad definida por el SENA y por el proyecto, sin permitir personalización del </w:t>
      </w:r>
      <w:proofErr w:type="gramStart"/>
      <w:r>
        <w:t>look</w:t>
      </w:r>
      <w:proofErr w:type="gramEnd"/>
      <w:r>
        <w:t xml:space="preserve"> &amp; feel por parte de los usuarios finales.</w:t>
      </w:r>
    </w:p>
    <w:p w14:paraId="3E1997E3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3. Entorno tecnológico (software)</w:t>
      </w:r>
    </w:p>
    <w:p w14:paraId="76E4A48C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Sistema operativo servidor: Linux (distribución Ubuntu Server LTS).</w:t>
      </w:r>
    </w:p>
    <w:p w14:paraId="3C897AD5" w14:textId="22C33D5A" w:rsidR="009A7253" w:rsidRDefault="00062379">
      <w:pPr>
        <w:pStyle w:val="Prrafodelista"/>
        <w:numPr>
          <w:ilvl w:val="0"/>
          <w:numId w:val="1"/>
        </w:numPr>
        <w:spacing w:after="60"/>
      </w:pPr>
      <w:r>
        <w:t>Lenguaje de programación backend: JavaScript con Node.js y el framework Express (para APIs REST y lógica de negocio).</w:t>
      </w:r>
    </w:p>
    <w:p w14:paraId="013A0D7B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Frontend: aplicación web (HTML5, CSS3 y JavaScript), desplegada como SPA consumiendo la API REST.</w:t>
      </w:r>
    </w:p>
    <w:p w14:paraId="2B23E1D4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Base de datos relacional: PostgreSQL (motor final definido en el SRS).</w:t>
      </w:r>
    </w:p>
    <w:p w14:paraId="1A9B5A0F" w14:textId="68A44685" w:rsidR="009A7253" w:rsidRDefault="009722D3">
      <w:pPr>
        <w:pStyle w:val="Prrafodelista"/>
        <w:numPr>
          <w:ilvl w:val="0"/>
          <w:numId w:val="1"/>
        </w:numPr>
        <w:spacing w:after="60"/>
      </w:pPr>
      <w:r>
        <w:t>Servidor de aplicaciones: entorno de ejecución Node.js (despliegue del backend).</w:t>
      </w:r>
    </w:p>
    <w:p w14:paraId="54DAC0D6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API de integración: REST/JSON documentada bajo el estándar OpenAPI (ERF8.4).</w:t>
      </w:r>
    </w:p>
    <w:p w14:paraId="6724A998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Autenticación: token de acceso para la API (ERF8.3) y control de sesión por roles (ERF2.3).</w:t>
      </w:r>
    </w:p>
    <w:p w14:paraId="048B1845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Exportación de reportes: generación de PDF y Excel (ERF7.10).</w:t>
      </w:r>
    </w:p>
    <w:p w14:paraId="672EBFB1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4. Base de datos</w:t>
      </w:r>
    </w:p>
    <w:p w14:paraId="077CE516" w14:textId="77777777" w:rsidR="009A7253" w:rsidRDefault="006E6E57">
      <w:pPr>
        <w:spacing w:after="90"/>
      </w:pPr>
      <w:r>
        <w:t>El motor de base de datos final del sistema es PostgreSQL. Se ubica en el servidor junto con la aplicación. Su uso responde a los requisitos no funcionales del SRS de confiabilidad (RNF4), rendimiento (RNF3), seguridad (RNF5) y escalabilidad (RNF6).</w:t>
      </w:r>
    </w:p>
    <w:p w14:paraId="7ECF5C34" w14:textId="77777777" w:rsidR="00801D9D" w:rsidRDefault="00801D9D">
      <w:pPr>
        <w:spacing w:after="90"/>
      </w:pPr>
    </w:p>
    <w:p w14:paraId="5D6D332A" w14:textId="68EEB3CE" w:rsidR="009A7253" w:rsidRDefault="00A52C92" w:rsidP="00801D9D">
      <w:r>
        <w:t xml:space="preserve">Las entidades principales del modelo de dominio (según el documento de Diagrama de Dominio) comprenden: Usuario, Rol, BitacoraAcceso, Proveedor, Producto, MovimientoInventario, Ruta, EspacioAlmacenamiento, EquipoBodega, Reporte, SistemaExterno y TokenAPI, gestionadas a través del esquema relacional de PostgreSQL. Las relaciones </w:t>
      </w:r>
      <w:proofErr w:type="gramStart"/>
      <w:r>
        <w:t>1:N</w:t>
      </w:r>
      <w:proofErr w:type="gramEnd"/>
      <w:r>
        <w:t xml:space="preserve"> se implementan con claves foráneas y la relación N:M entre Producto y Ruta mediante la tabla intermedia RutaProducto.</w:t>
      </w:r>
    </w:p>
    <w:p w14:paraId="211E7548" w14:textId="77777777" w:rsidR="00DA2BCC" w:rsidRDefault="00DA2BCC" w:rsidP="00553DA5">
      <w:r>
        <w:t>Nota sobre el modelo de categorías: el SRS menciona "categorías" en el objetivo específico, en el alcance y en los criterios de rendimiento. En el modelo relacional la categoría de un producto se representa como el atributo "categoria" (String) de la entidad Producto, campo obligatorio en el registro (ERF5.1) y filtro de búsqueda y de reportes (ERF5.8, ERF7.1-ERF7.4, ERF7.11 y ERF8.1); no se define una entidad independiente Categoría ni un módulo de gestión de categorías, porque el SRS no establece un requisito funcional dedicado a ello. El dominio se mantiene en 12 entidades más la tabla puente RutaProducto. Además, si el alcance llegara a exigir la gestión del catálogo de categorías, la evolución natural es una tabla Categoría (id, nombre) con la clave foránea categoria_id en Producto; por tanto, el modelado como atributo es una decisión consciente y reversible, no un olvido.</w:t>
      </w:r>
    </w:p>
    <w:p w14:paraId="4150B89C" w14:textId="2885FC9C" w:rsidR="009A7253" w:rsidRDefault="00DA2BCC" w:rsidP="00553DA5">
      <w:r>
        <w:t>5. Arquitectura de software</w:t>
      </w:r>
    </w:p>
    <w:p w14:paraId="50C71728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Arquitectura cliente-servidor en 3 capas: capa de presentación (frontend web), capa de lógica de negocio (backend y servicios) y capa de datos (PostgreSQL).</w:t>
      </w:r>
    </w:p>
    <w:p w14:paraId="00D0353F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lastRenderedPageBreak/>
        <w:t>Patrón de diseño: Modelo-Vista-Controlador (MVC) en el backend.</w:t>
      </w:r>
    </w:p>
    <w:p w14:paraId="4E9771F3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API REST documentada en OpenAPI para la integración externa (RF8).</w:t>
      </w:r>
    </w:p>
    <w:p w14:paraId="22FB5CBC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Separación de responsabilidades por módulo funcional (RF1–RF8), facilitando el mantenimiento (RNF7).</w:t>
      </w:r>
    </w:p>
    <w:p w14:paraId="202154FE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6. Manejo de la información y seguridad</w:t>
      </w:r>
    </w:p>
    <w:p w14:paraId="39C64CB2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Los datos de los usuarios de la comunidad educativa se tratan conforme a la Ley 1581 de 2012 y el Decreto 1377 de 2013 (protección de datos personales).</w:t>
      </w:r>
    </w:p>
    <w:p w14:paraId="077919E4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El acceso se controla por roles y permisos validados en cada petición (ERF2.3).</w:t>
      </w:r>
    </w:p>
    <w:p w14:paraId="4BE2EF68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Las contraseñas se almacenan con algoritmo de hash seguro; la autenticación a la API usa token (ERF8.3).</w:t>
      </w:r>
    </w:p>
    <w:p w14:paraId="5C074FBB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La bitácora de accesos (ERF2.4) registra los intentos de acceso exitosos y fallidos.</w:t>
      </w:r>
    </w:p>
    <w:p w14:paraId="1F8AA8CE" w14:textId="77777777" w:rsidR="009A7253" w:rsidRDefault="006E6E57">
      <w:pPr>
        <w:pStyle w:val="Prrafodelista"/>
        <w:numPr>
          <w:ilvl w:val="0"/>
          <w:numId w:val="1"/>
        </w:numPr>
        <w:spacing w:after="60"/>
      </w:pPr>
      <w:r>
        <w:t>Las copias de seguridad se gestionan periódicamente para salvaguardar la información.</w:t>
      </w:r>
    </w:p>
    <w:p w14:paraId="257AA195" w14:textId="77777777" w:rsidR="009A7253" w:rsidRDefault="006E6E57">
      <w:pPr>
        <w:spacing w:before="250" w:after="100"/>
      </w:pPr>
      <w:r>
        <w:rPr>
          <w:b/>
          <w:bCs/>
          <w:color w:val="06283D"/>
          <w:sz w:val="22"/>
          <w:szCs w:val="22"/>
        </w:rPr>
        <w:t>7. Requisitos de software no funcionales considerados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80"/>
        <w:gridCol w:w="7020"/>
      </w:tblGrid>
      <w:tr w:rsidR="00D84960" w14:paraId="0279D48C" w14:textId="77777777" w:rsidTr="00FC0F10">
        <w:trPr>
          <w:cantSplit/>
          <w:tblHeader/>
        </w:trPr>
        <w:tc>
          <w:tcPr>
            <w:tcW w:w="700" w:type="dxa"/>
            <w:shd w:val="clear" w:color="auto" w:fill="06283D"/>
          </w:tcPr>
          <w:p w14:paraId="6C959430" w14:textId="77777777" w:rsidR="009A7253" w:rsidRDefault="006E6E57">
            <w:r>
              <w:rPr>
                <w:b/>
                <w:bCs/>
                <w:color w:val="FFFFFF"/>
                <w:sz w:val="18"/>
                <w:szCs w:val="18"/>
              </w:rPr>
              <w:t>RNF</w:t>
            </w:r>
          </w:p>
        </w:tc>
        <w:tc>
          <w:tcPr>
            <w:tcW w:w="1280" w:type="dxa"/>
            <w:shd w:val="clear" w:color="auto" w:fill="06283D"/>
          </w:tcPr>
          <w:p w14:paraId="4162E515" w14:textId="77777777" w:rsidR="009A7253" w:rsidRDefault="006E6E57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7020" w:type="dxa"/>
            <w:shd w:val="clear" w:color="auto" w:fill="06283D"/>
          </w:tcPr>
          <w:p w14:paraId="09FB22FC" w14:textId="77777777" w:rsidR="009A7253" w:rsidRDefault="006E6E57">
            <w:r>
              <w:rPr>
                <w:b/>
                <w:bCs/>
                <w:color w:val="FFFFFF"/>
                <w:sz w:val="18"/>
                <w:szCs w:val="18"/>
              </w:rPr>
              <w:t>Aplicación en software</w:t>
            </w:r>
          </w:p>
        </w:tc>
      </w:tr>
      <w:tr w:rsidR="00D84960" w14:paraId="179B613D" w14:textId="77777777" w:rsidTr="00FC0F10">
        <w:trPr>
          <w:cantSplit/>
        </w:trPr>
        <w:tc>
          <w:tcPr>
            <w:tcW w:w="700" w:type="dxa"/>
          </w:tcPr>
          <w:p w14:paraId="16DBBEC7" w14:textId="77777777" w:rsidR="009A7253" w:rsidRDefault="006E6E57">
            <w:r>
              <w:rPr>
                <w:sz w:val="18"/>
                <w:szCs w:val="18"/>
              </w:rPr>
              <w:t>RNF1</w:t>
            </w:r>
          </w:p>
        </w:tc>
        <w:tc>
          <w:tcPr>
            <w:tcW w:w="1280" w:type="dxa"/>
          </w:tcPr>
          <w:p w14:paraId="07328974" w14:textId="77777777" w:rsidR="009A7253" w:rsidRDefault="006E6E57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7020" w:type="dxa"/>
          </w:tcPr>
          <w:p w14:paraId="38CFD140" w14:textId="77777777" w:rsidR="009A7253" w:rsidRDefault="006E6E57">
            <w:r>
              <w:rPr>
                <w:sz w:val="18"/>
                <w:szCs w:val="18"/>
              </w:rPr>
              <w:t>Interfaz sencilla para gestión de inventario por Bodeguero y consulta por Consultor.</w:t>
            </w:r>
          </w:p>
        </w:tc>
      </w:tr>
      <w:tr w:rsidR="00D84960" w14:paraId="75CAB5F8" w14:textId="77777777" w:rsidTr="00FC0F10">
        <w:trPr>
          <w:cantSplit/>
        </w:trPr>
        <w:tc>
          <w:tcPr>
            <w:tcW w:w="700" w:type="dxa"/>
          </w:tcPr>
          <w:p w14:paraId="3EEE2499" w14:textId="77777777" w:rsidR="009A7253" w:rsidRDefault="006E6E57">
            <w:r>
              <w:rPr>
                <w:sz w:val="18"/>
                <w:szCs w:val="18"/>
              </w:rPr>
              <w:t>RNF2</w:t>
            </w:r>
          </w:p>
        </w:tc>
        <w:tc>
          <w:tcPr>
            <w:tcW w:w="1280" w:type="dxa"/>
          </w:tcPr>
          <w:p w14:paraId="50FEC757" w14:textId="77777777" w:rsidR="009A7253" w:rsidRDefault="006E6E57"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7020" w:type="dxa"/>
          </w:tcPr>
          <w:p w14:paraId="59323290" w14:textId="0E00DDF7" w:rsidR="009A7253" w:rsidRDefault="005978EE">
            <w:r>
              <w:rPr>
                <w:sz w:val="18"/>
                <w:szCs w:val="18"/>
              </w:rPr>
              <w:t>Funciona en navegadores web modernos (Chrome, Firefox, Safari y Edge).</w:t>
            </w:r>
          </w:p>
        </w:tc>
      </w:tr>
      <w:tr w:rsidR="00D84960" w14:paraId="5C63EC44" w14:textId="77777777" w:rsidTr="00FC0F10">
        <w:trPr>
          <w:cantSplit/>
        </w:trPr>
        <w:tc>
          <w:tcPr>
            <w:tcW w:w="700" w:type="dxa"/>
          </w:tcPr>
          <w:p w14:paraId="7CB3EE5D" w14:textId="77777777" w:rsidR="009A7253" w:rsidRDefault="006E6E57">
            <w:r>
              <w:rPr>
                <w:sz w:val="18"/>
                <w:szCs w:val="18"/>
              </w:rPr>
              <w:t>RNF3</w:t>
            </w:r>
          </w:p>
        </w:tc>
        <w:tc>
          <w:tcPr>
            <w:tcW w:w="1280" w:type="dxa"/>
          </w:tcPr>
          <w:p w14:paraId="1DCC6EFB" w14:textId="77777777" w:rsidR="009A7253" w:rsidRDefault="006E6E57"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7020" w:type="dxa"/>
          </w:tcPr>
          <w:p w14:paraId="46CA5D23" w14:textId="77777777" w:rsidR="009A7253" w:rsidRDefault="006E6E57">
            <w:r>
              <w:rPr>
                <w:sz w:val="18"/>
                <w:szCs w:val="18"/>
              </w:rPr>
              <w:t>Respuestas rápidas en consultas de inventario y reportes; PostgreSQL optimiza el acceso a datos.</w:t>
            </w:r>
          </w:p>
        </w:tc>
      </w:tr>
      <w:tr w:rsidR="00D84960" w14:paraId="3A37EEDC" w14:textId="77777777" w:rsidTr="00FC0F10">
        <w:trPr>
          <w:cantSplit/>
        </w:trPr>
        <w:tc>
          <w:tcPr>
            <w:tcW w:w="700" w:type="dxa"/>
          </w:tcPr>
          <w:p w14:paraId="006BE3C5" w14:textId="77777777" w:rsidR="009A7253" w:rsidRDefault="006E6E57">
            <w:r>
              <w:rPr>
                <w:sz w:val="18"/>
                <w:szCs w:val="18"/>
              </w:rPr>
              <w:t>RNF4</w:t>
            </w:r>
          </w:p>
        </w:tc>
        <w:tc>
          <w:tcPr>
            <w:tcW w:w="1280" w:type="dxa"/>
          </w:tcPr>
          <w:p w14:paraId="460DA1BB" w14:textId="77777777" w:rsidR="009A7253" w:rsidRDefault="006E6E57">
            <w:r>
              <w:rPr>
                <w:sz w:val="18"/>
                <w:szCs w:val="18"/>
              </w:rPr>
              <w:t>Confiabilidad</w:t>
            </w:r>
          </w:p>
        </w:tc>
        <w:tc>
          <w:tcPr>
            <w:tcW w:w="7020" w:type="dxa"/>
          </w:tcPr>
          <w:p w14:paraId="14026060" w14:textId="77777777" w:rsidR="009A7253" w:rsidRDefault="006E6E57">
            <w:r>
              <w:rPr>
                <w:sz w:val="18"/>
                <w:szCs w:val="18"/>
              </w:rPr>
              <w:t>Transacciones consistentes y registro de ajustes e inconsistencias.</w:t>
            </w:r>
          </w:p>
        </w:tc>
      </w:tr>
      <w:tr w:rsidR="00D84960" w14:paraId="7D8E8345" w14:textId="77777777" w:rsidTr="00FC0F10">
        <w:trPr>
          <w:cantSplit/>
        </w:trPr>
        <w:tc>
          <w:tcPr>
            <w:tcW w:w="700" w:type="dxa"/>
          </w:tcPr>
          <w:p w14:paraId="0ED3394E" w14:textId="77777777" w:rsidR="009A7253" w:rsidRDefault="006E6E57">
            <w:r>
              <w:rPr>
                <w:sz w:val="18"/>
                <w:szCs w:val="18"/>
              </w:rPr>
              <w:t>RNF5</w:t>
            </w:r>
          </w:p>
        </w:tc>
        <w:tc>
          <w:tcPr>
            <w:tcW w:w="1280" w:type="dxa"/>
          </w:tcPr>
          <w:p w14:paraId="584A0E78" w14:textId="77777777" w:rsidR="009A7253" w:rsidRDefault="006E6E57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7020" w:type="dxa"/>
          </w:tcPr>
          <w:p w14:paraId="2C1A0715" w14:textId="77777777" w:rsidR="009A7253" w:rsidRDefault="006E6E57">
            <w:r>
              <w:rPr>
                <w:sz w:val="18"/>
                <w:szCs w:val="18"/>
              </w:rPr>
              <w:t>Control de acceso por roles, token API y bitácora.</w:t>
            </w:r>
          </w:p>
        </w:tc>
      </w:tr>
      <w:tr w:rsidR="00D84960" w14:paraId="26A5B32D" w14:textId="77777777" w:rsidTr="00FC0F10">
        <w:trPr>
          <w:cantSplit/>
        </w:trPr>
        <w:tc>
          <w:tcPr>
            <w:tcW w:w="700" w:type="dxa"/>
          </w:tcPr>
          <w:p w14:paraId="5F4EFBAE" w14:textId="77777777" w:rsidR="009A7253" w:rsidRDefault="006E6E57">
            <w:r>
              <w:rPr>
                <w:sz w:val="18"/>
                <w:szCs w:val="18"/>
              </w:rPr>
              <w:t>RNF6</w:t>
            </w:r>
          </w:p>
        </w:tc>
        <w:tc>
          <w:tcPr>
            <w:tcW w:w="1280" w:type="dxa"/>
          </w:tcPr>
          <w:p w14:paraId="741A27BC" w14:textId="77777777" w:rsidR="009A7253" w:rsidRDefault="006E6E57"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7020" w:type="dxa"/>
          </w:tcPr>
          <w:p w14:paraId="2A735C39" w14:textId="77777777" w:rsidR="009A7253" w:rsidRDefault="006E6E57">
            <w:r>
              <w:rPr>
                <w:sz w:val="18"/>
                <w:szCs w:val="18"/>
              </w:rPr>
              <w:t>Backend y base de datos independientes y escalables.</w:t>
            </w:r>
          </w:p>
        </w:tc>
      </w:tr>
      <w:tr w:rsidR="00D84960" w14:paraId="35D21C59" w14:textId="77777777" w:rsidTr="00FC0F10">
        <w:trPr>
          <w:cantSplit/>
        </w:trPr>
        <w:tc>
          <w:tcPr>
            <w:tcW w:w="700" w:type="dxa"/>
          </w:tcPr>
          <w:p w14:paraId="3DD78F3A" w14:textId="77777777" w:rsidR="009A7253" w:rsidRDefault="006E6E57">
            <w:r>
              <w:rPr>
                <w:sz w:val="18"/>
                <w:szCs w:val="18"/>
              </w:rPr>
              <w:t>RNF7</w:t>
            </w:r>
          </w:p>
        </w:tc>
        <w:tc>
          <w:tcPr>
            <w:tcW w:w="1280" w:type="dxa"/>
          </w:tcPr>
          <w:p w14:paraId="119E81A9" w14:textId="77777777" w:rsidR="009A7253" w:rsidRDefault="006E6E57"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7020" w:type="dxa"/>
          </w:tcPr>
          <w:p w14:paraId="08E0DEDB" w14:textId="77777777" w:rsidR="009A7253" w:rsidRDefault="006E6E57">
            <w:r>
              <w:rPr>
                <w:sz w:val="18"/>
                <w:szCs w:val="18"/>
              </w:rPr>
              <w:t>Arquitectura por capas y documentación técnica.</w:t>
            </w:r>
          </w:p>
        </w:tc>
      </w:tr>
    </w:tbl>
    <w:p w14:paraId="5896634A" w14:textId="77777777" w:rsidR="009A7253" w:rsidRDefault="009A7253">
      <w:pPr>
        <w:spacing w:after="90"/>
      </w:pPr>
    </w:p>
    <w:sectPr w:rsidR="009A72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0872"/>
    <w:multiLevelType w:val="hybridMultilevel"/>
    <w:tmpl w:val="780E3A58"/>
    <w:lvl w:ilvl="0" w:tplc="A0CAEE26">
      <w:start w:val="1"/>
      <w:numFmt w:val="bullet"/>
      <w:lvlText w:val="●"/>
      <w:lvlJc w:val="left"/>
      <w:pPr>
        <w:ind w:left="720" w:hanging="360"/>
      </w:pPr>
    </w:lvl>
    <w:lvl w:ilvl="1" w:tplc="ED069616">
      <w:start w:val="1"/>
      <w:numFmt w:val="bullet"/>
      <w:lvlText w:val="○"/>
      <w:lvlJc w:val="left"/>
      <w:pPr>
        <w:ind w:left="1440" w:hanging="360"/>
      </w:pPr>
    </w:lvl>
    <w:lvl w:ilvl="2" w:tplc="340C2A76">
      <w:start w:val="1"/>
      <w:numFmt w:val="bullet"/>
      <w:lvlText w:val="■"/>
      <w:lvlJc w:val="left"/>
      <w:pPr>
        <w:ind w:left="2160" w:hanging="360"/>
      </w:pPr>
    </w:lvl>
    <w:lvl w:ilvl="3" w:tplc="70F03DFE">
      <w:start w:val="1"/>
      <w:numFmt w:val="bullet"/>
      <w:lvlText w:val="●"/>
      <w:lvlJc w:val="left"/>
      <w:pPr>
        <w:ind w:left="2880" w:hanging="360"/>
      </w:pPr>
    </w:lvl>
    <w:lvl w:ilvl="4" w:tplc="CC7C48D2">
      <w:start w:val="1"/>
      <w:numFmt w:val="bullet"/>
      <w:lvlText w:val="○"/>
      <w:lvlJc w:val="left"/>
      <w:pPr>
        <w:ind w:left="3600" w:hanging="360"/>
      </w:pPr>
    </w:lvl>
    <w:lvl w:ilvl="5" w:tplc="368C1668">
      <w:start w:val="1"/>
      <w:numFmt w:val="bullet"/>
      <w:lvlText w:val="■"/>
      <w:lvlJc w:val="left"/>
      <w:pPr>
        <w:ind w:left="4320" w:hanging="360"/>
      </w:pPr>
    </w:lvl>
    <w:lvl w:ilvl="6" w:tplc="ECCE2EEA">
      <w:start w:val="1"/>
      <w:numFmt w:val="bullet"/>
      <w:lvlText w:val="●"/>
      <w:lvlJc w:val="left"/>
      <w:pPr>
        <w:ind w:left="5040" w:hanging="360"/>
      </w:pPr>
    </w:lvl>
    <w:lvl w:ilvl="7" w:tplc="4DA2D060">
      <w:start w:val="1"/>
      <w:numFmt w:val="bullet"/>
      <w:lvlText w:val="●"/>
      <w:lvlJc w:val="left"/>
      <w:pPr>
        <w:ind w:left="5760" w:hanging="360"/>
      </w:pPr>
    </w:lvl>
    <w:lvl w:ilvl="8" w:tplc="887C79B0">
      <w:start w:val="1"/>
      <w:numFmt w:val="bullet"/>
      <w:lvlText w:val="●"/>
      <w:lvlJc w:val="left"/>
      <w:pPr>
        <w:ind w:left="6480" w:hanging="360"/>
      </w:pPr>
    </w:lvl>
  </w:abstractNum>
  <w:num w:numId="1" w16cid:durableId="750852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253"/>
    <w:rsid w:val="00062379"/>
    <w:rsid w:val="00341F3D"/>
    <w:rsid w:val="003E6041"/>
    <w:rsid w:val="00553DA5"/>
    <w:rsid w:val="005978EE"/>
    <w:rsid w:val="005F1602"/>
    <w:rsid w:val="006B1073"/>
    <w:rsid w:val="006E6E57"/>
    <w:rsid w:val="00761904"/>
    <w:rsid w:val="007718C3"/>
    <w:rsid w:val="00801D9D"/>
    <w:rsid w:val="009722D3"/>
    <w:rsid w:val="009A7253"/>
    <w:rsid w:val="00A52C92"/>
    <w:rsid w:val="00AC5AA9"/>
    <w:rsid w:val="00B632B7"/>
    <w:rsid w:val="00C06030"/>
    <w:rsid w:val="00D84960"/>
    <w:rsid w:val="00DA2BCC"/>
    <w:rsid w:val="00DC6932"/>
    <w:rsid w:val="00FB1757"/>
    <w:rsid w:val="00FC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811C"/>
  <w15:docId w15:val="{AF4AD7F3-3A30-435C-9277-07FE6EF2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801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Software ALMEXA (versión corregida)</dc:title>
  <dc:creator>Grupo ALMEXA - SENA CIES</dc:creator>
  <dc:description>Versión corregida de la documentación de software, alineada al SRS (PostgreSQL)</dc:description>
  <cp:lastModifiedBy>KEVIN SANTIAGO VEGA PEREZ</cp:lastModifiedBy>
  <cp:revision>3</cp:revision>
  <dcterms:created xsi:type="dcterms:W3CDTF">2026-09-09T04:25:00Z</dcterms:created>
  <dcterms:modified xsi:type="dcterms:W3CDTF">2026-09-16T13:25:00Z</dcterms:modified>
</cp:coreProperties>
</file>