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i w:val="0"/>
          <w:color w:val="16716E"/>
          <w:sz w:val="48"/>
        </w:rPr>
        <w:t>ALMEXA — Sistema de Gestión de Inventario y Bodega</w:t>
      </w:r>
    </w:p>
    <w:p>
      <w:pPr>
        <w:spacing w:after="200" w:before="0"/>
        <w:jc w:val="center"/>
      </w:pPr>
      <w:r>
        <w:rPr>
          <w:rFonts w:ascii="Calibri" w:hAnsi="Calibri"/>
          <w:b/>
          <w:i w:val="0"/>
          <w:color w:val="1C222A"/>
          <w:sz w:val="30"/>
        </w:rPr>
        <w:t>Tablero de Actividades — Fase de Análisis</w:t>
      </w:r>
    </w:p>
    <w:p>
      <w:pPr>
        <w:spacing w:after="40" w:before="0"/>
        <w:jc w:val="center"/>
      </w:pPr>
      <w:r>
        <w:rPr>
          <w:rFonts w:ascii="Calibri" w:hAnsi="Calibri"/>
          <w:b w:val="0"/>
          <w:i w:val="0"/>
          <w:color w:val="1C222A"/>
          <w:sz w:val="22"/>
        </w:rPr>
        <w:t>Programa: Análisis y Desarrollo de Software (ADSO) · Centro de Formación CIES — SENA · Ficha 3407799</w:t>
      </w:r>
    </w:p>
    <w:p>
      <w:pPr>
        <w:spacing w:after="40" w:before="0"/>
        <w:jc w:val="center"/>
      </w:pPr>
      <w:r>
        <w:rPr>
          <w:rFonts w:ascii="Calibri" w:hAnsi="Calibri"/>
          <w:b/>
          <w:i w:val="0"/>
          <w:color w:val="1C222A"/>
          <w:sz w:val="22"/>
        </w:rPr>
        <w:t>Grupo 1</w:t>
      </w:r>
    </w:p>
    <w:p>
      <w:pPr>
        <w:spacing w:after="40" w:before="0"/>
        <w:jc w:val="center"/>
      </w:pPr>
      <w:r>
        <w:rPr>
          <w:rFonts w:ascii="Calibri" w:hAnsi="Calibri"/>
          <w:b w:val="0"/>
          <w:i w:val="0"/>
          <w:color w:val="1C222A"/>
          <w:sz w:val="22"/>
        </w:rPr>
        <w:t>Integrantes: Juan José Narváez González · Beimar Alejandro Rocha Suarez · Kevin Santiago Vega Perez</w:t>
      </w:r>
    </w:p>
    <w:p>
      <w:pPr>
        <w:spacing w:after="40" w:before="0"/>
        <w:jc w:val="center"/>
      </w:pPr>
      <w:r>
        <w:rPr>
          <w:rFonts w:ascii="Calibri" w:hAnsi="Calibri"/>
          <w:b w:val="0"/>
          <w:i w:val="0"/>
          <w:color w:val="555F6B"/>
          <w:sz w:val="20"/>
        </w:rPr>
        <w:t>Instructor: José de Jesús Motta Vargas</w:t>
      </w:r>
    </w:p>
    <w:p>
      <w:pPr>
        <w:spacing w:after="280" w:before="0"/>
        <w:jc w:val="center"/>
      </w:pPr>
      <w:r>
        <w:rPr>
          <w:rFonts w:ascii="Calibri" w:hAnsi="Calibri"/>
          <w:b w:val="0"/>
          <w:i w:val="0"/>
          <w:color w:val="555F6B"/>
          <w:sz w:val="20"/>
        </w:rPr>
        <w:t>Fecha: 19/09/2026</w:t>
      </w:r>
    </w:p>
    <w:p>
      <w:pPr>
        <w:spacing w:before="280" w:after="120"/>
      </w:pPr>
      <w:r>
        <w:rPr>
          <w:rFonts w:ascii="Calibri" w:hAnsi="Calibri"/>
          <w:b/>
          <w:color w:val="16716E"/>
          <w:sz w:val="26"/>
        </w:rPr>
        <w:t>1. Metodología seleccionada: Scrum</w:t>
      </w:r>
    </w:p>
    <w:p>
      <w:pPr>
        <w:spacing w:after="80" w:before="0"/>
      </w:pPr>
      <w:r>
        <w:rPr>
          <w:rFonts w:ascii="Calibri" w:hAnsi="Calibri"/>
          <w:b w:val="0"/>
          <w:i w:val="0"/>
          <w:color w:val="1C222A"/>
          <w:sz w:val="20"/>
        </w:rPr>
        <w:t>Se seleccionó Scrum como metodología de desarrollo para el proyecto ALMEXA porque el sistema está compuesto por ocho módulos funcionales independientes (RF1 a RF8) que pueden desarrollarse en entregas incrementales verificables frente al SRS: usuarios, roles y permisos, proveedores, rutas y transporte, inventario y productos, espacios y bodega, reportes e API de integración externa. Scrum permite organizar el trabajo en sprints con artefactos demostrables (diagramas, modelo de datos, prototipo) y revisar cada requisito contra su evidencia al cierre de la iteración.</w:t>
      </w:r>
    </w:p>
    <w:p>
      <w:pPr>
        <w:spacing w:after="80" w:before="0"/>
      </w:pPr>
      <w:r>
        <w:rPr>
          <w:rFonts w:ascii="Calibri" w:hAnsi="Calibri"/>
          <w:b w:val="0"/>
          <w:i w:val="0"/>
          <w:color w:val="1C222A"/>
          <w:sz w:val="20"/>
        </w:rPr>
        <w:t>Además, Scrum facilita la adaptación a cambios en los requisitos —algo frecuente en proyectos formativos donde surgen correcciones tras la revisión de los entregables, como ocurrió con la unificación del motor de base de datos en PostgreSQL y el desglose de los requisitos del módulo de inventario (ERF5.1–5.11)— y permite dimensionar la carga del equipo reducido de tres integrantes mediante el control explícito de tareas, responsables y estados en cada fase.</w:t>
      </w:r>
    </w:p>
    <w:p>
      <w:pPr>
        <w:spacing w:before="280" w:after="120"/>
      </w:pPr>
      <w:r>
        <w:rPr>
          <w:rFonts w:ascii="Calibri" w:hAnsi="Calibri"/>
          <w:b/>
          <w:color w:val="16716E"/>
          <w:sz w:val="26"/>
        </w:rPr>
        <w:t>2. Fase 1: Planeación y Enfoque Metodológico</w:t>
      </w:r>
    </w:p>
    <w:p>
      <w:pPr>
        <w:spacing w:after="80" w:before="0"/>
      </w:pPr>
      <w:r>
        <w:rPr>
          <w:rFonts w:ascii="Calibri" w:hAnsi="Calibri"/>
          <w:b w:val="0"/>
          <w:i w:val="0"/>
          <w:color w:val="1C222A"/>
          <w:sz w:val="20"/>
        </w:rPr>
        <w:t>En esta fase se definió el alcance del proyecto a partir del SRS, se seleccionó la metodología Scrum mediante el cuadro comparativo de modelos de desarrollo y se organizó el plan de trabajo en siete fases: análisis, diseño, modelado de datos, planificación, desarrollo, gestión de riesgos y documentación. El tablero de actividades de la fase de análisis se documenta a continuación, indicando tarea, responsable, duración y estado de cada actividad.</w:t>
      </w:r>
    </w:p>
    <w:tbl>
      <w:tblPr>
        <w:tblStyle w:val="TableGrid"/>
        <w:jc w:val="center"/>
        <w:tblLook w:firstColumn="1" w:firstRow="1" w:lastColumn="0" w:lastRow="0" w:noHBand="0" w:noVBand="1" w:val="04A0"/>
        <w:tblLayout w:type="fixed"/>
        <w:tblW w:w="0" w:type="auto"/>
      </w:tblPr>
      <w:tblGrid>
        <w:gridCol w:w="3402"/>
        <w:gridCol w:w="2268"/>
        <w:gridCol w:w="1701"/>
        <w:gridCol w:w="1474"/>
      </w:tblGrid>
      <w:tr>
        <w:trPr>
          <w:tblHeader/>
          <w:cantSplit/>
        </w:trPr>
        <w:tc>
          <w:tcPr>
            <w:tcW w:type="dxa" w:w="3402"/>
            <w:shd w:val="clear" w:color="auto" w:fill="16716E"/>
          </w:tcPr>
          <w:p>
            <w:pPr>
              <w:spacing w:after="20"/>
            </w:pPr>
            <w:r>
              <w:rPr>
                <w:rFonts w:ascii="Calibri" w:hAnsi="Calibri"/>
                <w:b/>
                <w:color w:val="FFFFFF"/>
                <w:sz w:val="20"/>
              </w:rPr>
              <w:t>Tarea</w:t>
            </w:r>
          </w:p>
        </w:tc>
        <w:tc>
          <w:tcPr>
            <w:tcW w:type="dxa" w:w="2268"/>
            <w:shd w:val="clear" w:color="auto" w:fill="16716E"/>
          </w:tcPr>
          <w:p>
            <w:pPr>
              <w:spacing w:after="20"/>
            </w:pPr>
            <w:r>
              <w:rPr>
                <w:rFonts w:ascii="Calibri" w:hAnsi="Calibri"/>
                <w:b/>
                <w:color w:val="FFFFFF"/>
                <w:sz w:val="20"/>
              </w:rPr>
              <w:t>Responsable</w:t>
            </w:r>
          </w:p>
        </w:tc>
        <w:tc>
          <w:tcPr>
            <w:tcW w:type="dxa" w:w="1701"/>
            <w:shd w:val="clear" w:color="auto" w:fill="16716E"/>
          </w:tcPr>
          <w:p>
            <w:pPr>
              <w:spacing w:after="20"/>
            </w:pPr>
            <w:r>
              <w:rPr>
                <w:rFonts w:ascii="Calibri" w:hAnsi="Calibri"/>
                <w:b/>
                <w:color w:val="FFFFFF"/>
                <w:sz w:val="20"/>
              </w:rPr>
              <w:t>Duración</w:t>
            </w:r>
          </w:p>
        </w:tc>
        <w:tc>
          <w:tcPr>
            <w:tcW w:type="dxa" w:w="1474"/>
            <w:shd w:val="clear" w:color="auto" w:fill="16716E"/>
          </w:tcPr>
          <w:p>
            <w:pPr>
              <w:spacing w:after="20"/>
            </w:pPr>
            <w:r>
              <w:rPr>
                <w:rFonts w:ascii="Calibri" w:hAnsi="Calibri"/>
                <w:b/>
                <w:color w:val="FFFFFF"/>
                <w:sz w:val="20"/>
              </w:rPr>
              <w:t>Estado</w:t>
            </w:r>
          </w:p>
        </w:tc>
      </w:tr>
      <w:tr>
        <w:trPr>
          <w:cantSplit/>
        </w:trPr>
        <w:tc>
          <w:tcPr>
            <w:tcW w:type="dxa" w:w="3402"/>
          </w:tcPr>
          <w:p>
            <w:pPr>
              <w:spacing w:after="20"/>
            </w:pPr>
            <w:r>
              <w:rPr>
                <w:rFonts w:ascii="Calibri" w:hAnsi="Calibri"/>
                <w:b w:val="0"/>
                <w:color w:val="1C222A"/>
                <w:sz w:val="19"/>
              </w:rPr>
              <w:t>A1. Levantamiento de información y contexto de la bodega</w:t>
            </w:r>
          </w:p>
        </w:tc>
        <w:tc>
          <w:tcPr>
            <w:tcW w:type="dxa" w:w="2268"/>
          </w:tcPr>
          <w:p>
            <w:pPr>
              <w:spacing w:after="20"/>
            </w:pPr>
            <w:r>
              <w:rPr>
                <w:rFonts w:ascii="Calibri" w:hAnsi="Calibri"/>
                <w:b w:val="0"/>
                <w:color w:val="1C222A"/>
                <w:sz w:val="19"/>
              </w:rPr>
              <w:t>Analista (Grupo 1)</w:t>
            </w:r>
          </w:p>
        </w:tc>
        <w:tc>
          <w:tcPr>
            <w:tcW w:type="dxa" w:w="1701"/>
          </w:tcPr>
          <w:p>
            <w:pPr>
              <w:spacing w:after="20"/>
            </w:pPr>
            <w:r>
              <w:rPr>
                <w:rFonts w:ascii="Calibri" w:hAnsi="Calibri"/>
                <w:b w:val="0"/>
                <w:color w:val="1C222A"/>
                <w:sz w:val="19"/>
              </w:rPr>
              <w:t>Semanas 1–2</w:t>
            </w:r>
          </w:p>
        </w:tc>
        <w:tc>
          <w:tcPr>
            <w:tcW w:type="dxa" w:w="1474"/>
          </w:tcPr>
          <w:p>
            <w:pPr>
              <w:spacing w:after="20"/>
            </w:pPr>
            <w:r>
              <w:rPr>
                <w:rFonts w:ascii="Calibri" w:hAnsi="Calibri"/>
                <w:b w:val="0"/>
                <w:color w:val="1C222A"/>
                <w:sz w:val="19"/>
              </w:rPr>
              <w:t>Terminado</w:t>
            </w:r>
          </w:p>
        </w:tc>
      </w:tr>
      <w:tr>
        <w:trPr>
          <w:cantSplit/>
        </w:trPr>
        <w:tc>
          <w:tcPr>
            <w:tcW w:type="dxa" w:w="3402"/>
            <w:shd w:val="clear" w:color="auto" w:fill="EAF2F1"/>
          </w:tcPr>
          <w:p>
            <w:pPr>
              <w:spacing w:after="20"/>
            </w:pPr>
            <w:r>
              <w:rPr>
                <w:rFonts w:ascii="Calibri" w:hAnsi="Calibri"/>
                <w:b w:val="0"/>
                <w:color w:val="1C222A"/>
                <w:sz w:val="19"/>
              </w:rPr>
              <w:t>A2. Definición de requisitos funcionales y no funcionales (SRS)</w:t>
            </w:r>
          </w:p>
        </w:tc>
        <w:tc>
          <w:tcPr>
            <w:tcW w:type="dxa" w:w="2268"/>
            <w:shd w:val="clear" w:color="auto" w:fill="EAF2F1"/>
          </w:tcPr>
          <w:p>
            <w:pPr>
              <w:spacing w:after="20"/>
            </w:pPr>
            <w:r>
              <w:rPr>
                <w:rFonts w:ascii="Calibri" w:hAnsi="Calibri"/>
                <w:b w:val="0"/>
                <w:color w:val="1C222A"/>
                <w:sz w:val="19"/>
              </w:rPr>
              <w:t>Analista (Grupo 1)</w:t>
            </w:r>
          </w:p>
        </w:tc>
        <w:tc>
          <w:tcPr>
            <w:tcW w:type="dxa" w:w="1701"/>
            <w:shd w:val="clear" w:color="auto" w:fill="EAF2F1"/>
          </w:tcPr>
          <w:p>
            <w:pPr>
              <w:spacing w:after="20"/>
            </w:pPr>
            <w:r>
              <w:rPr>
                <w:rFonts w:ascii="Calibri" w:hAnsi="Calibri"/>
                <w:b w:val="0"/>
                <w:color w:val="1C222A"/>
                <w:sz w:val="19"/>
              </w:rPr>
              <w:t>Semanas 1–2</w:t>
            </w:r>
          </w:p>
        </w:tc>
        <w:tc>
          <w:tcPr>
            <w:tcW w:type="dxa" w:w="1474"/>
            <w:shd w:val="clear" w:color="auto" w:fill="EAF2F1"/>
          </w:tcPr>
          <w:p>
            <w:pPr>
              <w:spacing w:after="20"/>
            </w:pPr>
            <w:r>
              <w:rPr>
                <w:rFonts w:ascii="Calibri" w:hAnsi="Calibri"/>
                <w:b w:val="0"/>
                <w:color w:val="1C222A"/>
                <w:sz w:val="19"/>
              </w:rPr>
              <w:t>Terminado</w:t>
            </w:r>
          </w:p>
        </w:tc>
      </w:tr>
      <w:tr>
        <w:trPr>
          <w:cantSplit/>
        </w:trPr>
        <w:tc>
          <w:tcPr>
            <w:tcW w:type="dxa" w:w="3402"/>
          </w:tcPr>
          <w:p>
            <w:pPr>
              <w:spacing w:after="20"/>
            </w:pPr>
            <w:r>
              <w:rPr>
                <w:rFonts w:ascii="Calibri" w:hAnsi="Calibri"/>
                <w:b w:val="0"/>
                <w:color w:val="1C222A"/>
                <w:sz w:val="19"/>
              </w:rPr>
              <w:t>A3. Modelado de casos de uso (CU-01 a CU-08 y CU-04.4)</w:t>
            </w:r>
          </w:p>
        </w:tc>
        <w:tc>
          <w:tcPr>
            <w:tcW w:type="dxa" w:w="2268"/>
          </w:tcPr>
          <w:p>
            <w:pPr>
              <w:spacing w:after="20"/>
            </w:pPr>
            <w:r>
              <w:rPr>
                <w:rFonts w:ascii="Calibri" w:hAnsi="Calibri"/>
                <w:b w:val="0"/>
                <w:color w:val="1C222A"/>
                <w:sz w:val="19"/>
              </w:rPr>
              <w:t>Analista / Desarrollador</w:t>
            </w:r>
          </w:p>
        </w:tc>
        <w:tc>
          <w:tcPr>
            <w:tcW w:type="dxa" w:w="1701"/>
          </w:tcPr>
          <w:p>
            <w:pPr>
              <w:spacing w:after="20"/>
            </w:pPr>
            <w:r>
              <w:rPr>
                <w:rFonts w:ascii="Calibri" w:hAnsi="Calibri"/>
                <w:b w:val="0"/>
                <w:color w:val="1C222A"/>
                <w:sz w:val="19"/>
              </w:rPr>
              <w:t>Semanas 3–4</w:t>
            </w:r>
          </w:p>
        </w:tc>
        <w:tc>
          <w:tcPr>
            <w:tcW w:type="dxa" w:w="1474"/>
          </w:tcPr>
          <w:p>
            <w:pPr>
              <w:spacing w:after="20"/>
            </w:pPr>
            <w:r>
              <w:rPr>
                <w:rFonts w:ascii="Calibri" w:hAnsi="Calibri"/>
                <w:b w:val="0"/>
                <w:color w:val="1C222A"/>
                <w:sz w:val="19"/>
              </w:rPr>
              <w:t>Terminado</w:t>
            </w:r>
          </w:p>
        </w:tc>
      </w:tr>
      <w:tr>
        <w:trPr>
          <w:cantSplit/>
        </w:trPr>
        <w:tc>
          <w:tcPr>
            <w:tcW w:type="dxa" w:w="3402"/>
            <w:shd w:val="clear" w:color="auto" w:fill="EAF2F1"/>
          </w:tcPr>
          <w:p>
            <w:pPr>
              <w:spacing w:after="20"/>
            </w:pPr>
            <w:r>
              <w:rPr>
                <w:rFonts w:ascii="Calibri" w:hAnsi="Calibri"/>
                <w:b w:val="0"/>
                <w:color w:val="1C222A"/>
                <w:sz w:val="19"/>
              </w:rPr>
              <w:t>A4. Modelado de diagramas de actividad (DA-01 a DA-08)</w:t>
            </w:r>
          </w:p>
        </w:tc>
        <w:tc>
          <w:tcPr>
            <w:tcW w:type="dxa" w:w="2268"/>
            <w:shd w:val="clear" w:color="auto" w:fill="EAF2F1"/>
          </w:tcPr>
          <w:p>
            <w:pPr>
              <w:spacing w:after="20"/>
            </w:pPr>
            <w:r>
              <w:rPr>
                <w:rFonts w:ascii="Calibri" w:hAnsi="Calibri"/>
                <w:b w:val="0"/>
                <w:color w:val="1C222A"/>
                <w:sz w:val="19"/>
              </w:rPr>
              <w:t>Analista / Desarrollador</w:t>
            </w:r>
          </w:p>
        </w:tc>
        <w:tc>
          <w:tcPr>
            <w:tcW w:type="dxa" w:w="1701"/>
            <w:shd w:val="clear" w:color="auto" w:fill="EAF2F1"/>
          </w:tcPr>
          <w:p>
            <w:pPr>
              <w:spacing w:after="20"/>
            </w:pPr>
            <w:r>
              <w:rPr>
                <w:rFonts w:ascii="Calibri" w:hAnsi="Calibri"/>
                <w:b w:val="0"/>
                <w:color w:val="1C222A"/>
                <w:sz w:val="19"/>
              </w:rPr>
              <w:t>Semanas 3–5</w:t>
            </w:r>
          </w:p>
        </w:tc>
        <w:tc>
          <w:tcPr>
            <w:tcW w:type="dxa" w:w="1474"/>
            <w:shd w:val="clear" w:color="auto" w:fill="EAF2F1"/>
          </w:tcPr>
          <w:p>
            <w:pPr>
              <w:spacing w:after="20"/>
            </w:pPr>
            <w:r>
              <w:rPr>
                <w:rFonts w:ascii="Calibri" w:hAnsi="Calibri"/>
                <w:b w:val="0"/>
                <w:color w:val="1C222A"/>
                <w:sz w:val="19"/>
              </w:rPr>
              <w:t>Terminado</w:t>
            </w:r>
          </w:p>
        </w:tc>
      </w:tr>
      <w:tr>
        <w:trPr>
          <w:cantSplit/>
        </w:trPr>
        <w:tc>
          <w:tcPr>
            <w:tcW w:type="dxa" w:w="3402"/>
          </w:tcPr>
          <w:p>
            <w:pPr>
              <w:spacing w:after="20"/>
            </w:pPr>
            <w:r>
              <w:rPr>
                <w:rFonts w:ascii="Calibri" w:hAnsi="Calibri"/>
                <w:b w:val="0"/>
                <w:color w:val="1C222A"/>
                <w:sz w:val="19"/>
              </w:rPr>
              <w:t>A5. Modelado de dominio (12 entidades)</w:t>
            </w:r>
          </w:p>
        </w:tc>
        <w:tc>
          <w:tcPr>
            <w:tcW w:type="dxa" w:w="2268"/>
          </w:tcPr>
          <w:p>
            <w:pPr>
              <w:spacing w:after="20"/>
            </w:pPr>
            <w:r>
              <w:rPr>
                <w:rFonts w:ascii="Calibri" w:hAnsi="Calibri"/>
                <w:b w:val="0"/>
                <w:color w:val="1C222A"/>
                <w:sz w:val="19"/>
              </w:rPr>
              <w:t>Desarrollador de BD</w:t>
            </w:r>
          </w:p>
        </w:tc>
        <w:tc>
          <w:tcPr>
            <w:tcW w:type="dxa" w:w="1701"/>
          </w:tcPr>
          <w:p>
            <w:pPr>
              <w:spacing w:after="20"/>
            </w:pPr>
            <w:r>
              <w:rPr>
                <w:rFonts w:ascii="Calibri" w:hAnsi="Calibri"/>
                <w:b w:val="0"/>
                <w:color w:val="1C222A"/>
                <w:sz w:val="19"/>
              </w:rPr>
              <w:t>Semanas 5–6</w:t>
            </w:r>
          </w:p>
        </w:tc>
        <w:tc>
          <w:tcPr>
            <w:tcW w:type="dxa" w:w="1474"/>
          </w:tcPr>
          <w:p>
            <w:pPr>
              <w:spacing w:after="20"/>
            </w:pPr>
            <w:r>
              <w:rPr>
                <w:rFonts w:ascii="Calibri" w:hAnsi="Calibri"/>
                <w:b w:val="0"/>
                <w:color w:val="1C222A"/>
                <w:sz w:val="19"/>
              </w:rPr>
              <w:t>Terminado</w:t>
            </w:r>
          </w:p>
        </w:tc>
      </w:tr>
      <w:tr>
        <w:trPr>
          <w:cantSplit/>
        </w:trPr>
        <w:tc>
          <w:tcPr>
            <w:tcW w:type="dxa" w:w="3402"/>
            <w:shd w:val="clear" w:color="auto" w:fill="EAF2F1"/>
          </w:tcPr>
          <w:p>
            <w:pPr>
              <w:spacing w:after="20"/>
            </w:pPr>
            <w:r>
              <w:rPr>
                <w:rFonts w:ascii="Calibri" w:hAnsi="Calibri"/>
                <w:b w:val="0"/>
                <w:color w:val="1C222A"/>
                <w:sz w:val="19"/>
              </w:rPr>
              <w:t>A6. Modelo entidad-relación y esquema físico (PostgreSQL)</w:t>
            </w:r>
          </w:p>
        </w:tc>
        <w:tc>
          <w:tcPr>
            <w:tcW w:type="dxa" w:w="2268"/>
            <w:shd w:val="clear" w:color="auto" w:fill="EAF2F1"/>
          </w:tcPr>
          <w:p>
            <w:pPr>
              <w:spacing w:after="20"/>
            </w:pPr>
            <w:r>
              <w:rPr>
                <w:rFonts w:ascii="Calibri" w:hAnsi="Calibri"/>
                <w:b w:val="0"/>
                <w:color w:val="1C222A"/>
                <w:sz w:val="19"/>
              </w:rPr>
              <w:t>Desarrollador de BD</w:t>
            </w:r>
          </w:p>
        </w:tc>
        <w:tc>
          <w:tcPr>
            <w:tcW w:type="dxa" w:w="1701"/>
            <w:shd w:val="clear" w:color="auto" w:fill="EAF2F1"/>
          </w:tcPr>
          <w:p>
            <w:pPr>
              <w:spacing w:after="20"/>
            </w:pPr>
            <w:r>
              <w:rPr>
                <w:rFonts w:ascii="Calibri" w:hAnsi="Calibri"/>
                <w:b w:val="0"/>
                <w:color w:val="1C222A"/>
                <w:sz w:val="19"/>
              </w:rPr>
              <w:t>Semanas 5–6</w:t>
            </w:r>
          </w:p>
        </w:tc>
        <w:tc>
          <w:tcPr>
            <w:tcW w:type="dxa" w:w="1474"/>
            <w:shd w:val="clear" w:color="auto" w:fill="EAF2F1"/>
          </w:tcPr>
          <w:p>
            <w:pPr>
              <w:spacing w:after="20"/>
            </w:pPr>
            <w:r>
              <w:rPr>
                <w:rFonts w:ascii="Calibri" w:hAnsi="Calibri"/>
                <w:b w:val="0"/>
                <w:color w:val="1C222A"/>
                <w:sz w:val="19"/>
              </w:rPr>
              <w:t>Terminado</w:t>
            </w:r>
          </w:p>
        </w:tc>
      </w:tr>
      <w:tr>
        <w:trPr>
          <w:cantSplit/>
        </w:trPr>
        <w:tc>
          <w:tcPr>
            <w:tcW w:type="dxa" w:w="3402"/>
          </w:tcPr>
          <w:p>
            <w:pPr>
              <w:spacing w:after="20"/>
            </w:pPr>
            <w:r>
              <w:rPr>
                <w:rFonts w:ascii="Calibri" w:hAnsi="Calibri"/>
                <w:b w:val="0"/>
                <w:color w:val="1C222A"/>
                <w:sz w:val="19"/>
              </w:rPr>
              <w:t>A7. Prototipo funcional navegable</w:t>
            </w:r>
          </w:p>
        </w:tc>
        <w:tc>
          <w:tcPr>
            <w:tcW w:type="dxa" w:w="2268"/>
          </w:tcPr>
          <w:p>
            <w:pPr>
              <w:spacing w:after="20"/>
            </w:pPr>
            <w:r>
              <w:rPr>
                <w:rFonts w:ascii="Calibri" w:hAnsi="Calibri"/>
                <w:b w:val="0"/>
                <w:color w:val="1C222A"/>
                <w:sz w:val="19"/>
              </w:rPr>
              <w:t>Desarrollador frontend</w:t>
            </w:r>
          </w:p>
        </w:tc>
        <w:tc>
          <w:tcPr>
            <w:tcW w:type="dxa" w:w="1701"/>
          </w:tcPr>
          <w:p>
            <w:pPr>
              <w:spacing w:after="20"/>
            </w:pPr>
            <w:r>
              <w:rPr>
                <w:rFonts w:ascii="Calibri" w:hAnsi="Calibri"/>
                <w:b w:val="0"/>
                <w:color w:val="1C222A"/>
                <w:sz w:val="19"/>
              </w:rPr>
              <w:t>Semanas 6–8</w:t>
            </w:r>
          </w:p>
        </w:tc>
        <w:tc>
          <w:tcPr>
            <w:tcW w:type="dxa" w:w="1474"/>
          </w:tcPr>
          <w:p>
            <w:pPr>
              <w:spacing w:after="20"/>
            </w:pPr>
            <w:r>
              <w:rPr>
                <w:rFonts w:ascii="Calibri" w:hAnsi="Calibri"/>
                <w:b w:val="0"/>
                <w:color w:val="1C222A"/>
                <w:sz w:val="19"/>
              </w:rPr>
              <w:t>Terminado</w:t>
            </w:r>
          </w:p>
        </w:tc>
      </w:tr>
      <w:tr>
        <w:trPr>
          <w:cantSplit/>
        </w:trPr>
        <w:tc>
          <w:tcPr>
            <w:tcW w:type="dxa" w:w="3402"/>
            <w:shd w:val="clear" w:color="auto" w:fill="EAF2F1"/>
          </w:tcPr>
          <w:p>
            <w:pPr>
              <w:spacing w:after="20"/>
            </w:pPr>
            <w:r>
              <w:rPr>
                <w:rFonts w:ascii="Calibri" w:hAnsi="Calibri"/>
                <w:b w:val="0"/>
                <w:color w:val="1C222A"/>
                <w:sz w:val="19"/>
              </w:rPr>
              <w:t>A8. Validación y trazabilidad de requisitos vs SRS</w:t>
            </w:r>
          </w:p>
        </w:tc>
        <w:tc>
          <w:tcPr>
            <w:tcW w:type="dxa" w:w="2268"/>
            <w:shd w:val="clear" w:color="auto" w:fill="EAF2F1"/>
          </w:tcPr>
          <w:p>
            <w:pPr>
              <w:spacing w:after="20"/>
            </w:pPr>
            <w:r>
              <w:rPr>
                <w:rFonts w:ascii="Calibri" w:hAnsi="Calibri"/>
                <w:b w:val="0"/>
                <w:color w:val="1C222A"/>
                <w:sz w:val="19"/>
              </w:rPr>
              <w:t>QA (Grupo 1)</w:t>
            </w:r>
          </w:p>
        </w:tc>
        <w:tc>
          <w:tcPr>
            <w:tcW w:type="dxa" w:w="1701"/>
            <w:shd w:val="clear" w:color="auto" w:fill="EAF2F1"/>
          </w:tcPr>
          <w:p>
            <w:pPr>
              <w:spacing w:after="20"/>
            </w:pPr>
            <w:r>
              <w:rPr>
                <w:rFonts w:ascii="Calibri" w:hAnsi="Calibri"/>
                <w:b w:val="0"/>
                <w:color w:val="1C222A"/>
                <w:sz w:val="19"/>
              </w:rPr>
              <w:t>Semanas 12–14</w:t>
            </w:r>
          </w:p>
        </w:tc>
        <w:tc>
          <w:tcPr>
            <w:tcW w:type="dxa" w:w="1474"/>
            <w:shd w:val="clear" w:color="auto" w:fill="EAF2F1"/>
          </w:tcPr>
          <w:p>
            <w:pPr>
              <w:spacing w:after="20"/>
            </w:pPr>
            <w:r>
              <w:rPr>
                <w:rFonts w:ascii="Calibri" w:hAnsi="Calibri"/>
                <w:b w:val="0"/>
                <w:color w:val="1C222A"/>
                <w:sz w:val="19"/>
              </w:rPr>
              <w:t>En proceso</w:t>
            </w:r>
          </w:p>
        </w:tc>
      </w:tr>
    </w:tbl>
    <w:p>
      <w:pPr>
        <w:spacing w:before="280" w:after="120"/>
      </w:pPr>
      <w:r>
        <w:rPr>
          <w:rFonts w:ascii="Calibri" w:hAnsi="Calibri"/>
          <w:b/>
          <w:color w:val="16716E"/>
          <w:sz w:val="26"/>
        </w:rPr>
        <w:t>3. Fase 2: Modelado de Funciones y Estructura del Sistema</w:t>
      </w:r>
    </w:p>
    <w:p>
      <w:pPr>
        <w:spacing w:after="80" w:before="0"/>
      </w:pPr>
      <w:r>
        <w:rPr>
          <w:rFonts w:ascii="Calibri" w:hAnsi="Calibri"/>
          <w:b w:val="0"/>
          <w:i w:val="0"/>
          <w:color w:val="1C222A"/>
          <w:sz w:val="20"/>
        </w:rPr>
        <w:t>En esta fase se construyeron los modelos UML del sistema: el diagrama de casos de uso general, los diagramas de actividad por módulo y el diagrama de dominio, todos correlacionados con los ocho módulos funcionales del SRS (RF1 a RF8) y sus casos de uso asociados (CU-01 a CU-08 y CU-04.4).</w:t>
      </w:r>
    </w:p>
    <w:p>
      <w:pPr>
        <w:spacing w:before="200" w:after="80"/>
      </w:pPr>
      <w:r>
        <w:rPr>
          <w:rFonts w:ascii="Calibri" w:hAnsi="Calibri"/>
          <w:b/>
          <w:color w:val="1C222A"/>
          <w:sz w:val="23"/>
        </w:rPr>
        <w:t>3.1 Documentación del Diagrama de Casos de Uso General</w:t>
      </w:r>
    </w:p>
    <w:p>
      <w:pPr>
        <w:spacing w:after="80" w:before="0"/>
      </w:pPr>
      <w:r>
        <w:rPr>
          <w:rFonts w:ascii="Calibri" w:hAnsi="Calibri"/>
          <w:b/>
          <w:i w:val="0"/>
          <w:color w:val="16716E"/>
          <w:sz w:val="21"/>
        </w:rPr>
        <w:t>3.1.1 Descripción General del Diagrama</w:t>
      </w:r>
    </w:p>
    <w:p>
      <w:pPr>
        <w:spacing w:after="80" w:before="0"/>
      </w:pPr>
      <w:r>
        <w:rPr>
          <w:rFonts w:ascii="Calibri" w:hAnsi="Calibri"/>
          <w:b w:val="0"/>
          <w:i w:val="0"/>
          <w:color w:val="1C222A"/>
          <w:sz w:val="20"/>
        </w:rPr>
        <w:t>El Diagrama de Casos de Uso General representa los límites del sistema ALMEXA, organizando las capacidades operativas mediante una estructura modular que agrupa los casos de uso por módulo funcional del SRS (RF1–RF8). El diagrama clasifica las interacciones según el rol que las ejecuta y expone al Sistema como componente que valida credenciales, aplica permisos y persiste los datos.</w:t>
      </w:r>
    </w:p>
    <w:p>
      <w:pPr>
        <w:spacing w:after="80" w:before="0"/>
      </w:pPr>
      <w:r>
        <w:rPr>
          <w:rFonts w:ascii="Calibri" w:hAnsi="Calibri"/>
          <w:b/>
          <w:i w:val="0"/>
          <w:color w:val="16716E"/>
          <w:sz w:val="21"/>
        </w:rPr>
        <w:t>3.1.2 Identificación y Descripción de Actores</w:t>
      </w:r>
    </w:p>
    <w:tbl>
      <w:tblPr>
        <w:tblStyle w:val="TableGrid"/>
        <w:jc w:val="center"/>
        <w:tblLook w:firstColumn="1" w:firstRow="1" w:lastColumn="0" w:lastRow="0" w:noHBand="0" w:noVBand="1" w:val="04A0"/>
        <w:tblLayout w:type="fixed"/>
        <w:tblW w:w="0" w:type="auto"/>
      </w:tblPr>
      <w:tblGrid>
        <w:gridCol w:w="1927"/>
        <w:gridCol w:w="6917"/>
      </w:tblGrid>
      <w:tr>
        <w:trPr>
          <w:tblHeader/>
          <w:cantSplit/>
        </w:trPr>
        <w:tc>
          <w:tcPr>
            <w:tcW w:type="dxa" w:w="1928"/>
            <w:shd w:val="clear" w:color="auto" w:fill="16716E"/>
          </w:tcPr>
          <w:p>
            <w:pPr>
              <w:spacing w:after="20"/>
            </w:pPr>
            <w:r>
              <w:rPr>
                <w:rFonts w:ascii="Calibri" w:hAnsi="Calibri"/>
                <w:b/>
                <w:color w:val="FFFFFF"/>
                <w:sz w:val="20"/>
              </w:rPr>
              <w:t>Actor</w:t>
            </w:r>
          </w:p>
        </w:tc>
        <w:tc>
          <w:tcPr>
            <w:tcW w:type="dxa" w:w="6917"/>
            <w:shd w:val="clear" w:color="auto" w:fill="16716E"/>
          </w:tcPr>
          <w:p>
            <w:pPr>
              <w:spacing w:after="20"/>
            </w:pPr>
            <w:r>
              <w:rPr>
                <w:rFonts w:ascii="Calibri" w:hAnsi="Calibri"/>
                <w:b/>
                <w:color w:val="FFFFFF"/>
                <w:sz w:val="20"/>
              </w:rPr>
              <w:t>Descripción</w:t>
            </w:r>
          </w:p>
        </w:tc>
      </w:tr>
      <w:tr>
        <w:trPr>
          <w:cantSplit/>
        </w:trPr>
        <w:tc>
          <w:tcPr>
            <w:tcW w:type="dxa" w:w="1928"/>
          </w:tcPr>
          <w:p>
            <w:pPr>
              <w:spacing w:after="20"/>
            </w:pPr>
            <w:r>
              <w:rPr>
                <w:rFonts w:ascii="Calibri" w:hAnsi="Calibri"/>
                <w:b w:val="0"/>
                <w:color w:val="1C222A"/>
                <w:sz w:val="19"/>
              </w:rPr>
              <w:t>Administrador</w:t>
            </w:r>
          </w:p>
        </w:tc>
        <w:tc>
          <w:tcPr>
            <w:tcW w:type="dxa" w:w="6917"/>
          </w:tcPr>
          <w:p>
            <w:pPr>
              <w:spacing w:after="20"/>
            </w:pPr>
            <w:r>
              <w:rPr>
                <w:rFonts w:ascii="Calibri" w:hAnsi="Calibri"/>
                <w:b w:val="0"/>
                <w:color w:val="1C222A"/>
                <w:sz w:val="19"/>
              </w:rPr>
              <w:t>Rol con el nivel más alto de privilegios. Gestiona usuarios, roles y permisos, proveedores, rutas, espacios de bodega y reportes.</w:t>
            </w:r>
          </w:p>
        </w:tc>
      </w:tr>
      <w:tr>
        <w:trPr>
          <w:cantSplit/>
        </w:trPr>
        <w:tc>
          <w:tcPr>
            <w:tcW w:type="dxa" w:w="1928"/>
            <w:shd w:val="clear" w:color="auto" w:fill="EAF2F1"/>
          </w:tcPr>
          <w:p>
            <w:pPr>
              <w:spacing w:after="20"/>
            </w:pPr>
            <w:r>
              <w:rPr>
                <w:rFonts w:ascii="Calibri" w:hAnsi="Calibri"/>
                <w:b w:val="0"/>
                <w:color w:val="1C222A"/>
                <w:sz w:val="19"/>
              </w:rPr>
              <w:t>Bodeguero</w:t>
            </w:r>
          </w:p>
        </w:tc>
        <w:tc>
          <w:tcPr>
            <w:tcW w:type="dxa" w:w="6917"/>
            <w:shd w:val="clear" w:color="auto" w:fill="EAF2F1"/>
          </w:tcPr>
          <w:p>
            <w:pPr>
              <w:spacing w:after="20"/>
            </w:pPr>
            <w:r>
              <w:rPr>
                <w:rFonts w:ascii="Calibri" w:hAnsi="Calibri"/>
                <w:b w:val="0"/>
                <w:color w:val="1C222A"/>
                <w:sz w:val="19"/>
              </w:rPr>
              <w:t>Rol operativo encargado del inventario: registra productos, realiza entradas y salidas de stock y administra los espacios y equipos de la bodega.</w:t>
            </w:r>
          </w:p>
        </w:tc>
      </w:tr>
      <w:tr>
        <w:trPr>
          <w:cantSplit/>
        </w:trPr>
        <w:tc>
          <w:tcPr>
            <w:tcW w:type="dxa" w:w="1928"/>
          </w:tcPr>
          <w:p>
            <w:pPr>
              <w:spacing w:after="20"/>
            </w:pPr>
            <w:r>
              <w:rPr>
                <w:rFonts w:ascii="Calibri" w:hAnsi="Calibri"/>
                <w:b w:val="0"/>
                <w:color w:val="1C222A"/>
                <w:sz w:val="19"/>
              </w:rPr>
              <w:t>Técnico</w:t>
            </w:r>
          </w:p>
        </w:tc>
        <w:tc>
          <w:tcPr>
            <w:tcW w:type="dxa" w:w="6917"/>
          </w:tcPr>
          <w:p>
            <w:pPr>
              <w:spacing w:after="20"/>
            </w:pPr>
            <w:r>
              <w:rPr>
                <w:rFonts w:ascii="Calibri" w:hAnsi="Calibri"/>
                <w:b w:val="0"/>
                <w:color w:val="1C222A"/>
                <w:sz w:val="19"/>
              </w:rPr>
              <w:t>Rol operativo encargado de las rutas y el transporte de productos, incluida la modificación y el seguimiento de las rutas.</w:t>
            </w:r>
          </w:p>
        </w:tc>
      </w:tr>
      <w:tr>
        <w:trPr>
          <w:cantSplit/>
        </w:trPr>
        <w:tc>
          <w:tcPr>
            <w:tcW w:type="dxa" w:w="1928"/>
            <w:shd w:val="clear" w:color="auto" w:fill="EAF2F1"/>
          </w:tcPr>
          <w:p>
            <w:pPr>
              <w:spacing w:after="20"/>
            </w:pPr>
            <w:r>
              <w:rPr>
                <w:rFonts w:ascii="Calibri" w:hAnsi="Calibri"/>
                <w:b w:val="0"/>
                <w:color w:val="1C222A"/>
                <w:sz w:val="19"/>
              </w:rPr>
              <w:t>Consultor</w:t>
            </w:r>
          </w:p>
        </w:tc>
        <w:tc>
          <w:tcPr>
            <w:tcW w:type="dxa" w:w="6917"/>
            <w:shd w:val="clear" w:color="auto" w:fill="EAF2F1"/>
          </w:tcPr>
          <w:p>
            <w:pPr>
              <w:spacing w:after="20"/>
            </w:pPr>
            <w:r>
              <w:rPr>
                <w:rFonts w:ascii="Calibri" w:hAnsi="Calibri"/>
                <w:b w:val="0"/>
                <w:color w:val="1C222A"/>
                <w:sz w:val="19"/>
              </w:rPr>
              <w:t>Rol de consulta: accede a la información de proveedores, inventario, espacios y reportes sin realizar modificaciones.</w:t>
            </w:r>
          </w:p>
        </w:tc>
      </w:tr>
      <w:tr>
        <w:trPr>
          <w:cantSplit/>
        </w:trPr>
        <w:tc>
          <w:tcPr>
            <w:tcW w:type="dxa" w:w="1928"/>
          </w:tcPr>
          <w:p>
            <w:pPr>
              <w:spacing w:after="20"/>
            </w:pPr>
            <w:r>
              <w:rPr>
                <w:rFonts w:ascii="Calibri" w:hAnsi="Calibri"/>
                <w:b w:val="0"/>
                <w:color w:val="1C222A"/>
                <w:sz w:val="19"/>
              </w:rPr>
              <w:t>Usuario</w:t>
            </w:r>
          </w:p>
        </w:tc>
        <w:tc>
          <w:tcPr>
            <w:tcW w:type="dxa" w:w="6917"/>
          </w:tcPr>
          <w:p>
            <w:pPr>
              <w:spacing w:after="20"/>
            </w:pPr>
            <w:r>
              <w:rPr>
                <w:rFonts w:ascii="Calibri" w:hAnsi="Calibri"/>
                <w:b w:val="0"/>
                <w:color w:val="1C222A"/>
                <w:sz w:val="19"/>
              </w:rPr>
              <w:t>Persona con cuenta propia en el sistema; depende del módulo de autenticación y del permiso asignado por su rol.</w:t>
            </w:r>
          </w:p>
        </w:tc>
      </w:tr>
      <w:tr>
        <w:trPr>
          <w:cantSplit/>
        </w:trPr>
        <w:tc>
          <w:tcPr>
            <w:tcW w:type="dxa" w:w="1928"/>
            <w:shd w:val="clear" w:color="auto" w:fill="EAF2F1"/>
          </w:tcPr>
          <w:p>
            <w:pPr>
              <w:spacing w:after="20"/>
            </w:pPr>
            <w:r>
              <w:rPr>
                <w:rFonts w:ascii="Calibri" w:hAnsi="Calibri"/>
                <w:b w:val="0"/>
                <w:color w:val="1C222A"/>
                <w:sz w:val="19"/>
              </w:rPr>
              <w:t>Sistema</w:t>
            </w:r>
          </w:p>
        </w:tc>
        <w:tc>
          <w:tcPr>
            <w:tcW w:type="dxa" w:w="6917"/>
            <w:shd w:val="clear" w:color="auto" w:fill="EAF2F1"/>
          </w:tcPr>
          <w:p>
            <w:pPr>
              <w:spacing w:after="20"/>
            </w:pPr>
            <w:r>
              <w:rPr>
                <w:rFonts w:ascii="Calibri" w:hAnsi="Calibri"/>
                <w:b w:val="0"/>
                <w:color w:val="1C222A"/>
                <w:sz w:val="19"/>
              </w:rPr>
              <w:t>Componente de software encargado de la validación de credenciales, la aplicación de permisos por rol, la persistencia en PostgreSQL y la generación de reportes.</w:t>
            </w:r>
          </w:p>
        </w:tc>
      </w:tr>
      <w:tr>
        <w:trPr>
          <w:cantSplit/>
        </w:trPr>
        <w:tc>
          <w:tcPr>
            <w:tcW w:type="dxa" w:w="1928"/>
          </w:tcPr>
          <w:p>
            <w:pPr>
              <w:spacing w:after="20"/>
            </w:pPr>
            <w:r>
              <w:rPr>
                <w:rFonts w:ascii="Calibri" w:hAnsi="Calibri"/>
                <w:b w:val="0"/>
                <w:color w:val="1C222A"/>
                <w:sz w:val="19"/>
              </w:rPr>
              <w:t>Sistema Externo</w:t>
            </w:r>
          </w:p>
        </w:tc>
        <w:tc>
          <w:tcPr>
            <w:tcW w:type="dxa" w:w="6917"/>
          </w:tcPr>
          <w:p>
            <w:pPr>
              <w:spacing w:after="20"/>
            </w:pPr>
            <w:r>
              <w:rPr>
                <w:rFonts w:ascii="Calibri" w:hAnsi="Calibri"/>
                <w:b w:val="0"/>
                <w:color w:val="1C222A"/>
                <w:sz w:val="19"/>
              </w:rPr>
              <w:t>Aplicación externa autorizada que consulta productos, stock y precios mediante la API (RF8) con autenticación por token.</w:t>
            </w:r>
          </w:p>
        </w:tc>
      </w:tr>
    </w:tbl>
    <w:p>
      <w:pPr>
        <w:spacing w:after="80" w:before="0"/>
      </w:pPr>
      <w:r>
        <w:rPr>
          <w:rFonts w:ascii="Calibri" w:hAnsi="Calibri"/>
          <w:b/>
          <w:i w:val="0"/>
          <w:color w:val="16716E"/>
          <w:sz w:val="21"/>
        </w:rPr>
        <w:t>3.1.3 Estructura Modular de los Casos de Uso</w:t>
      </w:r>
    </w:p>
    <w:tbl>
      <w:tblPr>
        <w:tblStyle w:val="TableGrid"/>
        <w:jc w:val="center"/>
        <w:tblLook w:firstColumn="1" w:firstRow="1" w:lastColumn="0" w:lastRow="0" w:noHBand="0" w:noVBand="1" w:val="04A0"/>
        <w:tblLayout w:type="fixed"/>
        <w:tblW w:w="0" w:type="auto"/>
      </w:tblPr>
      <w:tblGrid>
        <w:gridCol w:w="1247"/>
        <w:gridCol w:w="1474"/>
        <w:gridCol w:w="3175"/>
        <w:gridCol w:w="2948"/>
      </w:tblGrid>
      <w:tr>
        <w:trPr>
          <w:tblHeader/>
          <w:cantSplit/>
        </w:trPr>
        <w:tc>
          <w:tcPr>
            <w:tcW w:type="dxa" w:w="1247"/>
            <w:shd w:val="clear" w:color="auto" w:fill="16716E"/>
          </w:tcPr>
          <w:p>
            <w:pPr>
              <w:spacing w:after="20"/>
            </w:pPr>
            <w:r>
              <w:rPr>
                <w:rFonts w:ascii="Calibri" w:hAnsi="Calibri"/>
                <w:b/>
                <w:color w:val="FFFFFF"/>
                <w:sz w:val="20"/>
              </w:rPr>
              <w:t>Caso de uso</w:t>
            </w:r>
          </w:p>
        </w:tc>
        <w:tc>
          <w:tcPr>
            <w:tcW w:type="dxa" w:w="1474"/>
            <w:shd w:val="clear" w:color="auto" w:fill="16716E"/>
          </w:tcPr>
          <w:p>
            <w:pPr>
              <w:spacing w:after="20"/>
            </w:pPr>
            <w:r>
              <w:rPr>
                <w:rFonts w:ascii="Calibri" w:hAnsi="Calibri"/>
                <w:b/>
                <w:color w:val="FFFFFF"/>
                <w:sz w:val="20"/>
              </w:rPr>
              <w:t>Diagrama de actividad</w:t>
            </w:r>
          </w:p>
        </w:tc>
        <w:tc>
          <w:tcPr>
            <w:tcW w:type="dxa" w:w="3175"/>
            <w:shd w:val="clear" w:color="auto" w:fill="16716E"/>
          </w:tcPr>
          <w:p>
            <w:pPr>
              <w:spacing w:after="20"/>
            </w:pPr>
            <w:r>
              <w:rPr>
                <w:rFonts w:ascii="Calibri" w:hAnsi="Calibri"/>
                <w:b/>
                <w:color w:val="FFFFFF"/>
                <w:sz w:val="20"/>
              </w:rPr>
              <w:t>Módulo (SRS)</w:t>
            </w:r>
          </w:p>
        </w:tc>
        <w:tc>
          <w:tcPr>
            <w:tcW w:type="dxa" w:w="2948"/>
            <w:shd w:val="clear" w:color="auto" w:fill="16716E"/>
          </w:tcPr>
          <w:p>
            <w:pPr>
              <w:spacing w:after="20"/>
            </w:pPr>
            <w:r>
              <w:rPr>
                <w:rFonts w:ascii="Calibri" w:hAnsi="Calibri"/>
                <w:b/>
                <w:color w:val="FFFFFF"/>
                <w:sz w:val="20"/>
              </w:rPr>
              <w:t>Actores</w:t>
            </w:r>
          </w:p>
        </w:tc>
      </w:tr>
      <w:tr>
        <w:trPr>
          <w:cantSplit/>
        </w:trPr>
        <w:tc>
          <w:tcPr>
            <w:tcW w:type="dxa" w:w="1247"/>
          </w:tcPr>
          <w:p>
            <w:pPr>
              <w:spacing w:after="20"/>
            </w:pPr>
            <w:r>
              <w:rPr>
                <w:rFonts w:ascii="Calibri" w:hAnsi="Calibri"/>
                <w:b w:val="0"/>
                <w:color w:val="1C222A"/>
                <w:sz w:val="18"/>
              </w:rPr>
              <w:t>CU-01</w:t>
            </w:r>
          </w:p>
        </w:tc>
        <w:tc>
          <w:tcPr>
            <w:tcW w:type="dxa" w:w="1474"/>
          </w:tcPr>
          <w:p>
            <w:pPr>
              <w:spacing w:after="20"/>
            </w:pPr>
            <w:r>
              <w:rPr>
                <w:rFonts w:ascii="Calibri" w:hAnsi="Calibri"/>
                <w:b w:val="0"/>
                <w:color w:val="1C222A"/>
                <w:sz w:val="18"/>
              </w:rPr>
              <w:t>DA-01</w:t>
            </w:r>
          </w:p>
        </w:tc>
        <w:tc>
          <w:tcPr>
            <w:tcW w:type="dxa" w:w="3175"/>
          </w:tcPr>
          <w:p>
            <w:pPr>
              <w:spacing w:after="20"/>
            </w:pPr>
            <w:r>
              <w:rPr>
                <w:rFonts w:ascii="Calibri" w:hAnsi="Calibri"/>
                <w:b w:val="0"/>
                <w:color w:val="1C222A"/>
                <w:sz w:val="18"/>
              </w:rPr>
              <w:t>RF1 - Usuarios</w:t>
            </w:r>
          </w:p>
        </w:tc>
        <w:tc>
          <w:tcPr>
            <w:tcW w:type="dxa" w:w="2948"/>
          </w:tcPr>
          <w:p>
            <w:pPr>
              <w:spacing w:after="20"/>
            </w:pPr>
            <w:r>
              <w:rPr>
                <w:rFonts w:ascii="Calibri" w:hAnsi="Calibri"/>
                <w:b w:val="0"/>
                <w:color w:val="1C222A"/>
                <w:sz w:val="18"/>
              </w:rPr>
              <w:t>Administrador, Usuario, Sistema</w:t>
            </w:r>
          </w:p>
        </w:tc>
      </w:tr>
      <w:tr>
        <w:trPr>
          <w:cantSplit/>
        </w:trPr>
        <w:tc>
          <w:tcPr>
            <w:tcW w:type="dxa" w:w="1247"/>
            <w:shd w:val="clear" w:color="auto" w:fill="EAF2F1"/>
          </w:tcPr>
          <w:p>
            <w:pPr>
              <w:spacing w:after="20"/>
            </w:pPr>
            <w:r>
              <w:rPr>
                <w:rFonts w:ascii="Calibri" w:hAnsi="Calibri"/>
                <w:b w:val="0"/>
                <w:color w:val="1C222A"/>
                <w:sz w:val="18"/>
              </w:rPr>
              <w:t>CU-02</w:t>
            </w:r>
          </w:p>
        </w:tc>
        <w:tc>
          <w:tcPr>
            <w:tcW w:type="dxa" w:w="1474"/>
            <w:shd w:val="clear" w:color="auto" w:fill="EAF2F1"/>
          </w:tcPr>
          <w:p>
            <w:pPr>
              <w:spacing w:after="20"/>
            </w:pPr>
            <w:r>
              <w:rPr>
                <w:rFonts w:ascii="Calibri" w:hAnsi="Calibri"/>
                <w:b w:val="0"/>
                <w:color w:val="1C222A"/>
                <w:sz w:val="18"/>
              </w:rPr>
              <w:t>DA-02</w:t>
            </w:r>
          </w:p>
        </w:tc>
        <w:tc>
          <w:tcPr>
            <w:tcW w:type="dxa" w:w="3175"/>
            <w:shd w:val="clear" w:color="auto" w:fill="EAF2F1"/>
          </w:tcPr>
          <w:p>
            <w:pPr>
              <w:spacing w:after="20"/>
            </w:pPr>
            <w:r>
              <w:rPr>
                <w:rFonts w:ascii="Calibri" w:hAnsi="Calibri"/>
                <w:b w:val="0"/>
                <w:color w:val="1C222A"/>
                <w:sz w:val="18"/>
              </w:rPr>
              <w:t>RF2 - Roles y permisos</w:t>
            </w:r>
          </w:p>
        </w:tc>
        <w:tc>
          <w:tcPr>
            <w:tcW w:type="dxa" w:w="2948"/>
            <w:shd w:val="clear" w:color="auto" w:fill="EAF2F1"/>
          </w:tcPr>
          <w:p>
            <w:pPr>
              <w:spacing w:after="20"/>
            </w:pPr>
            <w:r>
              <w:rPr>
                <w:rFonts w:ascii="Calibri" w:hAnsi="Calibri"/>
                <w:b w:val="0"/>
                <w:color w:val="1C222A"/>
                <w:sz w:val="18"/>
              </w:rPr>
              <w:t>Administrador, Usuario, Sistema</w:t>
            </w:r>
          </w:p>
        </w:tc>
      </w:tr>
      <w:tr>
        <w:trPr>
          <w:cantSplit/>
        </w:trPr>
        <w:tc>
          <w:tcPr>
            <w:tcW w:type="dxa" w:w="1247"/>
          </w:tcPr>
          <w:p>
            <w:pPr>
              <w:spacing w:after="20"/>
            </w:pPr>
            <w:r>
              <w:rPr>
                <w:rFonts w:ascii="Calibri" w:hAnsi="Calibri"/>
                <w:b w:val="0"/>
                <w:color w:val="1C222A"/>
                <w:sz w:val="18"/>
              </w:rPr>
              <w:t>CU-03</w:t>
            </w:r>
          </w:p>
        </w:tc>
        <w:tc>
          <w:tcPr>
            <w:tcW w:type="dxa" w:w="1474"/>
          </w:tcPr>
          <w:p>
            <w:pPr>
              <w:spacing w:after="20"/>
            </w:pPr>
            <w:r>
              <w:rPr>
                <w:rFonts w:ascii="Calibri" w:hAnsi="Calibri"/>
                <w:b w:val="0"/>
                <w:color w:val="1C222A"/>
                <w:sz w:val="18"/>
              </w:rPr>
              <w:t>DA-03</w:t>
            </w:r>
          </w:p>
        </w:tc>
        <w:tc>
          <w:tcPr>
            <w:tcW w:type="dxa" w:w="3175"/>
          </w:tcPr>
          <w:p>
            <w:pPr>
              <w:spacing w:after="20"/>
            </w:pPr>
            <w:r>
              <w:rPr>
                <w:rFonts w:ascii="Calibri" w:hAnsi="Calibri"/>
                <w:b w:val="0"/>
                <w:color w:val="1C222A"/>
                <w:sz w:val="18"/>
              </w:rPr>
              <w:t>RF3 - Proveedores</w:t>
            </w:r>
          </w:p>
        </w:tc>
        <w:tc>
          <w:tcPr>
            <w:tcW w:type="dxa" w:w="2948"/>
          </w:tcPr>
          <w:p>
            <w:pPr>
              <w:spacing w:after="20"/>
            </w:pPr>
            <w:r>
              <w:rPr>
                <w:rFonts w:ascii="Calibri" w:hAnsi="Calibri"/>
                <w:b w:val="0"/>
                <w:color w:val="1C222A"/>
                <w:sz w:val="18"/>
              </w:rPr>
              <w:t>Administrador, Consultor</w:t>
            </w:r>
          </w:p>
        </w:tc>
      </w:tr>
      <w:tr>
        <w:trPr>
          <w:cantSplit/>
        </w:trPr>
        <w:tc>
          <w:tcPr>
            <w:tcW w:type="dxa" w:w="1247"/>
            <w:shd w:val="clear" w:color="auto" w:fill="EAF2F1"/>
          </w:tcPr>
          <w:p>
            <w:pPr>
              <w:spacing w:after="20"/>
            </w:pPr>
            <w:r>
              <w:rPr>
                <w:rFonts w:ascii="Calibri" w:hAnsi="Calibri"/>
                <w:b w:val="0"/>
                <w:color w:val="1C222A"/>
                <w:sz w:val="18"/>
              </w:rPr>
              <w:t>CU-04</w:t>
            </w:r>
          </w:p>
        </w:tc>
        <w:tc>
          <w:tcPr>
            <w:tcW w:type="dxa" w:w="1474"/>
            <w:shd w:val="clear" w:color="auto" w:fill="EAF2F1"/>
          </w:tcPr>
          <w:p>
            <w:pPr>
              <w:spacing w:after="20"/>
            </w:pPr>
            <w:r>
              <w:rPr>
                <w:rFonts w:ascii="Calibri" w:hAnsi="Calibri"/>
                <w:b w:val="0"/>
                <w:color w:val="1C222A"/>
                <w:sz w:val="18"/>
              </w:rPr>
              <w:t>DA-04</w:t>
            </w:r>
          </w:p>
        </w:tc>
        <w:tc>
          <w:tcPr>
            <w:tcW w:type="dxa" w:w="3175"/>
            <w:shd w:val="clear" w:color="auto" w:fill="EAF2F1"/>
          </w:tcPr>
          <w:p>
            <w:pPr>
              <w:spacing w:after="20"/>
            </w:pPr>
            <w:r>
              <w:rPr>
                <w:rFonts w:ascii="Calibri" w:hAnsi="Calibri"/>
                <w:b w:val="0"/>
                <w:color w:val="1C222A"/>
                <w:sz w:val="18"/>
              </w:rPr>
              <w:t>RF4 - Rutas y transporte</w:t>
            </w:r>
          </w:p>
        </w:tc>
        <w:tc>
          <w:tcPr>
            <w:tcW w:type="dxa" w:w="2948"/>
            <w:shd w:val="clear" w:color="auto" w:fill="EAF2F1"/>
          </w:tcPr>
          <w:p>
            <w:pPr>
              <w:spacing w:after="20"/>
            </w:pPr>
            <w:r>
              <w:rPr>
                <w:rFonts w:ascii="Calibri" w:hAnsi="Calibri"/>
                <w:b w:val="0"/>
                <w:color w:val="1C222A"/>
                <w:sz w:val="18"/>
              </w:rPr>
              <w:t>Técnico, Sistema</w:t>
            </w:r>
          </w:p>
        </w:tc>
      </w:tr>
      <w:tr>
        <w:trPr>
          <w:cantSplit/>
        </w:trPr>
        <w:tc>
          <w:tcPr>
            <w:tcW w:type="dxa" w:w="1247"/>
          </w:tcPr>
          <w:p>
            <w:pPr>
              <w:spacing w:after="20"/>
            </w:pPr>
            <w:r>
              <w:rPr>
                <w:rFonts w:ascii="Calibri" w:hAnsi="Calibri"/>
                <w:b w:val="0"/>
                <w:color w:val="1C222A"/>
                <w:sz w:val="18"/>
              </w:rPr>
              <w:t>CU-04.4</w:t>
            </w:r>
          </w:p>
        </w:tc>
        <w:tc>
          <w:tcPr>
            <w:tcW w:type="dxa" w:w="1474"/>
          </w:tcPr>
          <w:p>
            <w:pPr>
              <w:spacing w:after="20"/>
            </w:pPr>
            <w:r>
              <w:rPr>
                <w:rFonts w:ascii="Calibri" w:hAnsi="Calibri"/>
                <w:b w:val="0"/>
                <w:color w:val="1C222A"/>
                <w:sz w:val="18"/>
              </w:rPr>
              <w:t>DA-04</w:t>
            </w:r>
          </w:p>
        </w:tc>
        <w:tc>
          <w:tcPr>
            <w:tcW w:type="dxa" w:w="3175"/>
          </w:tcPr>
          <w:p>
            <w:pPr>
              <w:spacing w:after="20"/>
            </w:pPr>
            <w:r>
              <w:rPr>
                <w:rFonts w:ascii="Calibri" w:hAnsi="Calibri"/>
                <w:b w:val="0"/>
                <w:color w:val="1C222A"/>
                <w:sz w:val="18"/>
              </w:rPr>
              <w:t>RF4 - Modificar ruta</w:t>
            </w:r>
          </w:p>
        </w:tc>
        <w:tc>
          <w:tcPr>
            <w:tcW w:type="dxa" w:w="2948"/>
          </w:tcPr>
          <w:p>
            <w:pPr>
              <w:spacing w:after="20"/>
            </w:pPr>
            <w:r>
              <w:rPr>
                <w:rFonts w:ascii="Calibri" w:hAnsi="Calibri"/>
                <w:b w:val="0"/>
                <w:color w:val="1C222A"/>
                <w:sz w:val="18"/>
              </w:rPr>
              <w:t>Técnico, Sistema</w:t>
            </w:r>
          </w:p>
        </w:tc>
      </w:tr>
      <w:tr>
        <w:trPr>
          <w:cantSplit/>
        </w:trPr>
        <w:tc>
          <w:tcPr>
            <w:tcW w:type="dxa" w:w="1247"/>
            <w:shd w:val="clear" w:color="auto" w:fill="EAF2F1"/>
          </w:tcPr>
          <w:p>
            <w:pPr>
              <w:spacing w:after="20"/>
            </w:pPr>
            <w:r>
              <w:rPr>
                <w:rFonts w:ascii="Calibri" w:hAnsi="Calibri"/>
                <w:b w:val="0"/>
                <w:color w:val="1C222A"/>
                <w:sz w:val="18"/>
              </w:rPr>
              <w:t>CU-05</w:t>
            </w:r>
          </w:p>
        </w:tc>
        <w:tc>
          <w:tcPr>
            <w:tcW w:type="dxa" w:w="1474"/>
            <w:shd w:val="clear" w:color="auto" w:fill="EAF2F1"/>
          </w:tcPr>
          <w:p>
            <w:pPr>
              <w:spacing w:after="20"/>
            </w:pPr>
            <w:r>
              <w:rPr>
                <w:rFonts w:ascii="Calibri" w:hAnsi="Calibri"/>
                <w:b w:val="0"/>
                <w:color w:val="1C222A"/>
                <w:sz w:val="18"/>
              </w:rPr>
              <w:t>DA-05</w:t>
            </w:r>
          </w:p>
        </w:tc>
        <w:tc>
          <w:tcPr>
            <w:tcW w:type="dxa" w:w="3175"/>
            <w:shd w:val="clear" w:color="auto" w:fill="EAF2F1"/>
          </w:tcPr>
          <w:p>
            <w:pPr>
              <w:spacing w:after="20"/>
            </w:pPr>
            <w:r>
              <w:rPr>
                <w:rFonts w:ascii="Calibri" w:hAnsi="Calibri"/>
                <w:b w:val="0"/>
                <w:color w:val="1C222A"/>
                <w:sz w:val="18"/>
              </w:rPr>
              <w:t>RF5 - Inventario y productos</w:t>
            </w:r>
          </w:p>
        </w:tc>
        <w:tc>
          <w:tcPr>
            <w:tcW w:type="dxa" w:w="2948"/>
            <w:shd w:val="clear" w:color="auto" w:fill="EAF2F1"/>
          </w:tcPr>
          <w:p>
            <w:pPr>
              <w:spacing w:after="20"/>
            </w:pPr>
            <w:r>
              <w:rPr>
                <w:rFonts w:ascii="Calibri" w:hAnsi="Calibri"/>
                <w:b w:val="0"/>
                <w:color w:val="1C222A"/>
                <w:sz w:val="18"/>
              </w:rPr>
              <w:t>Bodeguero, Administrador, Consultor</w:t>
            </w:r>
          </w:p>
        </w:tc>
      </w:tr>
      <w:tr>
        <w:trPr>
          <w:cantSplit/>
        </w:trPr>
        <w:tc>
          <w:tcPr>
            <w:tcW w:type="dxa" w:w="1247"/>
          </w:tcPr>
          <w:p>
            <w:pPr>
              <w:spacing w:after="20"/>
            </w:pPr>
            <w:r>
              <w:rPr>
                <w:rFonts w:ascii="Calibri" w:hAnsi="Calibri"/>
                <w:b w:val="0"/>
                <w:color w:val="1C222A"/>
                <w:sz w:val="18"/>
              </w:rPr>
              <w:t>CU-06</w:t>
            </w:r>
          </w:p>
        </w:tc>
        <w:tc>
          <w:tcPr>
            <w:tcW w:type="dxa" w:w="1474"/>
          </w:tcPr>
          <w:p>
            <w:pPr>
              <w:spacing w:after="20"/>
            </w:pPr>
            <w:r>
              <w:rPr>
                <w:rFonts w:ascii="Calibri" w:hAnsi="Calibri"/>
                <w:b w:val="0"/>
                <w:color w:val="1C222A"/>
                <w:sz w:val="18"/>
              </w:rPr>
              <w:t>DA-06</w:t>
            </w:r>
          </w:p>
        </w:tc>
        <w:tc>
          <w:tcPr>
            <w:tcW w:type="dxa" w:w="3175"/>
          </w:tcPr>
          <w:p>
            <w:pPr>
              <w:spacing w:after="20"/>
            </w:pPr>
            <w:r>
              <w:rPr>
                <w:rFonts w:ascii="Calibri" w:hAnsi="Calibri"/>
                <w:b w:val="0"/>
                <w:color w:val="1C222A"/>
                <w:sz w:val="18"/>
              </w:rPr>
              <w:t>RF6 - Espacios y bodega</w:t>
            </w:r>
          </w:p>
        </w:tc>
        <w:tc>
          <w:tcPr>
            <w:tcW w:type="dxa" w:w="2948"/>
          </w:tcPr>
          <w:p>
            <w:pPr>
              <w:spacing w:after="20"/>
            </w:pPr>
            <w:r>
              <w:rPr>
                <w:rFonts w:ascii="Calibri" w:hAnsi="Calibri"/>
                <w:b w:val="0"/>
                <w:color w:val="1C222A"/>
                <w:sz w:val="18"/>
              </w:rPr>
              <w:t>Administrador, Consultor</w:t>
            </w:r>
          </w:p>
        </w:tc>
      </w:tr>
      <w:tr>
        <w:trPr>
          <w:cantSplit/>
        </w:trPr>
        <w:tc>
          <w:tcPr>
            <w:tcW w:type="dxa" w:w="1247"/>
            <w:shd w:val="clear" w:color="auto" w:fill="EAF2F1"/>
          </w:tcPr>
          <w:p>
            <w:pPr>
              <w:spacing w:after="20"/>
            </w:pPr>
            <w:r>
              <w:rPr>
                <w:rFonts w:ascii="Calibri" w:hAnsi="Calibri"/>
                <w:b w:val="0"/>
                <w:color w:val="1C222A"/>
                <w:sz w:val="18"/>
              </w:rPr>
              <w:t>CU-07</w:t>
            </w:r>
          </w:p>
        </w:tc>
        <w:tc>
          <w:tcPr>
            <w:tcW w:type="dxa" w:w="1474"/>
            <w:shd w:val="clear" w:color="auto" w:fill="EAF2F1"/>
          </w:tcPr>
          <w:p>
            <w:pPr>
              <w:spacing w:after="20"/>
            </w:pPr>
            <w:r>
              <w:rPr>
                <w:rFonts w:ascii="Calibri" w:hAnsi="Calibri"/>
                <w:b w:val="0"/>
                <w:color w:val="1C222A"/>
                <w:sz w:val="18"/>
              </w:rPr>
              <w:t>DA-07</w:t>
            </w:r>
          </w:p>
        </w:tc>
        <w:tc>
          <w:tcPr>
            <w:tcW w:type="dxa" w:w="3175"/>
            <w:shd w:val="clear" w:color="auto" w:fill="EAF2F1"/>
          </w:tcPr>
          <w:p>
            <w:pPr>
              <w:spacing w:after="20"/>
            </w:pPr>
            <w:r>
              <w:rPr>
                <w:rFonts w:ascii="Calibri" w:hAnsi="Calibri"/>
                <w:b w:val="0"/>
                <w:color w:val="1C222A"/>
                <w:sz w:val="18"/>
              </w:rPr>
              <w:t>RF7 - Reportes e informes</w:t>
            </w:r>
          </w:p>
        </w:tc>
        <w:tc>
          <w:tcPr>
            <w:tcW w:type="dxa" w:w="2948"/>
            <w:shd w:val="clear" w:color="auto" w:fill="EAF2F1"/>
          </w:tcPr>
          <w:p>
            <w:pPr>
              <w:spacing w:after="20"/>
            </w:pPr>
            <w:r>
              <w:rPr>
                <w:rFonts w:ascii="Calibri" w:hAnsi="Calibri"/>
                <w:b w:val="0"/>
                <w:color w:val="1C222A"/>
                <w:sz w:val="18"/>
              </w:rPr>
              <w:t>Administrador, Consultor</w:t>
            </w:r>
          </w:p>
        </w:tc>
      </w:tr>
      <w:tr>
        <w:trPr>
          <w:cantSplit/>
        </w:trPr>
        <w:tc>
          <w:tcPr>
            <w:tcW w:type="dxa" w:w="1247"/>
          </w:tcPr>
          <w:p>
            <w:pPr>
              <w:spacing w:after="20"/>
            </w:pPr>
            <w:r>
              <w:rPr>
                <w:rFonts w:ascii="Calibri" w:hAnsi="Calibri"/>
                <w:b w:val="0"/>
                <w:color w:val="1C222A"/>
                <w:sz w:val="18"/>
              </w:rPr>
              <w:t>CU-08</w:t>
            </w:r>
          </w:p>
        </w:tc>
        <w:tc>
          <w:tcPr>
            <w:tcW w:type="dxa" w:w="1474"/>
          </w:tcPr>
          <w:p>
            <w:pPr>
              <w:spacing w:after="20"/>
            </w:pPr>
            <w:r>
              <w:rPr>
                <w:rFonts w:ascii="Calibri" w:hAnsi="Calibri"/>
                <w:b w:val="0"/>
                <w:color w:val="1C222A"/>
                <w:sz w:val="18"/>
              </w:rPr>
              <w:t>DA-08</w:t>
            </w:r>
          </w:p>
        </w:tc>
        <w:tc>
          <w:tcPr>
            <w:tcW w:type="dxa" w:w="3175"/>
          </w:tcPr>
          <w:p>
            <w:pPr>
              <w:spacing w:after="20"/>
            </w:pPr>
            <w:r>
              <w:rPr>
                <w:rFonts w:ascii="Calibri" w:hAnsi="Calibri"/>
                <w:b w:val="0"/>
                <w:color w:val="1C222A"/>
                <w:sz w:val="18"/>
              </w:rPr>
              <w:t>RF8 - API de integración externa</w:t>
            </w:r>
          </w:p>
        </w:tc>
        <w:tc>
          <w:tcPr>
            <w:tcW w:type="dxa" w:w="2948"/>
          </w:tcPr>
          <w:p>
            <w:pPr>
              <w:spacing w:after="20"/>
            </w:pPr>
            <w:r>
              <w:rPr>
                <w:rFonts w:ascii="Calibri" w:hAnsi="Calibri"/>
                <w:b w:val="0"/>
                <w:color w:val="1C222A"/>
                <w:sz w:val="18"/>
              </w:rPr>
              <w:t>Sistema Externo, Administrador</w:t>
            </w:r>
          </w:p>
        </w:tc>
      </w:tr>
    </w:tbl>
    <w:p>
      <w:pPr>
        <w:spacing w:after="80" w:before="0"/>
      </w:pPr>
      <w:r>
        <w:rPr>
          <w:rFonts w:ascii="Calibri" w:hAnsi="Calibri"/>
          <w:b/>
          <w:i w:val="0"/>
          <w:color w:val="16716E"/>
          <w:sz w:val="21"/>
        </w:rPr>
        <w:t>3.1.4 Objetivos de los casos de uso</w:t>
      </w:r>
    </w:p>
    <w:p>
      <w:pPr>
        <w:pStyle w:val="ListBullet"/>
        <w:spacing w:after="40"/>
      </w:pPr>
      <w:r>
        <w:rPr>
          <w:rFonts w:ascii="Calibri" w:hAnsi="Calibri"/>
          <w:color w:val="1C222A"/>
          <w:sz w:val="20"/>
        </w:rPr>
        <w:t>CU-01 · Gestión de Usuarios: permitir el registro, la autenticación y la administración de las cuentas de los usuarios del sistema.</w:t>
      </w:r>
    </w:p>
    <w:p>
      <w:pPr>
        <w:pStyle w:val="ListBullet"/>
        <w:spacing w:after="40"/>
      </w:pPr>
      <w:r>
        <w:rPr>
          <w:rFonts w:ascii="Calibri" w:hAnsi="Calibri"/>
          <w:color w:val="1C222A"/>
          <w:sz w:val="20"/>
        </w:rPr>
        <w:t>CU-02 · Gestión de Roles y Permisos: definir los roles del sistema, asignarlos a los usuarios y controlar el acceso según los permisos.</w:t>
      </w:r>
    </w:p>
    <w:p>
      <w:pPr>
        <w:pStyle w:val="ListBullet"/>
        <w:spacing w:after="40"/>
      </w:pPr>
      <w:r>
        <w:rPr>
          <w:rFonts w:ascii="Calibri" w:hAnsi="Calibri"/>
          <w:color w:val="1C222A"/>
          <w:sz w:val="20"/>
        </w:rPr>
        <w:t>CU-03 · Gestión de Proveedores: registrar, consultar, modificar y desactivar la información de los proveedores y asociarlos a los productos que suministran.</w:t>
      </w:r>
    </w:p>
    <w:p>
      <w:pPr>
        <w:pStyle w:val="ListBullet"/>
        <w:spacing w:after="40"/>
      </w:pPr>
      <w:r>
        <w:rPr>
          <w:rFonts w:ascii="Calibri" w:hAnsi="Calibri"/>
          <w:color w:val="1C222A"/>
          <w:sz w:val="20"/>
        </w:rPr>
        <w:t>CU-04 · Gestión de Rutas y Transporte: permitir al técnico registrar, modificar, eliminar y dar seguimiento a las rutas de transporte de productos.</w:t>
      </w:r>
    </w:p>
    <w:p>
      <w:pPr>
        <w:pStyle w:val="ListBullet"/>
        <w:spacing w:after="40"/>
      </w:pPr>
      <w:r>
        <w:rPr>
          <w:rFonts w:ascii="Calibri" w:hAnsi="Calibri"/>
          <w:color w:val="1C222A"/>
          <w:sz w:val="20"/>
        </w:rPr>
        <w:t>CU-05 · Gestión de Inventario y Productos: registrar los productos del inventario y controlar sus movimientos de entrada, salida y ajuste, con stock en tiempo real y panel de estado.</w:t>
      </w:r>
    </w:p>
    <w:p>
      <w:pPr>
        <w:pStyle w:val="ListBullet"/>
        <w:spacing w:after="40"/>
      </w:pPr>
      <w:r>
        <w:rPr>
          <w:rFonts w:ascii="Calibri" w:hAnsi="Calibri"/>
          <w:color w:val="1C222A"/>
          <w:sz w:val="20"/>
        </w:rPr>
        <w:t>CU-06 · Gestión de Espacios y Bodega: registrar y administrar los espacios de almacenamiento y los equipos de bodega, y asignar productos a dichos espacios.</w:t>
      </w:r>
    </w:p>
    <w:p>
      <w:pPr>
        <w:pStyle w:val="ListBullet"/>
        <w:spacing w:after="40"/>
      </w:pPr>
      <w:r>
        <w:rPr>
          <w:rFonts w:ascii="Calibri" w:hAnsi="Calibri"/>
          <w:color w:val="1C222A"/>
          <w:sz w:val="20"/>
        </w:rPr>
        <w:t>CU-07 · Reportes e Informes del Sistema: generar reportes sobre movimientos, entradas, salidas, estado del inventario, rutas, proveedores y stock, con exportación en PDF o Excel.</w:t>
      </w:r>
    </w:p>
    <w:p>
      <w:pPr>
        <w:pStyle w:val="ListBullet"/>
        <w:spacing w:after="40"/>
      </w:pPr>
      <w:r>
        <w:rPr>
          <w:rFonts w:ascii="Calibri" w:hAnsi="Calibri"/>
          <w:color w:val="1C222A"/>
          <w:sz w:val="20"/>
        </w:rPr>
        <w:t>CU-08 · API de Integración Externa: exponer servicios mediante una API para que los sistemas externos consulten productos, stock y precios de forma segura.</w:t>
      </w:r>
    </w:p>
    <w:p>
      <w:pPr>
        <w:spacing w:after="80" w:before="0"/>
      </w:pPr>
      <w:r>
        <w:rPr>
          <w:rFonts w:ascii="Calibri" w:hAnsi="Calibri"/>
          <w:b w:val="0"/>
          <w:i w:val="0"/>
          <w:color w:val="1C222A"/>
          <w:sz w:val="20"/>
        </w:rPr>
        <w:t>Relaciones destacadas: el inicio de sesión (CU-01) es un caso de uso base del que dependen la mayoría de los demás; los reportes de rutas y proveedores (CU-07) dependen de la información de los módulos CU-04 y CU-03.</w:t>
      </w:r>
    </w:p>
    <w:p>
      <w:pPr>
        <w:spacing w:before="200" w:after="80"/>
      </w:pPr>
      <w:r>
        <w:rPr>
          <w:rFonts w:ascii="Calibri" w:hAnsi="Calibri"/>
          <w:b/>
          <w:color w:val="1C222A"/>
          <w:sz w:val="23"/>
        </w:rPr>
        <w:t>3.2 Documentación del Diagrama de Dominio</w:t>
      </w:r>
    </w:p>
    <w:p>
      <w:pPr>
        <w:spacing w:after="80" w:before="0"/>
      </w:pPr>
      <w:r>
        <w:rPr>
          <w:rFonts w:ascii="Calibri" w:hAnsi="Calibri"/>
          <w:b w:val="0"/>
          <w:i w:val="0"/>
          <w:color w:val="1C222A"/>
          <w:sz w:val="20"/>
        </w:rPr>
        <w:t>El diagrama de dominio es un modelo conceptual que representa las principales entidades del negocio, sus atributos y sus relaciones. El modelo de ALMEXA se compone de 12 entidades (Usuario, Rol, BitacoraAcceso, Proveedor, Producto, MovimientoInventario, Ruta, EspacioAlmacenamiento, EquipoBodega, Reporte, SistemaExterno y TokenAPI) que en conjunto soportan los ocho módulos funcionales (RF1–RF8). Esta versión se alineó con el SRS en la descripción y el precio del producto, la justificación del ajuste manual de inventario y los actores formales (Administrador, Bodeguero, Técnico, Consultor).</w:t>
      </w:r>
    </w:p>
    <w:tbl>
      <w:tblPr>
        <w:tblStyle w:val="TableGrid"/>
        <w:jc w:val="center"/>
        <w:tblLook w:firstColumn="1" w:firstRow="1" w:lastColumn="0" w:lastRow="0" w:noHBand="0" w:noVBand="1" w:val="04A0"/>
        <w:tblLayout w:type="fixed"/>
        <w:tblW w:w="0" w:type="auto"/>
      </w:tblPr>
      <w:tblGrid>
        <w:gridCol w:w="2835"/>
        <w:gridCol w:w="6010"/>
      </w:tblGrid>
      <w:tr>
        <w:trPr>
          <w:tblHeader/>
          <w:cantSplit/>
        </w:trPr>
        <w:tc>
          <w:tcPr>
            <w:tcW w:type="dxa" w:w="2835"/>
            <w:shd w:val="clear" w:color="auto" w:fill="16716E"/>
          </w:tcPr>
          <w:p>
            <w:pPr>
              <w:spacing w:after="20"/>
            </w:pPr>
            <w:r>
              <w:rPr>
                <w:rFonts w:ascii="Calibri" w:hAnsi="Calibri"/>
                <w:b/>
                <w:color w:val="FFFFFF"/>
                <w:sz w:val="20"/>
              </w:rPr>
              <w:t>Entidad</w:t>
            </w:r>
          </w:p>
        </w:tc>
        <w:tc>
          <w:tcPr>
            <w:tcW w:type="dxa" w:w="6009"/>
            <w:shd w:val="clear" w:color="auto" w:fill="16716E"/>
          </w:tcPr>
          <w:p>
            <w:pPr>
              <w:spacing w:after="20"/>
            </w:pPr>
            <w:r>
              <w:rPr>
                <w:rFonts w:ascii="Calibri" w:hAnsi="Calibri"/>
                <w:b/>
                <w:color w:val="FFFFFF"/>
                <w:sz w:val="20"/>
              </w:rPr>
              <w:t>Qué representa</w:t>
            </w:r>
          </w:p>
        </w:tc>
      </w:tr>
      <w:tr>
        <w:trPr>
          <w:cantSplit/>
        </w:trPr>
        <w:tc>
          <w:tcPr>
            <w:tcW w:type="dxa" w:w="2835"/>
          </w:tcPr>
          <w:p>
            <w:pPr>
              <w:spacing w:after="20"/>
            </w:pPr>
            <w:r>
              <w:rPr>
                <w:rFonts w:ascii="Calibri" w:hAnsi="Calibri"/>
                <w:b w:val="0"/>
                <w:color w:val="1C222A"/>
                <w:sz w:val="19"/>
              </w:rPr>
              <w:t>Usuario</w:t>
            </w:r>
          </w:p>
        </w:tc>
        <w:tc>
          <w:tcPr>
            <w:tcW w:type="dxa" w:w="6009"/>
          </w:tcPr>
          <w:p>
            <w:pPr>
              <w:spacing w:after="20"/>
            </w:pPr>
            <w:r>
              <w:rPr>
                <w:rFonts w:ascii="Calibri" w:hAnsi="Calibri"/>
                <w:b w:val="0"/>
                <w:color w:val="1C222A"/>
                <w:sz w:val="19"/>
              </w:rPr>
              <w:t>Persona con cuenta de acceso; roles: Administrador, Bodeguero, Técnico, Consultor.</w:t>
            </w:r>
          </w:p>
        </w:tc>
      </w:tr>
      <w:tr>
        <w:trPr>
          <w:cantSplit/>
        </w:trPr>
        <w:tc>
          <w:tcPr>
            <w:tcW w:type="dxa" w:w="2835"/>
            <w:shd w:val="clear" w:color="auto" w:fill="EAF2F1"/>
          </w:tcPr>
          <w:p>
            <w:pPr>
              <w:spacing w:after="20"/>
            </w:pPr>
            <w:r>
              <w:rPr>
                <w:rFonts w:ascii="Calibri" w:hAnsi="Calibri"/>
                <w:b w:val="0"/>
                <w:color w:val="1C222A"/>
                <w:sz w:val="19"/>
              </w:rPr>
              <w:t>Rol</w:t>
            </w:r>
          </w:p>
        </w:tc>
        <w:tc>
          <w:tcPr>
            <w:tcW w:type="dxa" w:w="6009"/>
            <w:shd w:val="clear" w:color="auto" w:fill="EAF2F1"/>
          </w:tcPr>
          <w:p>
            <w:pPr>
              <w:spacing w:after="20"/>
            </w:pPr>
            <w:r>
              <w:rPr>
                <w:rFonts w:ascii="Calibri" w:hAnsi="Calibri"/>
                <w:b w:val="0"/>
                <w:color w:val="1C222A"/>
                <w:sz w:val="19"/>
              </w:rPr>
              <w:t>Conjunto de permisos que determina el nivel de acceso.</w:t>
            </w:r>
          </w:p>
        </w:tc>
      </w:tr>
      <w:tr>
        <w:trPr>
          <w:cantSplit/>
        </w:trPr>
        <w:tc>
          <w:tcPr>
            <w:tcW w:type="dxa" w:w="2835"/>
          </w:tcPr>
          <w:p>
            <w:pPr>
              <w:spacing w:after="20"/>
            </w:pPr>
            <w:r>
              <w:rPr>
                <w:rFonts w:ascii="Calibri" w:hAnsi="Calibri"/>
                <w:b w:val="0"/>
                <w:color w:val="1C222A"/>
                <w:sz w:val="19"/>
              </w:rPr>
              <w:t>BitacoraAcceso</w:t>
            </w:r>
          </w:p>
        </w:tc>
        <w:tc>
          <w:tcPr>
            <w:tcW w:type="dxa" w:w="6009"/>
          </w:tcPr>
          <w:p>
            <w:pPr>
              <w:spacing w:after="20"/>
            </w:pPr>
            <w:r>
              <w:rPr>
                <w:rFonts w:ascii="Calibri" w:hAnsi="Calibri"/>
                <w:b w:val="0"/>
                <w:color w:val="1C222A"/>
                <w:sz w:val="19"/>
              </w:rPr>
              <w:t>Registro de intentos de acceso, exitosos o fallidos, para auditoría.</w:t>
            </w:r>
          </w:p>
        </w:tc>
      </w:tr>
      <w:tr>
        <w:trPr>
          <w:cantSplit/>
        </w:trPr>
        <w:tc>
          <w:tcPr>
            <w:tcW w:type="dxa" w:w="2835"/>
            <w:shd w:val="clear" w:color="auto" w:fill="EAF2F1"/>
          </w:tcPr>
          <w:p>
            <w:pPr>
              <w:spacing w:after="20"/>
            </w:pPr>
            <w:r>
              <w:rPr>
                <w:rFonts w:ascii="Calibri" w:hAnsi="Calibri"/>
                <w:b w:val="0"/>
                <w:color w:val="1C222A"/>
                <w:sz w:val="19"/>
              </w:rPr>
              <w:t>Proveedor</w:t>
            </w:r>
          </w:p>
        </w:tc>
        <w:tc>
          <w:tcPr>
            <w:tcW w:type="dxa" w:w="6009"/>
            <w:shd w:val="clear" w:color="auto" w:fill="EAF2F1"/>
          </w:tcPr>
          <w:p>
            <w:pPr>
              <w:spacing w:after="20"/>
            </w:pPr>
            <w:r>
              <w:rPr>
                <w:rFonts w:ascii="Calibri" w:hAnsi="Calibri"/>
                <w:b w:val="0"/>
                <w:color w:val="1C222A"/>
                <w:sz w:val="19"/>
              </w:rPr>
              <w:t>Empresa o persona que suministra los productos gestionados.</w:t>
            </w:r>
          </w:p>
        </w:tc>
      </w:tr>
      <w:tr>
        <w:trPr>
          <w:cantSplit/>
        </w:trPr>
        <w:tc>
          <w:tcPr>
            <w:tcW w:type="dxa" w:w="2835"/>
          </w:tcPr>
          <w:p>
            <w:pPr>
              <w:spacing w:after="20"/>
            </w:pPr>
            <w:r>
              <w:rPr>
                <w:rFonts w:ascii="Calibri" w:hAnsi="Calibri"/>
                <w:b w:val="0"/>
                <w:color w:val="1C222A"/>
                <w:sz w:val="19"/>
              </w:rPr>
              <w:t>Producto</w:t>
            </w:r>
          </w:p>
        </w:tc>
        <w:tc>
          <w:tcPr>
            <w:tcW w:type="dxa" w:w="6009"/>
          </w:tcPr>
          <w:p>
            <w:pPr>
              <w:spacing w:after="20"/>
            </w:pPr>
            <w:r>
              <w:rPr>
                <w:rFonts w:ascii="Calibri" w:hAnsi="Calibri"/>
                <w:b w:val="0"/>
                <w:color w:val="1C222A"/>
                <w:sz w:val="19"/>
              </w:rPr>
              <w:t>Ítem del inventario; incluye código, descripción, precio y stock.</w:t>
            </w:r>
          </w:p>
        </w:tc>
      </w:tr>
      <w:tr>
        <w:trPr>
          <w:cantSplit/>
        </w:trPr>
        <w:tc>
          <w:tcPr>
            <w:tcW w:type="dxa" w:w="2835"/>
            <w:shd w:val="clear" w:color="auto" w:fill="EAF2F1"/>
          </w:tcPr>
          <w:p>
            <w:pPr>
              <w:spacing w:after="20"/>
            </w:pPr>
            <w:r>
              <w:rPr>
                <w:rFonts w:ascii="Calibri" w:hAnsi="Calibri"/>
                <w:b w:val="0"/>
                <w:color w:val="1C222A"/>
                <w:sz w:val="19"/>
              </w:rPr>
              <w:t>MovimientoInventario</w:t>
            </w:r>
          </w:p>
        </w:tc>
        <w:tc>
          <w:tcPr>
            <w:tcW w:type="dxa" w:w="6009"/>
            <w:shd w:val="clear" w:color="auto" w:fill="EAF2F1"/>
          </w:tcPr>
          <w:p>
            <w:pPr>
              <w:spacing w:after="20"/>
            </w:pPr>
            <w:r>
              <w:rPr>
                <w:rFonts w:ascii="Calibri" w:hAnsi="Calibri"/>
                <w:b w:val="0"/>
                <w:color w:val="1C222A"/>
                <w:sz w:val="19"/>
              </w:rPr>
              <w:t>Entrada, salida o ajuste, con fecha, hora, usuario y justificación.</w:t>
            </w:r>
          </w:p>
        </w:tc>
      </w:tr>
      <w:tr>
        <w:trPr>
          <w:cantSplit/>
        </w:trPr>
        <w:tc>
          <w:tcPr>
            <w:tcW w:type="dxa" w:w="2835"/>
          </w:tcPr>
          <w:p>
            <w:pPr>
              <w:spacing w:after="20"/>
            </w:pPr>
            <w:r>
              <w:rPr>
                <w:rFonts w:ascii="Calibri" w:hAnsi="Calibri"/>
                <w:b w:val="0"/>
                <w:color w:val="1C222A"/>
                <w:sz w:val="19"/>
              </w:rPr>
              <w:t>Ruta</w:t>
            </w:r>
          </w:p>
        </w:tc>
        <w:tc>
          <w:tcPr>
            <w:tcW w:type="dxa" w:w="6009"/>
          </w:tcPr>
          <w:p>
            <w:pPr>
              <w:spacing w:after="20"/>
            </w:pPr>
            <w:r>
              <w:rPr>
                <w:rFonts w:ascii="Calibri" w:hAnsi="Calibri"/>
                <w:b w:val="0"/>
                <w:color w:val="1C222A"/>
                <w:sz w:val="19"/>
              </w:rPr>
              <w:t>Trayecto de transporte de productos.</w:t>
            </w:r>
          </w:p>
        </w:tc>
      </w:tr>
      <w:tr>
        <w:trPr>
          <w:cantSplit/>
        </w:trPr>
        <w:tc>
          <w:tcPr>
            <w:tcW w:type="dxa" w:w="2835"/>
            <w:shd w:val="clear" w:color="auto" w:fill="EAF2F1"/>
          </w:tcPr>
          <w:p>
            <w:pPr>
              <w:spacing w:after="20"/>
            </w:pPr>
            <w:r>
              <w:rPr>
                <w:rFonts w:ascii="Calibri" w:hAnsi="Calibri"/>
                <w:b w:val="0"/>
                <w:color w:val="1C222A"/>
                <w:sz w:val="19"/>
              </w:rPr>
              <w:t>EspacioAlmacenamiento</w:t>
            </w:r>
          </w:p>
        </w:tc>
        <w:tc>
          <w:tcPr>
            <w:tcW w:type="dxa" w:w="6009"/>
            <w:shd w:val="clear" w:color="auto" w:fill="EAF2F1"/>
          </w:tcPr>
          <w:p>
            <w:pPr>
              <w:spacing w:after="20"/>
            </w:pPr>
            <w:r>
              <w:rPr>
                <w:rFonts w:ascii="Calibri" w:hAnsi="Calibri"/>
                <w:b w:val="0"/>
                <w:color w:val="1C222A"/>
                <w:sz w:val="19"/>
              </w:rPr>
              <w:t>Ubicación física de la bodega con capacidad y ocupación.</w:t>
            </w:r>
          </w:p>
        </w:tc>
      </w:tr>
      <w:tr>
        <w:trPr>
          <w:cantSplit/>
        </w:trPr>
        <w:tc>
          <w:tcPr>
            <w:tcW w:type="dxa" w:w="2835"/>
          </w:tcPr>
          <w:p>
            <w:pPr>
              <w:spacing w:after="20"/>
            </w:pPr>
            <w:r>
              <w:rPr>
                <w:rFonts w:ascii="Calibri" w:hAnsi="Calibri"/>
                <w:b w:val="0"/>
                <w:color w:val="1C222A"/>
                <w:sz w:val="19"/>
              </w:rPr>
              <w:t>EquipoBodega</w:t>
            </w:r>
          </w:p>
        </w:tc>
        <w:tc>
          <w:tcPr>
            <w:tcW w:type="dxa" w:w="6009"/>
          </w:tcPr>
          <w:p>
            <w:pPr>
              <w:spacing w:after="20"/>
            </w:pPr>
            <w:r>
              <w:rPr>
                <w:rFonts w:ascii="Calibri" w:hAnsi="Calibri"/>
                <w:b w:val="0"/>
                <w:color w:val="1C222A"/>
                <w:sz w:val="19"/>
              </w:rPr>
              <w:t>Equipamiento físico de la bodega.</w:t>
            </w:r>
          </w:p>
        </w:tc>
      </w:tr>
      <w:tr>
        <w:trPr>
          <w:cantSplit/>
        </w:trPr>
        <w:tc>
          <w:tcPr>
            <w:tcW w:type="dxa" w:w="2835"/>
            <w:shd w:val="clear" w:color="auto" w:fill="EAF2F1"/>
          </w:tcPr>
          <w:p>
            <w:pPr>
              <w:spacing w:after="20"/>
            </w:pPr>
            <w:r>
              <w:rPr>
                <w:rFonts w:ascii="Calibri" w:hAnsi="Calibri"/>
                <w:b w:val="0"/>
                <w:color w:val="1C222A"/>
                <w:sz w:val="19"/>
              </w:rPr>
              <w:t>Reporte</w:t>
            </w:r>
          </w:p>
        </w:tc>
        <w:tc>
          <w:tcPr>
            <w:tcW w:type="dxa" w:w="6009"/>
            <w:shd w:val="clear" w:color="auto" w:fill="EAF2F1"/>
          </w:tcPr>
          <w:p>
            <w:pPr>
              <w:spacing w:after="20"/>
            </w:pPr>
            <w:r>
              <w:rPr>
                <w:rFonts w:ascii="Calibri" w:hAnsi="Calibri"/>
                <w:b w:val="0"/>
                <w:color w:val="1C222A"/>
                <w:sz w:val="19"/>
              </w:rPr>
              <w:t>Informe generado con exportación en PDF o Excel.</w:t>
            </w:r>
          </w:p>
        </w:tc>
      </w:tr>
      <w:tr>
        <w:trPr>
          <w:cantSplit/>
        </w:trPr>
        <w:tc>
          <w:tcPr>
            <w:tcW w:type="dxa" w:w="2835"/>
          </w:tcPr>
          <w:p>
            <w:pPr>
              <w:spacing w:after="20"/>
            </w:pPr>
            <w:r>
              <w:rPr>
                <w:rFonts w:ascii="Calibri" w:hAnsi="Calibri"/>
                <w:b w:val="0"/>
                <w:color w:val="1C222A"/>
                <w:sz w:val="19"/>
              </w:rPr>
              <w:t>SistemaExterno</w:t>
            </w:r>
          </w:p>
        </w:tc>
        <w:tc>
          <w:tcPr>
            <w:tcW w:type="dxa" w:w="6009"/>
          </w:tcPr>
          <w:p>
            <w:pPr>
              <w:spacing w:after="20"/>
            </w:pPr>
            <w:r>
              <w:rPr>
                <w:rFonts w:ascii="Calibri" w:hAnsi="Calibri"/>
                <w:b w:val="0"/>
                <w:color w:val="1C222A"/>
                <w:sz w:val="19"/>
              </w:rPr>
              <w:t>Aplicación externa que consume la API.</w:t>
            </w:r>
          </w:p>
        </w:tc>
      </w:tr>
      <w:tr>
        <w:trPr>
          <w:cantSplit/>
        </w:trPr>
        <w:tc>
          <w:tcPr>
            <w:tcW w:type="dxa" w:w="2835"/>
            <w:shd w:val="clear" w:color="auto" w:fill="EAF2F1"/>
          </w:tcPr>
          <w:p>
            <w:pPr>
              <w:spacing w:after="20"/>
            </w:pPr>
            <w:r>
              <w:rPr>
                <w:rFonts w:ascii="Calibri" w:hAnsi="Calibri"/>
                <w:b w:val="0"/>
                <w:color w:val="1C222A"/>
                <w:sz w:val="19"/>
              </w:rPr>
              <w:t>TokenAPI</w:t>
            </w:r>
          </w:p>
        </w:tc>
        <w:tc>
          <w:tcPr>
            <w:tcW w:type="dxa" w:w="6009"/>
            <w:shd w:val="clear" w:color="auto" w:fill="EAF2F1"/>
          </w:tcPr>
          <w:p>
            <w:pPr>
              <w:spacing w:after="20"/>
            </w:pPr>
            <w:r>
              <w:rPr>
                <w:rFonts w:ascii="Calibri" w:hAnsi="Calibri"/>
                <w:b w:val="0"/>
                <w:color w:val="1C222A"/>
                <w:sz w:val="19"/>
              </w:rPr>
              <w:t>Credencial de autenticación con vigencia para la API.</w:t>
            </w:r>
          </w:p>
        </w:tc>
      </w:tr>
    </w:tbl>
    <w:p>
      <w:pPr>
        <w:spacing w:after="80" w:before="0"/>
      </w:pPr>
      <w:r>
        <w:rPr>
          <w:rFonts w:ascii="Calibri" w:hAnsi="Calibri"/>
          <w:b w:val="0"/>
          <w:i w:val="0"/>
          <w:color w:val="1C222A"/>
          <w:sz w:val="20"/>
        </w:rPr>
        <w:t>Reglas de negocio del dominio: un usuario debe tener asignado exactamente un rol; un usuario desactivado no puede iniciar sesión ni realizar operaciones; los ajustes manuales de stock requieren justificación obligatoria; la ocupación de un espacio no puede superar su capacidad.</w:t>
      </w:r>
    </w:p>
    <w:p>
      <w:pPr>
        <w:spacing w:before="280" w:after="120"/>
      </w:pPr>
      <w:r>
        <w:rPr>
          <w:rFonts w:ascii="Calibri" w:hAnsi="Calibri"/>
          <w:b/>
          <w:color w:val="16716E"/>
          <w:sz w:val="26"/>
        </w:rPr>
        <w:t>4. Diagramas de Actividad</w:t>
      </w:r>
    </w:p>
    <w:p>
      <w:pPr>
        <w:spacing w:after="80" w:before="0"/>
      </w:pPr>
      <w:r>
        <w:rPr>
          <w:rFonts w:ascii="Calibri" w:hAnsi="Calibri"/>
          <w:b w:val="0"/>
          <w:i w:val="0"/>
          <w:color w:val="1C222A"/>
          <w:sz w:val="20"/>
        </w:rPr>
        <w:t>Se documentó un diagrama de actividad por módulo funcional (DA-01 a DA-08), en correspondencia directa con los casos de uso y con el flujo principal de cada proceso. La siguiente tabla resume la correspondencia y el objetivo de cada diagrama.</w:t>
      </w:r>
    </w:p>
    <w:tbl>
      <w:tblPr>
        <w:tblStyle w:val="TableGrid"/>
        <w:jc w:val="center"/>
        <w:tblLook w:firstColumn="1" w:firstRow="1" w:lastColumn="0" w:lastRow="0" w:noHBand="0" w:noVBand="1" w:val="04A0"/>
        <w:tblLayout w:type="fixed"/>
        <w:tblW w:w="0" w:type="auto"/>
      </w:tblPr>
      <w:tblGrid>
        <w:gridCol w:w="1134"/>
        <w:gridCol w:w="2835"/>
        <w:gridCol w:w="1927"/>
        <w:gridCol w:w="4762"/>
      </w:tblGrid>
      <w:tr>
        <w:trPr>
          <w:tblHeader/>
          <w:cantSplit/>
        </w:trPr>
        <w:tc>
          <w:tcPr>
            <w:tcW w:type="dxa" w:w="1134"/>
            <w:shd w:val="clear" w:color="auto" w:fill="16716E"/>
          </w:tcPr>
          <w:p>
            <w:pPr>
              <w:spacing w:after="20"/>
            </w:pPr>
            <w:r>
              <w:rPr>
                <w:rFonts w:ascii="Calibri" w:hAnsi="Calibri"/>
                <w:b/>
                <w:color w:val="FFFFFF"/>
                <w:sz w:val="20"/>
              </w:rPr>
              <w:t>Diagrama</w:t>
            </w:r>
          </w:p>
        </w:tc>
        <w:tc>
          <w:tcPr>
            <w:tcW w:type="dxa" w:w="2835"/>
            <w:shd w:val="clear" w:color="auto" w:fill="16716E"/>
          </w:tcPr>
          <w:p>
            <w:pPr>
              <w:spacing w:after="20"/>
            </w:pPr>
            <w:r>
              <w:rPr>
                <w:rFonts w:ascii="Calibri" w:hAnsi="Calibri"/>
                <w:b/>
                <w:color w:val="FFFFFF"/>
                <w:sz w:val="20"/>
              </w:rPr>
              <w:t>Módulo (SRS)</w:t>
            </w:r>
          </w:p>
        </w:tc>
        <w:tc>
          <w:tcPr>
            <w:tcW w:type="dxa" w:w="1928"/>
            <w:shd w:val="clear" w:color="auto" w:fill="16716E"/>
          </w:tcPr>
          <w:p>
            <w:pPr>
              <w:spacing w:after="20"/>
            </w:pPr>
            <w:r>
              <w:rPr>
                <w:rFonts w:ascii="Calibri" w:hAnsi="Calibri"/>
                <w:b/>
                <w:color w:val="FFFFFF"/>
                <w:sz w:val="20"/>
              </w:rPr>
              <w:t>Caso de uso</w:t>
            </w:r>
          </w:p>
        </w:tc>
        <w:tc>
          <w:tcPr>
            <w:tcW w:type="dxa" w:w="4762"/>
            <w:shd w:val="clear" w:color="auto" w:fill="16716E"/>
          </w:tcPr>
          <w:p>
            <w:pPr>
              <w:spacing w:after="20"/>
            </w:pPr>
            <w:r>
              <w:rPr>
                <w:rFonts w:ascii="Calibri" w:hAnsi="Calibri"/>
                <w:b/>
                <w:color w:val="FFFFFF"/>
                <w:sz w:val="20"/>
              </w:rPr>
              <w:t>Objetivo del flujo</w:t>
            </w:r>
          </w:p>
        </w:tc>
      </w:tr>
      <w:tr>
        <w:trPr>
          <w:cantSplit/>
        </w:trPr>
        <w:tc>
          <w:tcPr>
            <w:tcW w:type="dxa" w:w="1134"/>
          </w:tcPr>
          <w:p>
            <w:pPr>
              <w:spacing w:after="20"/>
            </w:pPr>
            <w:r>
              <w:rPr>
                <w:rFonts w:ascii="Calibri" w:hAnsi="Calibri"/>
                <w:b w:val="0"/>
                <w:color w:val="1C222A"/>
                <w:sz w:val="18"/>
              </w:rPr>
              <w:t>DA-01</w:t>
            </w:r>
          </w:p>
        </w:tc>
        <w:tc>
          <w:tcPr>
            <w:tcW w:type="dxa" w:w="2835"/>
          </w:tcPr>
          <w:p>
            <w:pPr>
              <w:spacing w:after="20"/>
            </w:pPr>
            <w:r>
              <w:rPr>
                <w:rFonts w:ascii="Calibri" w:hAnsi="Calibri"/>
                <w:b w:val="0"/>
                <w:color w:val="1C222A"/>
                <w:sz w:val="18"/>
              </w:rPr>
              <w:t>RF1 - Usuarios</w:t>
            </w:r>
          </w:p>
        </w:tc>
        <w:tc>
          <w:tcPr>
            <w:tcW w:type="dxa" w:w="1928"/>
          </w:tcPr>
          <w:p>
            <w:pPr>
              <w:spacing w:after="20"/>
            </w:pPr>
            <w:r>
              <w:rPr>
                <w:rFonts w:ascii="Calibri" w:hAnsi="Calibri"/>
                <w:b w:val="0"/>
                <w:color w:val="1C222A"/>
                <w:sz w:val="18"/>
              </w:rPr>
              <w:t>CU-01</w:t>
            </w:r>
          </w:p>
        </w:tc>
        <w:tc>
          <w:tcPr>
            <w:tcW w:type="dxa" w:w="4762"/>
          </w:tcPr>
          <w:p>
            <w:pPr>
              <w:spacing w:after="20"/>
            </w:pPr>
            <w:r>
              <w:rPr>
                <w:rFonts w:ascii="Calibri" w:hAnsi="Calibri"/>
                <w:b w:val="0"/>
                <w:color w:val="1C222A"/>
                <w:sz w:val="18"/>
              </w:rPr>
              <w:t>Registro, autenticación y administración de cuentas.</w:t>
            </w:r>
          </w:p>
        </w:tc>
      </w:tr>
      <w:tr>
        <w:trPr>
          <w:cantSplit/>
        </w:trPr>
        <w:tc>
          <w:tcPr>
            <w:tcW w:type="dxa" w:w="1134"/>
            <w:shd w:val="clear" w:color="auto" w:fill="EAF2F1"/>
          </w:tcPr>
          <w:p>
            <w:pPr>
              <w:spacing w:after="20"/>
            </w:pPr>
            <w:r>
              <w:rPr>
                <w:rFonts w:ascii="Calibri" w:hAnsi="Calibri"/>
                <w:b w:val="0"/>
                <w:color w:val="1C222A"/>
                <w:sz w:val="18"/>
              </w:rPr>
              <w:t>DA-02</w:t>
            </w:r>
          </w:p>
        </w:tc>
        <w:tc>
          <w:tcPr>
            <w:tcW w:type="dxa" w:w="2835"/>
            <w:shd w:val="clear" w:color="auto" w:fill="EAF2F1"/>
          </w:tcPr>
          <w:p>
            <w:pPr>
              <w:spacing w:after="20"/>
            </w:pPr>
            <w:r>
              <w:rPr>
                <w:rFonts w:ascii="Calibri" w:hAnsi="Calibri"/>
                <w:b w:val="0"/>
                <w:color w:val="1C222A"/>
                <w:sz w:val="18"/>
              </w:rPr>
              <w:t>RF2 - Roles y permisos</w:t>
            </w:r>
          </w:p>
        </w:tc>
        <w:tc>
          <w:tcPr>
            <w:tcW w:type="dxa" w:w="1928"/>
            <w:shd w:val="clear" w:color="auto" w:fill="EAF2F1"/>
          </w:tcPr>
          <w:p>
            <w:pPr>
              <w:spacing w:after="20"/>
            </w:pPr>
            <w:r>
              <w:rPr>
                <w:rFonts w:ascii="Calibri" w:hAnsi="Calibri"/>
                <w:b w:val="0"/>
                <w:color w:val="1C222A"/>
                <w:sz w:val="18"/>
              </w:rPr>
              <w:t>CU-02</w:t>
            </w:r>
          </w:p>
        </w:tc>
        <w:tc>
          <w:tcPr>
            <w:tcW w:type="dxa" w:w="4762"/>
            <w:shd w:val="clear" w:color="auto" w:fill="EAF2F1"/>
          </w:tcPr>
          <w:p>
            <w:pPr>
              <w:spacing w:after="20"/>
            </w:pPr>
            <w:r>
              <w:rPr>
                <w:rFonts w:ascii="Calibri" w:hAnsi="Calibri"/>
                <w:b w:val="0"/>
                <w:color w:val="1C222A"/>
                <w:sz w:val="18"/>
              </w:rPr>
              <w:t>Definición de roles, asignación y control de acceso.</w:t>
            </w:r>
          </w:p>
        </w:tc>
      </w:tr>
      <w:tr>
        <w:trPr>
          <w:cantSplit/>
        </w:trPr>
        <w:tc>
          <w:tcPr>
            <w:tcW w:type="dxa" w:w="1134"/>
          </w:tcPr>
          <w:p>
            <w:pPr>
              <w:spacing w:after="20"/>
            </w:pPr>
            <w:r>
              <w:rPr>
                <w:rFonts w:ascii="Calibri" w:hAnsi="Calibri"/>
                <w:b w:val="0"/>
                <w:color w:val="1C222A"/>
                <w:sz w:val="18"/>
              </w:rPr>
              <w:t>DA-03</w:t>
            </w:r>
          </w:p>
        </w:tc>
        <w:tc>
          <w:tcPr>
            <w:tcW w:type="dxa" w:w="2835"/>
          </w:tcPr>
          <w:p>
            <w:pPr>
              <w:spacing w:after="20"/>
            </w:pPr>
            <w:r>
              <w:rPr>
                <w:rFonts w:ascii="Calibri" w:hAnsi="Calibri"/>
                <w:b w:val="0"/>
                <w:color w:val="1C222A"/>
                <w:sz w:val="18"/>
              </w:rPr>
              <w:t>RF3 - Proveedores</w:t>
            </w:r>
          </w:p>
        </w:tc>
        <w:tc>
          <w:tcPr>
            <w:tcW w:type="dxa" w:w="1928"/>
          </w:tcPr>
          <w:p>
            <w:pPr>
              <w:spacing w:after="20"/>
            </w:pPr>
            <w:r>
              <w:rPr>
                <w:rFonts w:ascii="Calibri" w:hAnsi="Calibri"/>
                <w:b w:val="0"/>
                <w:color w:val="1C222A"/>
                <w:sz w:val="18"/>
              </w:rPr>
              <w:t>CU-03</w:t>
            </w:r>
          </w:p>
        </w:tc>
        <w:tc>
          <w:tcPr>
            <w:tcW w:type="dxa" w:w="4762"/>
          </w:tcPr>
          <w:p>
            <w:pPr>
              <w:spacing w:after="20"/>
            </w:pPr>
            <w:r>
              <w:rPr>
                <w:rFonts w:ascii="Calibri" w:hAnsi="Calibri"/>
                <w:b w:val="0"/>
                <w:color w:val="1C222A"/>
                <w:sz w:val="18"/>
              </w:rPr>
              <w:t>Registro, consulta, modificación y desactivación.</w:t>
            </w:r>
          </w:p>
        </w:tc>
      </w:tr>
      <w:tr>
        <w:trPr>
          <w:cantSplit/>
        </w:trPr>
        <w:tc>
          <w:tcPr>
            <w:tcW w:type="dxa" w:w="1134"/>
            <w:shd w:val="clear" w:color="auto" w:fill="EAF2F1"/>
          </w:tcPr>
          <w:p>
            <w:pPr>
              <w:spacing w:after="20"/>
            </w:pPr>
            <w:r>
              <w:rPr>
                <w:rFonts w:ascii="Calibri" w:hAnsi="Calibri"/>
                <w:b w:val="0"/>
                <w:color w:val="1C222A"/>
                <w:sz w:val="18"/>
              </w:rPr>
              <w:t>DA-04</w:t>
            </w:r>
          </w:p>
        </w:tc>
        <w:tc>
          <w:tcPr>
            <w:tcW w:type="dxa" w:w="2835"/>
            <w:shd w:val="clear" w:color="auto" w:fill="EAF2F1"/>
          </w:tcPr>
          <w:p>
            <w:pPr>
              <w:spacing w:after="20"/>
            </w:pPr>
            <w:r>
              <w:rPr>
                <w:rFonts w:ascii="Calibri" w:hAnsi="Calibri"/>
                <w:b w:val="0"/>
                <w:color w:val="1C222A"/>
                <w:sz w:val="18"/>
              </w:rPr>
              <w:t>RF4 - Rutas y transporte</w:t>
            </w:r>
          </w:p>
        </w:tc>
        <w:tc>
          <w:tcPr>
            <w:tcW w:type="dxa" w:w="1928"/>
            <w:shd w:val="clear" w:color="auto" w:fill="EAF2F1"/>
          </w:tcPr>
          <w:p>
            <w:pPr>
              <w:spacing w:after="20"/>
            </w:pPr>
            <w:r>
              <w:rPr>
                <w:rFonts w:ascii="Calibri" w:hAnsi="Calibri"/>
                <w:b w:val="0"/>
                <w:color w:val="1C222A"/>
                <w:sz w:val="18"/>
              </w:rPr>
              <w:t>CU-04, CU-04.4</w:t>
            </w:r>
          </w:p>
        </w:tc>
        <w:tc>
          <w:tcPr>
            <w:tcW w:type="dxa" w:w="4762"/>
            <w:shd w:val="clear" w:color="auto" w:fill="EAF2F1"/>
          </w:tcPr>
          <w:p>
            <w:pPr>
              <w:spacing w:after="20"/>
            </w:pPr>
            <w:r>
              <w:rPr>
                <w:rFonts w:ascii="Calibri" w:hAnsi="Calibri"/>
                <w:b w:val="0"/>
                <w:color w:val="1C222A"/>
                <w:sz w:val="18"/>
              </w:rPr>
              <w:t>Registro, modificación, eliminación y seguimiento de rutas.</w:t>
            </w:r>
          </w:p>
        </w:tc>
      </w:tr>
      <w:tr>
        <w:trPr>
          <w:cantSplit/>
        </w:trPr>
        <w:tc>
          <w:tcPr>
            <w:tcW w:type="dxa" w:w="1134"/>
          </w:tcPr>
          <w:p>
            <w:pPr>
              <w:spacing w:after="20"/>
            </w:pPr>
            <w:r>
              <w:rPr>
                <w:rFonts w:ascii="Calibri" w:hAnsi="Calibri"/>
                <w:b w:val="0"/>
                <w:color w:val="1C222A"/>
                <w:sz w:val="18"/>
              </w:rPr>
              <w:t>DA-05</w:t>
            </w:r>
          </w:p>
        </w:tc>
        <w:tc>
          <w:tcPr>
            <w:tcW w:type="dxa" w:w="2835"/>
          </w:tcPr>
          <w:p>
            <w:pPr>
              <w:spacing w:after="20"/>
            </w:pPr>
            <w:r>
              <w:rPr>
                <w:rFonts w:ascii="Calibri" w:hAnsi="Calibri"/>
                <w:b w:val="0"/>
                <w:color w:val="1C222A"/>
                <w:sz w:val="18"/>
              </w:rPr>
              <w:t>RF5 - Inventario y productos</w:t>
            </w:r>
          </w:p>
        </w:tc>
        <w:tc>
          <w:tcPr>
            <w:tcW w:type="dxa" w:w="1928"/>
          </w:tcPr>
          <w:p>
            <w:pPr>
              <w:spacing w:after="20"/>
            </w:pPr>
            <w:r>
              <w:rPr>
                <w:rFonts w:ascii="Calibri" w:hAnsi="Calibri"/>
                <w:b w:val="0"/>
                <w:color w:val="1C222A"/>
                <w:sz w:val="18"/>
              </w:rPr>
              <w:t>CU-05</w:t>
            </w:r>
          </w:p>
        </w:tc>
        <w:tc>
          <w:tcPr>
            <w:tcW w:type="dxa" w:w="4762"/>
          </w:tcPr>
          <w:p>
            <w:pPr>
              <w:spacing w:after="20"/>
            </w:pPr>
            <w:r>
              <w:rPr>
                <w:rFonts w:ascii="Calibri" w:hAnsi="Calibri"/>
                <w:b w:val="0"/>
                <w:color w:val="1C222A"/>
                <w:sz w:val="18"/>
              </w:rPr>
              <w:t>Entradas, salidas, ajustes, alertas y panel de stock.</w:t>
            </w:r>
          </w:p>
        </w:tc>
      </w:tr>
      <w:tr>
        <w:trPr>
          <w:cantSplit/>
        </w:trPr>
        <w:tc>
          <w:tcPr>
            <w:tcW w:type="dxa" w:w="1134"/>
            <w:shd w:val="clear" w:color="auto" w:fill="EAF2F1"/>
          </w:tcPr>
          <w:p>
            <w:pPr>
              <w:spacing w:after="20"/>
            </w:pPr>
            <w:r>
              <w:rPr>
                <w:rFonts w:ascii="Calibri" w:hAnsi="Calibri"/>
                <w:b w:val="0"/>
                <w:color w:val="1C222A"/>
                <w:sz w:val="18"/>
              </w:rPr>
              <w:t>DA-06</w:t>
            </w:r>
          </w:p>
        </w:tc>
        <w:tc>
          <w:tcPr>
            <w:tcW w:type="dxa" w:w="2835"/>
            <w:shd w:val="clear" w:color="auto" w:fill="EAF2F1"/>
          </w:tcPr>
          <w:p>
            <w:pPr>
              <w:spacing w:after="20"/>
            </w:pPr>
            <w:r>
              <w:rPr>
                <w:rFonts w:ascii="Calibri" w:hAnsi="Calibri"/>
                <w:b w:val="0"/>
                <w:color w:val="1C222A"/>
                <w:sz w:val="18"/>
              </w:rPr>
              <w:t>RF6 - Espacios y bodega</w:t>
            </w:r>
          </w:p>
        </w:tc>
        <w:tc>
          <w:tcPr>
            <w:tcW w:type="dxa" w:w="1928"/>
            <w:shd w:val="clear" w:color="auto" w:fill="EAF2F1"/>
          </w:tcPr>
          <w:p>
            <w:pPr>
              <w:spacing w:after="20"/>
            </w:pPr>
            <w:r>
              <w:rPr>
                <w:rFonts w:ascii="Calibri" w:hAnsi="Calibri"/>
                <w:b w:val="0"/>
                <w:color w:val="1C222A"/>
                <w:sz w:val="18"/>
              </w:rPr>
              <w:t>CU-06</w:t>
            </w:r>
          </w:p>
        </w:tc>
        <w:tc>
          <w:tcPr>
            <w:tcW w:type="dxa" w:w="4762"/>
            <w:shd w:val="clear" w:color="auto" w:fill="EAF2F1"/>
          </w:tcPr>
          <w:p>
            <w:pPr>
              <w:spacing w:after="20"/>
            </w:pPr>
            <w:r>
              <w:rPr>
                <w:rFonts w:ascii="Calibri" w:hAnsi="Calibri"/>
                <w:b w:val="0"/>
                <w:color w:val="1C222A"/>
                <w:sz w:val="18"/>
              </w:rPr>
              <w:t>Administración de espacios, equipos y asignación de productos.</w:t>
            </w:r>
          </w:p>
        </w:tc>
      </w:tr>
      <w:tr>
        <w:trPr>
          <w:cantSplit/>
        </w:trPr>
        <w:tc>
          <w:tcPr>
            <w:tcW w:type="dxa" w:w="1134"/>
          </w:tcPr>
          <w:p>
            <w:pPr>
              <w:spacing w:after="20"/>
            </w:pPr>
            <w:r>
              <w:rPr>
                <w:rFonts w:ascii="Calibri" w:hAnsi="Calibri"/>
                <w:b w:val="0"/>
                <w:color w:val="1C222A"/>
                <w:sz w:val="18"/>
              </w:rPr>
              <w:t>DA-07</w:t>
            </w:r>
          </w:p>
        </w:tc>
        <w:tc>
          <w:tcPr>
            <w:tcW w:type="dxa" w:w="2835"/>
          </w:tcPr>
          <w:p>
            <w:pPr>
              <w:spacing w:after="20"/>
            </w:pPr>
            <w:r>
              <w:rPr>
                <w:rFonts w:ascii="Calibri" w:hAnsi="Calibri"/>
                <w:b w:val="0"/>
                <w:color w:val="1C222A"/>
                <w:sz w:val="18"/>
              </w:rPr>
              <w:t>RF7 - Reportes e informes</w:t>
            </w:r>
          </w:p>
        </w:tc>
        <w:tc>
          <w:tcPr>
            <w:tcW w:type="dxa" w:w="1928"/>
          </w:tcPr>
          <w:p>
            <w:pPr>
              <w:spacing w:after="20"/>
            </w:pPr>
            <w:r>
              <w:rPr>
                <w:rFonts w:ascii="Calibri" w:hAnsi="Calibri"/>
                <w:b w:val="0"/>
                <w:color w:val="1C222A"/>
                <w:sz w:val="18"/>
              </w:rPr>
              <w:t>CU-07</w:t>
            </w:r>
          </w:p>
        </w:tc>
        <w:tc>
          <w:tcPr>
            <w:tcW w:type="dxa" w:w="4762"/>
          </w:tcPr>
          <w:p>
            <w:pPr>
              <w:spacing w:after="20"/>
            </w:pPr>
            <w:r>
              <w:rPr>
                <w:rFonts w:ascii="Calibri" w:hAnsi="Calibri"/>
                <w:b w:val="0"/>
                <w:color w:val="1C222A"/>
                <w:sz w:val="18"/>
              </w:rPr>
              <w:t>Generación y exportación de reportes (PDF/Excel).</w:t>
            </w:r>
          </w:p>
        </w:tc>
      </w:tr>
      <w:tr>
        <w:trPr>
          <w:cantSplit/>
        </w:trPr>
        <w:tc>
          <w:tcPr>
            <w:tcW w:type="dxa" w:w="1134"/>
            <w:shd w:val="clear" w:color="auto" w:fill="EAF2F1"/>
          </w:tcPr>
          <w:p>
            <w:pPr>
              <w:spacing w:after="20"/>
            </w:pPr>
            <w:r>
              <w:rPr>
                <w:rFonts w:ascii="Calibri" w:hAnsi="Calibri"/>
                <w:b w:val="0"/>
                <w:color w:val="1C222A"/>
                <w:sz w:val="18"/>
              </w:rPr>
              <w:t>DA-08</w:t>
            </w:r>
          </w:p>
        </w:tc>
        <w:tc>
          <w:tcPr>
            <w:tcW w:type="dxa" w:w="2835"/>
            <w:shd w:val="clear" w:color="auto" w:fill="EAF2F1"/>
          </w:tcPr>
          <w:p>
            <w:pPr>
              <w:spacing w:after="20"/>
            </w:pPr>
            <w:r>
              <w:rPr>
                <w:rFonts w:ascii="Calibri" w:hAnsi="Calibri"/>
                <w:b w:val="0"/>
                <w:color w:val="1C222A"/>
                <w:sz w:val="18"/>
              </w:rPr>
              <w:t>RF8 - API de integración externa</w:t>
            </w:r>
          </w:p>
        </w:tc>
        <w:tc>
          <w:tcPr>
            <w:tcW w:type="dxa" w:w="1928"/>
            <w:shd w:val="clear" w:color="auto" w:fill="EAF2F1"/>
          </w:tcPr>
          <w:p>
            <w:pPr>
              <w:spacing w:after="20"/>
            </w:pPr>
            <w:r>
              <w:rPr>
                <w:rFonts w:ascii="Calibri" w:hAnsi="Calibri"/>
                <w:b w:val="0"/>
                <w:color w:val="1C222A"/>
                <w:sz w:val="18"/>
              </w:rPr>
              <w:t>CU-08</w:t>
            </w:r>
          </w:p>
        </w:tc>
        <w:tc>
          <w:tcPr>
            <w:tcW w:type="dxa" w:w="4762"/>
            <w:shd w:val="clear" w:color="auto" w:fill="EAF2F1"/>
          </w:tcPr>
          <w:p>
            <w:pPr>
              <w:spacing w:after="20"/>
            </w:pPr>
            <w:r>
              <w:rPr>
                <w:rFonts w:ascii="Calibri" w:hAnsi="Calibri"/>
                <w:b w:val="0"/>
                <w:color w:val="1C222A"/>
                <w:sz w:val="18"/>
              </w:rPr>
              <w:t>Consulta externa de productos, stock y precios con token.</w:t>
            </w:r>
          </w:p>
        </w:tc>
      </w:tr>
    </w:tbl>
    <w:p>
      <w:pPr>
        <w:spacing w:after="80" w:before="0"/>
      </w:pPr>
      <w:r>
        <w:rPr>
          <w:rFonts w:ascii="Calibri" w:hAnsi="Calibri"/>
          <w:b w:val="0"/>
          <w:i w:val="0"/>
          <w:color w:val="1C222A"/>
          <w:sz w:val="20"/>
        </w:rPr>
        <w:t>Cada diagrama modela las fases del proceso (inicio, validaciones, decisión, ejecución y fin), los carriles de los actores involucrados y las reglas de negocio asociadas a su módulo, conforme a los requisitos ERF1.1 a ERF8.4 del SRS.</w:t>
      </w:r>
    </w:p>
    <w:p>
      <w:pPr>
        <w:spacing w:before="280" w:after="120"/>
      </w:pPr>
      <w:r>
        <w:rPr>
          <w:rFonts w:ascii="Calibri" w:hAnsi="Calibri"/>
          <w:b/>
          <w:color w:val="16716E"/>
          <w:sz w:val="26"/>
        </w:rPr>
        <w:t>5. Sección de Datos: Modelo Entidad-Relación (DER) Conceptual</w:t>
      </w:r>
    </w:p>
    <w:p>
      <w:pPr>
        <w:spacing w:after="80" w:before="0"/>
      </w:pPr>
      <w:r>
        <w:rPr>
          <w:rFonts w:ascii="Calibri" w:hAnsi="Calibri"/>
          <w:b w:val="0"/>
          <w:i w:val="0"/>
          <w:color w:val="1C222A"/>
          <w:sz w:val="20"/>
        </w:rPr>
        <w:t>El modelo entidad-relación de ALMEXA está diseñado bajo una arquitectura relacional compuesta por 13 tablas: las 12 entidades del dominio más la tabla puente RutaProducto, que resuelve la relación N:M entre Producto y Ruta. El modelo soporta las reglas de negocio definidas para cada módulo funcional del SRS.</w:t>
      </w:r>
    </w:p>
    <w:tbl>
      <w:tblPr>
        <w:tblStyle w:val="TableGrid"/>
        <w:jc w:val="center"/>
        <w:tblLook w:firstColumn="1" w:firstRow="1" w:lastColumn="0" w:lastRow="0" w:noHBand="0" w:noVBand="1" w:val="04A0"/>
        <w:tblLayout w:type="fixed"/>
        <w:tblW w:w="0" w:type="auto"/>
      </w:tblPr>
      <w:tblGrid>
        <w:gridCol w:w="2948"/>
        <w:gridCol w:w="5896"/>
      </w:tblGrid>
      <w:tr>
        <w:trPr>
          <w:tblHeader/>
          <w:cantSplit/>
        </w:trPr>
        <w:tc>
          <w:tcPr>
            <w:tcW w:type="dxa" w:w="2948"/>
            <w:shd w:val="clear" w:color="auto" w:fill="16716E"/>
          </w:tcPr>
          <w:p>
            <w:pPr>
              <w:spacing w:after="20"/>
            </w:pPr>
            <w:r>
              <w:rPr>
                <w:rFonts w:ascii="Calibri" w:hAnsi="Calibri"/>
                <w:b/>
                <w:color w:val="FFFFFF"/>
                <w:sz w:val="20"/>
              </w:rPr>
              <w:t>Tabla</w:t>
            </w:r>
          </w:p>
        </w:tc>
        <w:tc>
          <w:tcPr>
            <w:tcW w:type="dxa" w:w="5896"/>
            <w:shd w:val="clear" w:color="auto" w:fill="16716E"/>
          </w:tcPr>
          <w:p>
            <w:pPr>
              <w:spacing w:after="20"/>
            </w:pPr>
            <w:r>
              <w:rPr>
                <w:rFonts w:ascii="Calibri" w:hAnsi="Calibri"/>
                <w:b/>
                <w:color w:val="FFFFFF"/>
                <w:sz w:val="20"/>
              </w:rPr>
              <w:t>Atributos clave / restricciones</w:t>
            </w:r>
          </w:p>
        </w:tc>
      </w:tr>
      <w:tr>
        <w:trPr>
          <w:cantSplit/>
        </w:trPr>
        <w:tc>
          <w:tcPr>
            <w:tcW w:type="dxa" w:w="2948"/>
          </w:tcPr>
          <w:p>
            <w:pPr>
              <w:spacing w:after="20"/>
            </w:pPr>
            <w:r>
              <w:rPr>
                <w:rFonts w:ascii="Calibri" w:hAnsi="Calibri"/>
                <w:b w:val="0"/>
                <w:color w:val="1C222A"/>
                <w:sz w:val="18"/>
              </w:rPr>
              <w:t>Rol</w:t>
            </w:r>
          </w:p>
        </w:tc>
        <w:tc>
          <w:tcPr>
            <w:tcW w:type="dxa" w:w="5896"/>
          </w:tcPr>
          <w:p>
            <w:pPr>
              <w:spacing w:after="20"/>
            </w:pPr>
            <w:r>
              <w:rPr>
                <w:rFonts w:ascii="Calibri" w:hAnsi="Calibri"/>
                <w:b w:val="0"/>
                <w:color w:val="1C222A"/>
                <w:sz w:val="18"/>
              </w:rPr>
              <w:t>PK id; nombre; descripcion.</w:t>
            </w:r>
          </w:p>
        </w:tc>
      </w:tr>
      <w:tr>
        <w:trPr>
          <w:cantSplit/>
        </w:trPr>
        <w:tc>
          <w:tcPr>
            <w:tcW w:type="dxa" w:w="2948"/>
            <w:shd w:val="clear" w:color="auto" w:fill="EAF2F1"/>
          </w:tcPr>
          <w:p>
            <w:pPr>
              <w:spacing w:after="20"/>
            </w:pPr>
            <w:r>
              <w:rPr>
                <w:rFonts w:ascii="Calibri" w:hAnsi="Calibri"/>
                <w:b w:val="0"/>
                <w:color w:val="1C222A"/>
                <w:sz w:val="18"/>
              </w:rPr>
              <w:t>Usuario</w:t>
            </w:r>
          </w:p>
        </w:tc>
        <w:tc>
          <w:tcPr>
            <w:tcW w:type="dxa" w:w="5896"/>
            <w:shd w:val="clear" w:color="auto" w:fill="EAF2F1"/>
          </w:tcPr>
          <w:p>
            <w:pPr>
              <w:spacing w:after="20"/>
            </w:pPr>
            <w:r>
              <w:rPr>
                <w:rFonts w:ascii="Calibri" w:hAnsi="Calibri"/>
                <w:b w:val="0"/>
                <w:color w:val="1C222A"/>
                <w:sz w:val="18"/>
              </w:rPr>
              <w:t>PK id; nombre; correo UNIQUE; contraseña hash; FK rol_id → Rol.id; estado; ultimoAcceso.</w:t>
            </w:r>
          </w:p>
        </w:tc>
      </w:tr>
      <w:tr>
        <w:trPr>
          <w:cantSplit/>
        </w:trPr>
        <w:tc>
          <w:tcPr>
            <w:tcW w:type="dxa" w:w="2948"/>
          </w:tcPr>
          <w:p>
            <w:pPr>
              <w:spacing w:after="20"/>
            </w:pPr>
            <w:r>
              <w:rPr>
                <w:rFonts w:ascii="Calibri" w:hAnsi="Calibri"/>
                <w:b w:val="0"/>
                <w:color w:val="1C222A"/>
                <w:sz w:val="18"/>
              </w:rPr>
              <w:t>BitacoraAcceso</w:t>
            </w:r>
          </w:p>
        </w:tc>
        <w:tc>
          <w:tcPr>
            <w:tcW w:type="dxa" w:w="5896"/>
          </w:tcPr>
          <w:p>
            <w:pPr>
              <w:spacing w:after="20"/>
            </w:pPr>
            <w:r>
              <w:rPr>
                <w:rFonts w:ascii="Calibri" w:hAnsi="Calibri"/>
                <w:b w:val="0"/>
                <w:color w:val="1C222A"/>
                <w:sz w:val="18"/>
              </w:rPr>
              <w:t>PK id; fecha; accion; resultado; FK usuario_id → Usuario.id (auditoría mínima de acceso).</w:t>
            </w:r>
          </w:p>
        </w:tc>
      </w:tr>
      <w:tr>
        <w:trPr>
          <w:cantSplit/>
        </w:trPr>
        <w:tc>
          <w:tcPr>
            <w:tcW w:type="dxa" w:w="2948"/>
            <w:shd w:val="clear" w:color="auto" w:fill="EAF2F1"/>
          </w:tcPr>
          <w:p>
            <w:pPr>
              <w:spacing w:after="20"/>
            </w:pPr>
            <w:r>
              <w:rPr>
                <w:rFonts w:ascii="Calibri" w:hAnsi="Calibri"/>
                <w:b w:val="0"/>
                <w:color w:val="1C222A"/>
                <w:sz w:val="18"/>
              </w:rPr>
              <w:t>Reporte</w:t>
            </w:r>
          </w:p>
        </w:tc>
        <w:tc>
          <w:tcPr>
            <w:tcW w:type="dxa" w:w="5896"/>
            <w:shd w:val="clear" w:color="auto" w:fill="EAF2F1"/>
          </w:tcPr>
          <w:p>
            <w:pPr>
              <w:spacing w:after="20"/>
            </w:pPr>
            <w:r>
              <w:rPr>
                <w:rFonts w:ascii="Calibri" w:hAnsi="Calibri"/>
                <w:b w:val="0"/>
                <w:color w:val="1C222A"/>
                <w:sz w:val="18"/>
              </w:rPr>
              <w:t>PK id; tipo; fechaGeneracion; formato IN (PDF, Excel); FK usuario_id → Usuario.id.</w:t>
            </w:r>
          </w:p>
        </w:tc>
      </w:tr>
      <w:tr>
        <w:trPr>
          <w:cantSplit/>
        </w:trPr>
        <w:tc>
          <w:tcPr>
            <w:tcW w:type="dxa" w:w="2948"/>
          </w:tcPr>
          <w:p>
            <w:pPr>
              <w:spacing w:after="20"/>
            </w:pPr>
            <w:r>
              <w:rPr>
                <w:rFonts w:ascii="Calibri" w:hAnsi="Calibri"/>
                <w:b w:val="0"/>
                <w:color w:val="1C222A"/>
                <w:sz w:val="18"/>
              </w:rPr>
              <w:t>Proveedor</w:t>
            </w:r>
          </w:p>
        </w:tc>
        <w:tc>
          <w:tcPr>
            <w:tcW w:type="dxa" w:w="5896"/>
          </w:tcPr>
          <w:p>
            <w:pPr>
              <w:spacing w:after="20"/>
            </w:pPr>
            <w:r>
              <w:rPr>
                <w:rFonts w:ascii="Calibri" w:hAnsi="Calibri"/>
                <w:b w:val="0"/>
                <w:color w:val="1C222A"/>
                <w:sz w:val="18"/>
              </w:rPr>
              <w:t>PK id; nit UNIQUE; nombre; contacto; telefono; estado.</w:t>
            </w:r>
          </w:p>
        </w:tc>
      </w:tr>
      <w:tr>
        <w:trPr>
          <w:cantSplit/>
        </w:trPr>
        <w:tc>
          <w:tcPr>
            <w:tcW w:type="dxa" w:w="2948"/>
            <w:shd w:val="clear" w:color="auto" w:fill="EAF2F1"/>
          </w:tcPr>
          <w:p>
            <w:pPr>
              <w:spacing w:after="20"/>
            </w:pPr>
            <w:r>
              <w:rPr>
                <w:rFonts w:ascii="Calibri" w:hAnsi="Calibri"/>
                <w:b w:val="0"/>
                <w:color w:val="1C222A"/>
                <w:sz w:val="18"/>
              </w:rPr>
              <w:t>Producto</w:t>
            </w:r>
          </w:p>
        </w:tc>
        <w:tc>
          <w:tcPr>
            <w:tcW w:type="dxa" w:w="5896"/>
            <w:shd w:val="clear" w:color="auto" w:fill="EAF2F1"/>
          </w:tcPr>
          <w:p>
            <w:pPr>
              <w:spacing w:after="20"/>
            </w:pPr>
            <w:r>
              <w:rPr>
                <w:rFonts w:ascii="Calibri" w:hAnsi="Calibri"/>
                <w:b w:val="0"/>
                <w:color w:val="1C222A"/>
                <w:sz w:val="18"/>
              </w:rPr>
              <w:t>PK id; codigo UNIQUE; nombre; descripcion; categoria; precio; stockActual; stockMinimo; fechaCaducidad; FK proveedor_id → Proveedor.id; FK espacio_id → EspacioAlmacenamiento.id.</w:t>
            </w:r>
          </w:p>
        </w:tc>
      </w:tr>
      <w:tr>
        <w:trPr>
          <w:cantSplit/>
        </w:trPr>
        <w:tc>
          <w:tcPr>
            <w:tcW w:type="dxa" w:w="2948"/>
          </w:tcPr>
          <w:p>
            <w:pPr>
              <w:spacing w:after="20"/>
            </w:pPr>
            <w:r>
              <w:rPr>
                <w:rFonts w:ascii="Calibri" w:hAnsi="Calibri"/>
                <w:b w:val="0"/>
                <w:color w:val="1C222A"/>
                <w:sz w:val="18"/>
              </w:rPr>
              <w:t>MovimientoInventario</w:t>
            </w:r>
          </w:p>
        </w:tc>
        <w:tc>
          <w:tcPr>
            <w:tcW w:type="dxa" w:w="5896"/>
          </w:tcPr>
          <w:p>
            <w:pPr>
              <w:spacing w:after="20"/>
            </w:pPr>
            <w:r>
              <w:rPr>
                <w:rFonts w:ascii="Calibri" w:hAnsi="Calibri"/>
                <w:b w:val="0"/>
                <w:color w:val="1C222A"/>
                <w:sz w:val="18"/>
              </w:rPr>
              <w:t>PK id; tipo IN (entrada, salida, ajuste); cantidad &gt; 0; fechaHora; justificacion obligatoria en ajuste; FK producto_id → Producto.id; FK usuario_id → Usuario.id.</w:t>
            </w:r>
          </w:p>
        </w:tc>
      </w:tr>
      <w:tr>
        <w:trPr>
          <w:cantSplit/>
        </w:trPr>
        <w:tc>
          <w:tcPr>
            <w:tcW w:type="dxa" w:w="2948"/>
            <w:shd w:val="clear" w:color="auto" w:fill="EAF2F1"/>
          </w:tcPr>
          <w:p>
            <w:pPr>
              <w:spacing w:after="20"/>
            </w:pPr>
            <w:r>
              <w:rPr>
                <w:rFonts w:ascii="Calibri" w:hAnsi="Calibri"/>
                <w:b w:val="0"/>
                <w:color w:val="1C222A"/>
                <w:sz w:val="18"/>
              </w:rPr>
              <w:t>Ruta</w:t>
            </w:r>
          </w:p>
        </w:tc>
        <w:tc>
          <w:tcPr>
            <w:tcW w:type="dxa" w:w="5896"/>
            <w:shd w:val="clear" w:color="auto" w:fill="EAF2F1"/>
          </w:tcPr>
          <w:p>
            <w:pPr>
              <w:spacing w:after="20"/>
            </w:pPr>
            <w:r>
              <w:rPr>
                <w:rFonts w:ascii="Calibri" w:hAnsi="Calibri"/>
                <w:b w:val="0"/>
                <w:color w:val="1C222A"/>
                <w:sz w:val="18"/>
              </w:rPr>
              <w:t>PK id; origen; destino; fechaEstimada; estado IN (en tránsito, retrasada, entregada, cancelada); FK proveedor_id → Proveedor.id.</w:t>
            </w:r>
          </w:p>
        </w:tc>
      </w:tr>
      <w:tr>
        <w:trPr>
          <w:cantSplit/>
        </w:trPr>
        <w:tc>
          <w:tcPr>
            <w:tcW w:type="dxa" w:w="2948"/>
          </w:tcPr>
          <w:p>
            <w:pPr>
              <w:spacing w:after="20"/>
            </w:pPr>
            <w:r>
              <w:rPr>
                <w:rFonts w:ascii="Calibri" w:hAnsi="Calibri"/>
                <w:b w:val="0"/>
                <w:color w:val="1C222A"/>
                <w:sz w:val="18"/>
              </w:rPr>
              <w:t>RutaProducto</w:t>
            </w:r>
          </w:p>
        </w:tc>
        <w:tc>
          <w:tcPr>
            <w:tcW w:type="dxa" w:w="5896"/>
          </w:tcPr>
          <w:p>
            <w:pPr>
              <w:spacing w:after="20"/>
            </w:pPr>
            <w:r>
              <w:rPr>
                <w:rFonts w:ascii="Calibri" w:hAnsi="Calibri"/>
                <w:b w:val="0"/>
                <w:color w:val="1C222A"/>
                <w:sz w:val="18"/>
              </w:rPr>
              <w:t>PK compuesta (ruta_id, producto_id); FK ruta_id → Ruta.id; FK producto_id → Producto.id; resuelve la relación N:M.</w:t>
            </w:r>
          </w:p>
        </w:tc>
      </w:tr>
      <w:tr>
        <w:trPr>
          <w:cantSplit/>
        </w:trPr>
        <w:tc>
          <w:tcPr>
            <w:tcW w:type="dxa" w:w="2948"/>
            <w:shd w:val="clear" w:color="auto" w:fill="EAF2F1"/>
          </w:tcPr>
          <w:p>
            <w:pPr>
              <w:spacing w:after="20"/>
            </w:pPr>
            <w:r>
              <w:rPr>
                <w:rFonts w:ascii="Calibri" w:hAnsi="Calibri"/>
                <w:b w:val="0"/>
                <w:color w:val="1C222A"/>
                <w:sz w:val="18"/>
              </w:rPr>
              <w:t>EspacioAlmacenamiento</w:t>
            </w:r>
          </w:p>
        </w:tc>
        <w:tc>
          <w:tcPr>
            <w:tcW w:type="dxa" w:w="5896"/>
            <w:shd w:val="clear" w:color="auto" w:fill="EAF2F1"/>
          </w:tcPr>
          <w:p>
            <w:pPr>
              <w:spacing w:after="20"/>
            </w:pPr>
            <w:r>
              <w:rPr>
                <w:rFonts w:ascii="Calibri" w:hAnsi="Calibri"/>
                <w:b w:val="0"/>
                <w:color w:val="1C222A"/>
                <w:sz w:val="18"/>
              </w:rPr>
              <w:t>PK id; tipo; capacidad &gt; 0; ocupacion ≤ 100; estado.</w:t>
            </w:r>
          </w:p>
        </w:tc>
      </w:tr>
      <w:tr>
        <w:trPr>
          <w:cantSplit/>
        </w:trPr>
        <w:tc>
          <w:tcPr>
            <w:tcW w:type="dxa" w:w="2948"/>
          </w:tcPr>
          <w:p>
            <w:pPr>
              <w:spacing w:after="20"/>
            </w:pPr>
            <w:r>
              <w:rPr>
                <w:rFonts w:ascii="Calibri" w:hAnsi="Calibri"/>
                <w:b w:val="0"/>
                <w:color w:val="1C222A"/>
                <w:sz w:val="18"/>
              </w:rPr>
              <w:t>EquipoBodega</w:t>
            </w:r>
          </w:p>
        </w:tc>
        <w:tc>
          <w:tcPr>
            <w:tcW w:type="dxa" w:w="5896"/>
          </w:tcPr>
          <w:p>
            <w:pPr>
              <w:spacing w:after="20"/>
            </w:pPr>
            <w:r>
              <w:rPr>
                <w:rFonts w:ascii="Calibri" w:hAnsi="Calibri"/>
                <w:b w:val="0"/>
                <w:color w:val="1C222A"/>
                <w:sz w:val="18"/>
              </w:rPr>
              <w:t>PK id; nombre; estado IN (operativo, en mantenimiento, fuera de servicio); FK espacio_id → EspacioAlmacenamiento.id.</w:t>
            </w:r>
          </w:p>
        </w:tc>
      </w:tr>
      <w:tr>
        <w:trPr>
          <w:cantSplit/>
        </w:trPr>
        <w:tc>
          <w:tcPr>
            <w:tcW w:type="dxa" w:w="2948"/>
            <w:shd w:val="clear" w:color="auto" w:fill="EAF2F1"/>
          </w:tcPr>
          <w:p>
            <w:pPr>
              <w:spacing w:after="20"/>
            </w:pPr>
            <w:r>
              <w:rPr>
                <w:rFonts w:ascii="Calibri" w:hAnsi="Calibri"/>
                <w:b w:val="0"/>
                <w:color w:val="1C222A"/>
                <w:sz w:val="18"/>
              </w:rPr>
              <w:t>SistemaExterno</w:t>
            </w:r>
          </w:p>
        </w:tc>
        <w:tc>
          <w:tcPr>
            <w:tcW w:type="dxa" w:w="5896"/>
            <w:shd w:val="clear" w:color="auto" w:fill="EAF2F1"/>
          </w:tcPr>
          <w:p>
            <w:pPr>
              <w:spacing w:after="20"/>
            </w:pPr>
            <w:r>
              <w:rPr>
                <w:rFonts w:ascii="Calibri" w:hAnsi="Calibri"/>
                <w:b w:val="0"/>
                <w:color w:val="1C222A"/>
                <w:sz w:val="18"/>
              </w:rPr>
              <w:t>PK id; nombre UNIQUE; estado.</w:t>
            </w:r>
          </w:p>
        </w:tc>
      </w:tr>
      <w:tr>
        <w:trPr>
          <w:cantSplit/>
        </w:trPr>
        <w:tc>
          <w:tcPr>
            <w:tcW w:type="dxa" w:w="2948"/>
          </w:tcPr>
          <w:p>
            <w:pPr>
              <w:spacing w:after="20"/>
            </w:pPr>
            <w:r>
              <w:rPr>
                <w:rFonts w:ascii="Calibri" w:hAnsi="Calibri"/>
                <w:b w:val="0"/>
                <w:color w:val="1C222A"/>
                <w:sz w:val="18"/>
              </w:rPr>
              <w:t>TokenAPI</w:t>
            </w:r>
          </w:p>
        </w:tc>
        <w:tc>
          <w:tcPr>
            <w:tcW w:type="dxa" w:w="5896"/>
          </w:tcPr>
          <w:p>
            <w:pPr>
              <w:spacing w:after="20"/>
            </w:pPr>
            <w:r>
              <w:rPr>
                <w:rFonts w:ascii="Calibri" w:hAnsi="Calibri"/>
                <w:b w:val="0"/>
                <w:color w:val="1C222A"/>
                <w:sz w:val="18"/>
              </w:rPr>
              <w:t>PK id; valor UNIQUE; fechaCreacion; fechaExpiracion ≥ fechaCreacion; estado; FK sistema_externo_id → SistemaExterno.id.</w:t>
            </w:r>
          </w:p>
        </w:tc>
      </w:tr>
    </w:tbl>
    <w:p>
      <w:pPr>
        <w:spacing w:before="200" w:after="80"/>
      </w:pPr>
      <w:r>
        <w:rPr>
          <w:rFonts w:ascii="Calibri" w:hAnsi="Calibri"/>
          <w:b/>
          <w:color w:val="1C222A"/>
          <w:sz w:val="23"/>
        </w:rPr>
        <w:t>5.1 Relaciones clave del modelo (resumen de cardinalidad)</w:t>
      </w:r>
    </w:p>
    <w:p>
      <w:pPr>
        <w:pStyle w:val="ListBullet"/>
        <w:spacing w:after="40"/>
      </w:pPr>
      <w:r>
        <w:rPr>
          <w:rFonts w:ascii="Calibri" w:hAnsi="Calibri"/>
          <w:color w:val="1C222A"/>
          <w:sz w:val="20"/>
        </w:rPr>
        <w:t>Rol 1 ─── N Usuario: un rol está asignado a múltiples usuarios; un usuario posee exactamente un rol.</w:t>
      </w:r>
    </w:p>
    <w:p>
      <w:pPr>
        <w:pStyle w:val="ListBullet"/>
        <w:spacing w:after="40"/>
      </w:pPr>
      <w:r>
        <w:rPr>
          <w:rFonts w:ascii="Calibri" w:hAnsi="Calibri"/>
          <w:color w:val="1C222A"/>
          <w:sz w:val="20"/>
        </w:rPr>
        <w:t>Usuario 1 ─── N BitacoraAcceso: un usuario genera múltiples registros de acceso para auditoría.</w:t>
      </w:r>
    </w:p>
    <w:p>
      <w:pPr>
        <w:pStyle w:val="ListBullet"/>
        <w:spacing w:after="40"/>
      </w:pPr>
      <w:r>
        <w:rPr>
          <w:rFonts w:ascii="Calibri" w:hAnsi="Calibri"/>
          <w:color w:val="1C222A"/>
          <w:sz w:val="20"/>
        </w:rPr>
        <w:t>Usuario 1 ─── N MovimientoInventario: un usuario registra entradas, salidas y ajustes.</w:t>
      </w:r>
    </w:p>
    <w:p>
      <w:pPr>
        <w:pStyle w:val="ListBullet"/>
        <w:spacing w:after="40"/>
      </w:pPr>
      <w:r>
        <w:rPr>
          <w:rFonts w:ascii="Calibri" w:hAnsi="Calibri"/>
          <w:color w:val="1C222A"/>
          <w:sz w:val="20"/>
        </w:rPr>
        <w:t>Usuario 1 ─── N Reporte: un usuario genera reportes.</w:t>
      </w:r>
    </w:p>
    <w:p>
      <w:pPr>
        <w:pStyle w:val="ListBullet"/>
        <w:spacing w:after="40"/>
      </w:pPr>
      <w:r>
        <w:rPr>
          <w:rFonts w:ascii="Calibri" w:hAnsi="Calibri"/>
          <w:color w:val="1C222A"/>
          <w:sz w:val="20"/>
        </w:rPr>
        <w:t>Proveedor 1 ─── N Producto: un proveedor suministra múltiples productos.</w:t>
      </w:r>
    </w:p>
    <w:p>
      <w:pPr>
        <w:pStyle w:val="ListBullet"/>
        <w:spacing w:after="40"/>
      </w:pPr>
      <w:r>
        <w:rPr>
          <w:rFonts w:ascii="Calibri" w:hAnsi="Calibri"/>
          <w:color w:val="1C222A"/>
          <w:sz w:val="20"/>
        </w:rPr>
        <w:t>Proveedor 1 ─── N Ruta: un proveedor origina varias rutas de transporte.</w:t>
      </w:r>
    </w:p>
    <w:p>
      <w:pPr>
        <w:pStyle w:val="ListBullet"/>
        <w:spacing w:after="40"/>
      </w:pPr>
      <w:r>
        <w:rPr>
          <w:rFonts w:ascii="Calibri" w:hAnsi="Calibri"/>
          <w:color w:val="1C222A"/>
          <w:sz w:val="20"/>
        </w:rPr>
        <w:t>Producto 1 ─── N MovimientoInventario: cada producto tiene múltiples movimientos de stock.</w:t>
      </w:r>
    </w:p>
    <w:p>
      <w:pPr>
        <w:pStyle w:val="ListBullet"/>
        <w:spacing w:after="40"/>
      </w:pPr>
      <w:r>
        <w:rPr>
          <w:rFonts w:ascii="Calibri" w:hAnsi="Calibri"/>
          <w:color w:val="1C222A"/>
          <w:sz w:val="20"/>
        </w:rPr>
        <w:t>Producto N ─── 1 EspacioAlmacenamiento: un producto se ubica en un espacio; un espacio aloja varios productos.</w:t>
      </w:r>
    </w:p>
    <w:p>
      <w:pPr>
        <w:pStyle w:val="ListBullet"/>
        <w:spacing w:after="40"/>
      </w:pPr>
      <w:r>
        <w:rPr>
          <w:rFonts w:ascii="Calibri" w:hAnsi="Calibri"/>
          <w:color w:val="1C222A"/>
          <w:sz w:val="20"/>
        </w:rPr>
        <w:t>EspacioAlmacenamiento 1 ─── N EquipoBodega: un espacio contiene varios equipos.</w:t>
      </w:r>
    </w:p>
    <w:p>
      <w:pPr>
        <w:pStyle w:val="ListBullet"/>
        <w:spacing w:after="40"/>
      </w:pPr>
      <w:r>
        <w:rPr>
          <w:rFonts w:ascii="Calibri" w:hAnsi="Calibri"/>
          <w:color w:val="1C222A"/>
          <w:sz w:val="20"/>
        </w:rPr>
        <w:t>Ruta 1 ─── N RutaProducto: una ruta incluye varios productos.</w:t>
      </w:r>
    </w:p>
    <w:p>
      <w:pPr>
        <w:pStyle w:val="ListBullet"/>
        <w:spacing w:after="40"/>
      </w:pPr>
      <w:r>
        <w:rPr>
          <w:rFonts w:ascii="Calibri" w:hAnsi="Calibri"/>
          <w:color w:val="1C222A"/>
          <w:sz w:val="20"/>
        </w:rPr>
        <w:t>RutaProducto N ─── 1 Producto: la tabla puente detalla qué productos viajan en cada ruta.</w:t>
      </w:r>
    </w:p>
    <w:p>
      <w:pPr>
        <w:pStyle w:val="ListBullet"/>
        <w:spacing w:after="40"/>
      </w:pPr>
      <w:r>
        <w:rPr>
          <w:rFonts w:ascii="Calibri" w:hAnsi="Calibri"/>
          <w:color w:val="1C222A"/>
          <w:sz w:val="20"/>
        </w:rPr>
        <w:t>SistemaExterno 1 ─── N TokenAPI: un sistema externo posee uno o más tokens de autenticación.</w:t>
      </w:r>
    </w:p>
    <w:p>
      <w:pPr>
        <w:spacing w:after="80" w:before="0"/>
      </w:pPr>
      <w:r>
        <w:rPr>
          <w:rFonts w:ascii="Calibri" w:hAnsi="Calibri"/>
          <w:b w:val="0"/>
          <w:i w:val="0"/>
          <w:color w:val="1C222A"/>
          <w:sz w:val="20"/>
        </w:rPr>
        <w:t>Convenciones de diseño: Clave Primaria (PK), Clave Foránea (FK), atributo ÚNICO, relaciones obligatorias (1:N, N:1) y la tabla puente RutaProducto con clave primaria compuesta para la relación N:M agregada al modelo en la fase de análisis.</w:t>
      </w:r>
    </w:p>
    <w:p>
      <w:pPr>
        <w:spacing w:before="280" w:after="120"/>
      </w:pPr>
      <w:r>
        <w:rPr>
          <w:rFonts w:ascii="Calibri" w:hAnsi="Calibri"/>
          <w:b/>
          <w:color w:val="16716E"/>
          <w:sz w:val="26"/>
        </w:rPr>
        <w:t>6. Fase 3: Prototipado y Validación de Modelos</w:t>
      </w:r>
    </w:p>
    <w:p>
      <w:pPr>
        <w:spacing w:after="80" w:before="0"/>
      </w:pPr>
      <w:r>
        <w:rPr>
          <w:rFonts w:ascii="Calibri" w:hAnsi="Calibri"/>
          <w:b w:val="0"/>
          <w:i w:val="0"/>
          <w:color w:val="1C222A"/>
          <w:sz w:val="20"/>
        </w:rPr>
        <w:t>Se desarrolló un prototipo funcional navegable de los ocho módulos (prototipo-inventario.html) para validar la experiencia de uso y contrastar el modelo de datos con la interfaz antes de la codificación. Las pantallas del prototipo incluyen:</w:t>
      </w:r>
    </w:p>
    <w:p>
      <w:pPr>
        <w:pStyle w:val="ListBullet"/>
        <w:spacing w:after="40"/>
      </w:pPr>
      <w:r>
        <w:rPr>
          <w:rFonts w:ascii="Calibri" w:hAnsi="Calibri"/>
          <w:color w:val="1C222A"/>
          <w:sz w:val="20"/>
        </w:rPr>
        <w:t>Panel general del inventario, alertas de stock y últimos movimientos</w:t>
      </w:r>
    </w:p>
    <w:p>
      <w:pPr>
        <w:pStyle w:val="ListBullet"/>
        <w:spacing w:after="40"/>
      </w:pPr>
      <w:r>
        <w:rPr>
          <w:rFonts w:ascii="Calibri" w:hAnsi="Calibri"/>
          <w:color w:val="1C222A"/>
          <w:sz w:val="20"/>
        </w:rPr>
        <w:t>Gestión de inventario (registro de productos y movimientos)</w:t>
      </w:r>
    </w:p>
    <w:p>
      <w:pPr>
        <w:pStyle w:val="ListBullet"/>
        <w:spacing w:after="40"/>
      </w:pPr>
      <w:r>
        <w:rPr>
          <w:rFonts w:ascii="Calibri" w:hAnsi="Calibri"/>
          <w:color w:val="1C222A"/>
          <w:sz w:val="20"/>
        </w:rPr>
        <w:t>Espacios y bodega (registro de espacios)</w:t>
      </w:r>
    </w:p>
    <w:p>
      <w:pPr>
        <w:pStyle w:val="ListBullet"/>
        <w:spacing w:after="40"/>
      </w:pPr>
      <w:r>
        <w:rPr>
          <w:rFonts w:ascii="Calibri" w:hAnsi="Calibri"/>
          <w:color w:val="1C222A"/>
          <w:sz w:val="20"/>
        </w:rPr>
        <w:t>Proveedores (registro de proveedores)</w:t>
      </w:r>
    </w:p>
    <w:p>
      <w:pPr>
        <w:pStyle w:val="ListBullet"/>
        <w:spacing w:after="40"/>
      </w:pPr>
      <w:r>
        <w:rPr>
          <w:rFonts w:ascii="Calibri" w:hAnsi="Calibri"/>
          <w:color w:val="1C222A"/>
          <w:sz w:val="20"/>
        </w:rPr>
        <w:t>Rutas y transporte (registro de rutas)</w:t>
      </w:r>
    </w:p>
    <w:p>
      <w:pPr>
        <w:pStyle w:val="ListBullet"/>
        <w:spacing w:after="40"/>
      </w:pPr>
      <w:r>
        <w:rPr>
          <w:rFonts w:ascii="Calibri" w:hAnsi="Calibri"/>
          <w:color w:val="1C222A"/>
          <w:sz w:val="20"/>
        </w:rPr>
        <w:t>Usuarios y roles (registro de usuarios)</w:t>
      </w:r>
    </w:p>
    <w:p>
      <w:pPr>
        <w:pStyle w:val="ListBullet"/>
        <w:spacing w:after="40"/>
      </w:pPr>
      <w:r>
        <w:rPr>
          <w:rFonts w:ascii="Calibri" w:hAnsi="Calibri"/>
          <w:color w:val="1C222A"/>
          <w:sz w:val="20"/>
        </w:rPr>
        <w:t>Bitácora de accesos</w:t>
      </w:r>
    </w:p>
    <w:p>
      <w:pPr>
        <w:pStyle w:val="ListBullet"/>
        <w:spacing w:after="40"/>
      </w:pPr>
      <w:r>
        <w:rPr>
          <w:rFonts w:ascii="Calibri" w:hAnsi="Calibri"/>
          <w:color w:val="1C222A"/>
          <w:sz w:val="20"/>
        </w:rPr>
        <w:t>Reportes del sistema (generación de reportes y resumen del período)</w:t>
      </w:r>
    </w:p>
    <w:p>
      <w:pPr>
        <w:pStyle w:val="ListBullet"/>
        <w:spacing w:after="40"/>
      </w:pPr>
      <w:r>
        <w:rPr>
          <w:rFonts w:ascii="Calibri" w:hAnsi="Calibri"/>
          <w:color w:val="1C222A"/>
          <w:sz w:val="20"/>
        </w:rPr>
        <w:t>API de integración externa (GET /api/v1/productos y GET /api/v1/precios/{codigo})</w:t>
      </w:r>
    </w:p>
    <w:p>
      <w:pPr>
        <w:spacing w:after="80" w:before="0"/>
      </w:pPr>
      <w:r>
        <w:rPr>
          <w:rFonts w:ascii="Calibri" w:hAnsi="Calibri"/>
          <w:b w:val="0"/>
          <w:i/>
          <w:color w:val="1C222A"/>
          <w:sz w:val="20"/>
        </w:rPr>
        <w:t>Enlace del prototipo en modo presentación: carpeta de anexos del expediente, sección 12-Analisis del sitio web del proyecto. (El enlace público de Google Drive del prototipo está por definir por el equipo.)</w:t>
      </w:r>
    </w:p>
    <w:p>
      <w:pPr>
        <w:spacing w:before="280" w:after="120"/>
      </w:pPr>
      <w:r>
        <w:rPr>
          <w:rFonts w:ascii="Calibri" w:hAnsi="Calibri"/>
          <w:b/>
          <w:color w:val="16716E"/>
          <w:sz w:val="26"/>
        </w:rPr>
        <w:t>7. Matriz de Trazabilidad y Ajustes</w:t>
      </w:r>
    </w:p>
    <w:p>
      <w:pPr>
        <w:spacing w:after="80" w:before="0"/>
      </w:pPr>
      <w:r>
        <w:rPr>
          <w:rFonts w:ascii="Calibri" w:hAnsi="Calibri"/>
          <w:b w:val="0"/>
          <w:i w:val="0"/>
          <w:color w:val="1C222A"/>
          <w:sz w:val="20"/>
        </w:rPr>
        <w:t>La siguiente matriz verifica que cada requisito del SRS se corresponde con su elemento de datos en la base de datos, su pantalla en el prototipo y su caso de uso/diagrama de actividad, indicando si el modelo coincide con la interfaz y el ajuste técnico aplicado.</w:t>
      </w:r>
    </w:p>
    <w:tbl>
      <w:tblPr>
        <w:tblStyle w:val="TableGrid"/>
        <w:jc w:val="center"/>
        <w:tblLook w:firstColumn="1" w:firstRow="1" w:lastColumn="0" w:lastRow="0" w:noHBand="0" w:noVBand="1" w:val="04A0"/>
        <w:tblLayout w:type="fixed"/>
        <w:tblW w:w="0" w:type="auto"/>
      </w:tblPr>
      <w:tblGrid>
        <w:gridCol w:w="3061"/>
        <w:gridCol w:w="2381"/>
        <w:gridCol w:w="2041"/>
        <w:gridCol w:w="1247"/>
        <w:gridCol w:w="1927"/>
      </w:tblGrid>
      <w:tr>
        <w:trPr>
          <w:tblHeader/>
          <w:cantSplit/>
        </w:trPr>
        <w:tc>
          <w:tcPr>
            <w:tcW w:type="dxa" w:w="3061"/>
            <w:shd w:val="clear" w:color="auto" w:fill="16716E"/>
          </w:tcPr>
          <w:p>
            <w:pPr>
              <w:spacing w:after="20"/>
            </w:pPr>
            <w:r>
              <w:rPr>
                <w:rFonts w:ascii="Calibri" w:hAnsi="Calibri"/>
                <w:b/>
                <w:color w:val="FFFFFF"/>
                <w:sz w:val="20"/>
              </w:rPr>
              <w:t>Requisito / Caso de Uso</w:t>
            </w:r>
          </w:p>
        </w:tc>
        <w:tc>
          <w:tcPr>
            <w:tcW w:type="dxa" w:w="2381"/>
            <w:shd w:val="clear" w:color="auto" w:fill="16716E"/>
          </w:tcPr>
          <w:p>
            <w:pPr>
              <w:spacing w:after="20"/>
            </w:pPr>
            <w:r>
              <w:rPr>
                <w:rFonts w:ascii="Calibri" w:hAnsi="Calibri"/>
                <w:b/>
                <w:color w:val="FFFFFF"/>
                <w:sz w:val="20"/>
              </w:rPr>
              <w:t>Elemento de datos en BD</w:t>
            </w:r>
          </w:p>
        </w:tc>
        <w:tc>
          <w:tcPr>
            <w:tcW w:type="dxa" w:w="2041"/>
            <w:shd w:val="clear" w:color="auto" w:fill="16716E"/>
          </w:tcPr>
          <w:p>
            <w:pPr>
              <w:spacing w:after="20"/>
            </w:pPr>
            <w:r>
              <w:rPr>
                <w:rFonts w:ascii="Calibri" w:hAnsi="Calibri"/>
                <w:b/>
                <w:color w:val="FFFFFF"/>
                <w:sz w:val="20"/>
              </w:rPr>
              <w:t>Pantalla del prototipo</w:t>
            </w:r>
          </w:p>
        </w:tc>
        <w:tc>
          <w:tcPr>
            <w:tcW w:type="dxa" w:w="1247"/>
            <w:shd w:val="clear" w:color="auto" w:fill="16716E"/>
          </w:tcPr>
          <w:p>
            <w:pPr>
              <w:spacing w:after="20"/>
            </w:pPr>
            <w:r>
              <w:rPr>
                <w:rFonts w:ascii="Calibri" w:hAnsi="Calibri"/>
                <w:b/>
                <w:color w:val="FFFFFF"/>
                <w:sz w:val="20"/>
              </w:rPr>
              <w:t>¿Coincide el modelo con la interfaz?</w:t>
            </w:r>
          </w:p>
        </w:tc>
        <w:tc>
          <w:tcPr>
            <w:tcW w:type="dxa" w:w="1928"/>
            <w:shd w:val="clear" w:color="auto" w:fill="16716E"/>
          </w:tcPr>
          <w:p>
            <w:pPr>
              <w:spacing w:after="20"/>
            </w:pPr>
            <w:r>
              <w:rPr>
                <w:rFonts w:ascii="Calibri" w:hAnsi="Calibri"/>
                <w:b/>
                <w:color w:val="FFFFFF"/>
                <w:sz w:val="20"/>
              </w:rPr>
              <w:t>Ajuste técnico realizado (si aplica)</w:t>
            </w:r>
          </w:p>
        </w:tc>
      </w:tr>
      <w:tr>
        <w:trPr>
          <w:cantSplit/>
        </w:trPr>
        <w:tc>
          <w:tcPr>
            <w:tcW w:type="dxa" w:w="3061"/>
          </w:tcPr>
          <w:p>
            <w:pPr>
              <w:spacing w:after="20"/>
            </w:pPr>
            <w:r>
              <w:rPr>
                <w:rFonts w:ascii="Calibri" w:hAnsi="Calibri"/>
                <w:b w:val="0"/>
                <w:color w:val="1C222A"/>
                <w:sz w:val="17"/>
              </w:rPr>
              <w:t>CU-01 · RF1 Usuarios (ERF1.1–1.6)</w:t>
            </w:r>
          </w:p>
        </w:tc>
        <w:tc>
          <w:tcPr>
            <w:tcW w:type="dxa" w:w="2381"/>
          </w:tcPr>
          <w:p>
            <w:pPr>
              <w:spacing w:after="20"/>
            </w:pPr>
            <w:r>
              <w:rPr>
                <w:rFonts w:ascii="Calibri" w:hAnsi="Calibri"/>
                <w:b w:val="0"/>
                <w:color w:val="1C222A"/>
                <w:sz w:val="17"/>
              </w:rPr>
              <w:t>Usuario, Rol</w:t>
            </w:r>
          </w:p>
        </w:tc>
        <w:tc>
          <w:tcPr>
            <w:tcW w:type="dxa" w:w="2041"/>
          </w:tcPr>
          <w:p>
            <w:pPr>
              <w:spacing w:after="20"/>
            </w:pPr>
            <w:r>
              <w:rPr>
                <w:rFonts w:ascii="Calibri" w:hAnsi="Calibri"/>
                <w:b w:val="0"/>
                <w:color w:val="1C222A"/>
                <w:sz w:val="17"/>
              </w:rPr>
              <w:t>Usuarios y roles</w:t>
            </w:r>
          </w:p>
        </w:tc>
        <w:tc>
          <w:tcPr>
            <w:tcW w:type="dxa" w:w="1247"/>
          </w:tcPr>
          <w:p>
            <w:pPr>
              <w:spacing w:after="20"/>
            </w:pPr>
            <w:r>
              <w:rPr>
                <w:rFonts w:ascii="Calibri" w:hAnsi="Calibri"/>
                <w:b w:val="0"/>
                <w:color w:val="1C222A"/>
                <w:sz w:val="17"/>
              </w:rPr>
              <w:t>Sí</w:t>
            </w:r>
          </w:p>
        </w:tc>
        <w:tc>
          <w:tcPr>
            <w:tcW w:type="dxa" w:w="1928"/>
          </w:tcPr>
          <w:p>
            <w:pPr>
              <w:spacing w:after="20"/>
            </w:pPr>
            <w:r>
              <w:rPr>
                <w:rFonts w:ascii="Calibri" w:hAnsi="Calibri"/>
                <w:b w:val="0"/>
                <w:color w:val="1C222A"/>
                <w:sz w:val="17"/>
              </w:rPr>
              <w:t>Archivo con contraseña cifrada (hash)</w:t>
            </w:r>
          </w:p>
        </w:tc>
      </w:tr>
      <w:tr>
        <w:trPr>
          <w:cantSplit/>
        </w:trPr>
        <w:tc>
          <w:tcPr>
            <w:tcW w:type="dxa" w:w="3061"/>
            <w:shd w:val="clear" w:color="auto" w:fill="EAF2F1"/>
          </w:tcPr>
          <w:p>
            <w:pPr>
              <w:spacing w:after="20"/>
            </w:pPr>
            <w:r>
              <w:rPr>
                <w:rFonts w:ascii="Calibri" w:hAnsi="Calibri"/>
                <w:b w:val="0"/>
                <w:color w:val="1C222A"/>
                <w:sz w:val="17"/>
              </w:rPr>
              <w:t>CU-02 · RF2 Roles y permisos (ERF2.1–2.4)</w:t>
            </w:r>
          </w:p>
        </w:tc>
        <w:tc>
          <w:tcPr>
            <w:tcW w:type="dxa" w:w="2381"/>
            <w:shd w:val="clear" w:color="auto" w:fill="EAF2F1"/>
          </w:tcPr>
          <w:p>
            <w:pPr>
              <w:spacing w:after="20"/>
            </w:pPr>
            <w:r>
              <w:rPr>
                <w:rFonts w:ascii="Calibri" w:hAnsi="Calibri"/>
                <w:b w:val="0"/>
                <w:color w:val="1C222A"/>
                <w:sz w:val="17"/>
              </w:rPr>
              <w:t>Rol, BitacoraAcceso</w:t>
            </w:r>
          </w:p>
        </w:tc>
        <w:tc>
          <w:tcPr>
            <w:tcW w:type="dxa" w:w="2041"/>
            <w:shd w:val="clear" w:color="auto" w:fill="EAF2F1"/>
          </w:tcPr>
          <w:p>
            <w:pPr>
              <w:spacing w:after="20"/>
            </w:pPr>
            <w:r>
              <w:rPr>
                <w:rFonts w:ascii="Calibri" w:hAnsi="Calibri"/>
                <w:b w:val="0"/>
                <w:color w:val="1C222A"/>
                <w:sz w:val="17"/>
              </w:rPr>
              <w:t>Usuarios y roles, Bitácora de accesos</w:t>
            </w:r>
          </w:p>
        </w:tc>
        <w:tc>
          <w:tcPr>
            <w:tcW w:type="dxa" w:w="1247"/>
            <w:shd w:val="clear" w:color="auto" w:fill="EAF2F1"/>
          </w:tcPr>
          <w:p>
            <w:pPr>
              <w:spacing w:after="20"/>
            </w:pPr>
            <w:r>
              <w:rPr>
                <w:rFonts w:ascii="Calibri" w:hAnsi="Calibri"/>
                <w:b w:val="0"/>
                <w:color w:val="1C222A"/>
                <w:sz w:val="17"/>
              </w:rPr>
              <w:t>Sí</w:t>
            </w:r>
          </w:p>
        </w:tc>
        <w:tc>
          <w:tcPr>
            <w:tcW w:type="dxa" w:w="1928"/>
            <w:shd w:val="clear" w:color="auto" w:fill="EAF2F1"/>
          </w:tcPr>
          <w:p>
            <w:pPr>
              <w:spacing w:after="20"/>
            </w:pPr>
            <w:r>
              <w:rPr>
                <w:rFonts w:ascii="Calibri" w:hAnsi="Calibri"/>
                <w:b w:val="0"/>
                <w:color w:val="1C222A"/>
                <w:sz w:val="17"/>
              </w:rPr>
              <w:t>—</w:t>
            </w:r>
          </w:p>
        </w:tc>
      </w:tr>
      <w:tr>
        <w:trPr>
          <w:cantSplit/>
        </w:trPr>
        <w:tc>
          <w:tcPr>
            <w:tcW w:type="dxa" w:w="3061"/>
          </w:tcPr>
          <w:p>
            <w:pPr>
              <w:spacing w:after="20"/>
            </w:pPr>
            <w:r>
              <w:rPr>
                <w:rFonts w:ascii="Calibri" w:hAnsi="Calibri"/>
                <w:b w:val="0"/>
                <w:color w:val="1C222A"/>
                <w:sz w:val="17"/>
              </w:rPr>
              <w:t>CU-03 · RF3 Proveedores (ERF3.1–3.5)</w:t>
            </w:r>
          </w:p>
        </w:tc>
        <w:tc>
          <w:tcPr>
            <w:tcW w:type="dxa" w:w="2381"/>
          </w:tcPr>
          <w:p>
            <w:pPr>
              <w:spacing w:after="20"/>
            </w:pPr>
            <w:r>
              <w:rPr>
                <w:rFonts w:ascii="Calibri" w:hAnsi="Calibri"/>
                <w:b w:val="0"/>
                <w:color w:val="1C222A"/>
                <w:sz w:val="17"/>
              </w:rPr>
              <w:t>Proveedor</w:t>
            </w:r>
          </w:p>
        </w:tc>
        <w:tc>
          <w:tcPr>
            <w:tcW w:type="dxa" w:w="2041"/>
          </w:tcPr>
          <w:p>
            <w:pPr>
              <w:spacing w:after="20"/>
            </w:pPr>
            <w:r>
              <w:rPr>
                <w:rFonts w:ascii="Calibri" w:hAnsi="Calibri"/>
                <w:b w:val="0"/>
                <w:color w:val="1C222A"/>
                <w:sz w:val="17"/>
              </w:rPr>
              <w:t>Proveedores</w:t>
            </w:r>
          </w:p>
        </w:tc>
        <w:tc>
          <w:tcPr>
            <w:tcW w:type="dxa" w:w="1247"/>
          </w:tcPr>
          <w:p>
            <w:pPr>
              <w:spacing w:after="20"/>
            </w:pPr>
            <w:r>
              <w:rPr>
                <w:rFonts w:ascii="Calibri" w:hAnsi="Calibri"/>
                <w:b w:val="0"/>
                <w:color w:val="1C222A"/>
                <w:sz w:val="17"/>
              </w:rPr>
              <w:t>Sí</w:t>
            </w:r>
          </w:p>
        </w:tc>
        <w:tc>
          <w:tcPr>
            <w:tcW w:type="dxa" w:w="1928"/>
          </w:tcPr>
          <w:p>
            <w:pPr>
              <w:spacing w:after="20"/>
            </w:pPr>
            <w:r>
              <w:rPr>
                <w:rFonts w:ascii="Calibri" w:hAnsi="Calibri"/>
                <w:b w:val="0"/>
                <w:color w:val="1C222A"/>
                <w:sz w:val="17"/>
              </w:rPr>
              <w:t>—</w:t>
            </w:r>
          </w:p>
        </w:tc>
      </w:tr>
      <w:tr>
        <w:trPr>
          <w:cantSplit/>
        </w:trPr>
        <w:tc>
          <w:tcPr>
            <w:tcW w:type="dxa" w:w="3061"/>
            <w:shd w:val="clear" w:color="auto" w:fill="EAF2F1"/>
          </w:tcPr>
          <w:p>
            <w:pPr>
              <w:spacing w:after="20"/>
            </w:pPr>
            <w:r>
              <w:rPr>
                <w:rFonts w:ascii="Calibri" w:hAnsi="Calibri"/>
                <w:b w:val="0"/>
                <w:color w:val="1C222A"/>
                <w:sz w:val="17"/>
              </w:rPr>
              <w:t>CU-04 y CU-04.4 · RF4 Rutas (ERF4.1–4.6)</w:t>
            </w:r>
          </w:p>
        </w:tc>
        <w:tc>
          <w:tcPr>
            <w:tcW w:type="dxa" w:w="2381"/>
            <w:shd w:val="clear" w:color="auto" w:fill="EAF2F1"/>
          </w:tcPr>
          <w:p>
            <w:pPr>
              <w:spacing w:after="20"/>
            </w:pPr>
            <w:r>
              <w:rPr>
                <w:rFonts w:ascii="Calibri" w:hAnsi="Calibri"/>
                <w:b w:val="0"/>
                <w:color w:val="1C222A"/>
                <w:sz w:val="17"/>
              </w:rPr>
              <w:t>Ruta, RutaProducto</w:t>
            </w:r>
          </w:p>
        </w:tc>
        <w:tc>
          <w:tcPr>
            <w:tcW w:type="dxa" w:w="2041"/>
            <w:shd w:val="clear" w:color="auto" w:fill="EAF2F1"/>
          </w:tcPr>
          <w:p>
            <w:pPr>
              <w:spacing w:after="20"/>
            </w:pPr>
            <w:r>
              <w:rPr>
                <w:rFonts w:ascii="Calibri" w:hAnsi="Calibri"/>
                <w:b w:val="0"/>
                <w:color w:val="1C222A"/>
                <w:sz w:val="17"/>
              </w:rPr>
              <w:t>Rutas y transporte</w:t>
            </w:r>
          </w:p>
        </w:tc>
        <w:tc>
          <w:tcPr>
            <w:tcW w:type="dxa" w:w="1247"/>
            <w:shd w:val="clear" w:color="auto" w:fill="EAF2F1"/>
          </w:tcPr>
          <w:p>
            <w:pPr>
              <w:spacing w:after="20"/>
            </w:pPr>
            <w:r>
              <w:rPr>
                <w:rFonts w:ascii="Calibri" w:hAnsi="Calibri"/>
                <w:b w:val="0"/>
                <w:color w:val="1C222A"/>
                <w:sz w:val="17"/>
              </w:rPr>
              <w:t>Sí</w:t>
            </w:r>
          </w:p>
        </w:tc>
        <w:tc>
          <w:tcPr>
            <w:tcW w:type="dxa" w:w="1928"/>
            <w:shd w:val="clear" w:color="auto" w:fill="EAF2F1"/>
          </w:tcPr>
          <w:p>
            <w:pPr>
              <w:spacing w:after="20"/>
            </w:pPr>
            <w:r>
              <w:rPr>
                <w:rFonts w:ascii="Calibri" w:hAnsi="Calibri"/>
                <w:b w:val="0"/>
                <w:color w:val="1C222A"/>
                <w:sz w:val="17"/>
              </w:rPr>
              <w:t>Tabla puente RutaProducto</w:t>
            </w:r>
          </w:p>
        </w:tc>
      </w:tr>
      <w:tr>
        <w:trPr>
          <w:cantSplit/>
        </w:trPr>
        <w:tc>
          <w:tcPr>
            <w:tcW w:type="dxa" w:w="3061"/>
          </w:tcPr>
          <w:p>
            <w:pPr>
              <w:spacing w:after="20"/>
            </w:pPr>
            <w:r>
              <w:rPr>
                <w:rFonts w:ascii="Calibri" w:hAnsi="Calibri"/>
                <w:b w:val="0"/>
                <w:color w:val="1C222A"/>
                <w:sz w:val="17"/>
              </w:rPr>
              <w:t>CU-05 · RF5 Inventario (ERF5.1–5.11)</w:t>
            </w:r>
          </w:p>
        </w:tc>
        <w:tc>
          <w:tcPr>
            <w:tcW w:type="dxa" w:w="2381"/>
          </w:tcPr>
          <w:p>
            <w:pPr>
              <w:spacing w:after="20"/>
            </w:pPr>
            <w:r>
              <w:rPr>
                <w:rFonts w:ascii="Calibri" w:hAnsi="Calibri"/>
                <w:b w:val="0"/>
                <w:color w:val="1C222A"/>
                <w:sz w:val="17"/>
              </w:rPr>
              <w:t>Producto, MovimientoInventario</w:t>
            </w:r>
          </w:p>
        </w:tc>
        <w:tc>
          <w:tcPr>
            <w:tcW w:type="dxa" w:w="2041"/>
          </w:tcPr>
          <w:p>
            <w:pPr>
              <w:spacing w:after="20"/>
            </w:pPr>
            <w:r>
              <w:rPr>
                <w:rFonts w:ascii="Calibri" w:hAnsi="Calibri"/>
                <w:b w:val="0"/>
                <w:color w:val="1C222A"/>
                <w:sz w:val="17"/>
              </w:rPr>
              <w:t>Gestión de inventario</w:t>
            </w:r>
          </w:p>
        </w:tc>
        <w:tc>
          <w:tcPr>
            <w:tcW w:type="dxa" w:w="1247"/>
          </w:tcPr>
          <w:p>
            <w:pPr>
              <w:spacing w:after="20"/>
            </w:pPr>
            <w:r>
              <w:rPr>
                <w:rFonts w:ascii="Calibri" w:hAnsi="Calibri"/>
                <w:b w:val="0"/>
                <w:color w:val="1C222A"/>
                <w:sz w:val="17"/>
              </w:rPr>
              <w:t>Sí</w:t>
            </w:r>
          </w:p>
        </w:tc>
        <w:tc>
          <w:tcPr>
            <w:tcW w:type="dxa" w:w="1928"/>
          </w:tcPr>
          <w:p>
            <w:pPr>
              <w:spacing w:after="20"/>
            </w:pPr>
            <w:r>
              <w:rPr>
                <w:rFonts w:ascii="Calibri" w:hAnsi="Calibri"/>
                <w:b w:val="0"/>
                <w:color w:val="1C222A"/>
                <w:sz w:val="17"/>
              </w:rPr>
              <w:t>Justificación obligatoria en ajustes (ERF5.9) y panel de estado (ERF5.11)</w:t>
            </w:r>
          </w:p>
        </w:tc>
      </w:tr>
      <w:tr>
        <w:trPr>
          <w:cantSplit/>
        </w:trPr>
        <w:tc>
          <w:tcPr>
            <w:tcW w:type="dxa" w:w="3061"/>
            <w:shd w:val="clear" w:color="auto" w:fill="EAF2F1"/>
          </w:tcPr>
          <w:p>
            <w:pPr>
              <w:spacing w:after="20"/>
            </w:pPr>
            <w:r>
              <w:rPr>
                <w:rFonts w:ascii="Calibri" w:hAnsi="Calibri"/>
                <w:b w:val="0"/>
                <w:color w:val="1C222A"/>
                <w:sz w:val="17"/>
              </w:rPr>
              <w:t>CU-06 · RF6 Espacios (ERF6.1–6.6)</w:t>
            </w:r>
          </w:p>
        </w:tc>
        <w:tc>
          <w:tcPr>
            <w:tcW w:type="dxa" w:w="2381"/>
            <w:shd w:val="clear" w:color="auto" w:fill="EAF2F1"/>
          </w:tcPr>
          <w:p>
            <w:pPr>
              <w:spacing w:after="20"/>
            </w:pPr>
            <w:r>
              <w:rPr>
                <w:rFonts w:ascii="Calibri" w:hAnsi="Calibri"/>
                <w:b w:val="0"/>
                <w:color w:val="1C222A"/>
                <w:sz w:val="17"/>
              </w:rPr>
              <w:t>EspacioAlmacenamiento, EquipoBodega</w:t>
            </w:r>
          </w:p>
        </w:tc>
        <w:tc>
          <w:tcPr>
            <w:tcW w:type="dxa" w:w="2041"/>
            <w:shd w:val="clear" w:color="auto" w:fill="EAF2F1"/>
          </w:tcPr>
          <w:p>
            <w:pPr>
              <w:spacing w:after="20"/>
            </w:pPr>
            <w:r>
              <w:rPr>
                <w:rFonts w:ascii="Calibri" w:hAnsi="Calibri"/>
                <w:b w:val="0"/>
                <w:color w:val="1C222A"/>
                <w:sz w:val="17"/>
              </w:rPr>
              <w:t>Espacios y bodega</w:t>
            </w:r>
          </w:p>
        </w:tc>
        <w:tc>
          <w:tcPr>
            <w:tcW w:type="dxa" w:w="1247"/>
            <w:shd w:val="clear" w:color="auto" w:fill="EAF2F1"/>
          </w:tcPr>
          <w:p>
            <w:pPr>
              <w:spacing w:after="20"/>
            </w:pPr>
            <w:r>
              <w:rPr>
                <w:rFonts w:ascii="Calibri" w:hAnsi="Calibri"/>
                <w:b w:val="0"/>
                <w:color w:val="1C222A"/>
                <w:sz w:val="17"/>
              </w:rPr>
              <w:t>Sí</w:t>
            </w:r>
          </w:p>
        </w:tc>
        <w:tc>
          <w:tcPr>
            <w:tcW w:type="dxa" w:w="1928"/>
            <w:shd w:val="clear" w:color="auto" w:fill="EAF2F1"/>
          </w:tcPr>
          <w:p>
            <w:pPr>
              <w:spacing w:after="20"/>
            </w:pPr>
            <w:r>
              <w:rPr>
                <w:rFonts w:ascii="Calibri" w:hAnsi="Calibri"/>
                <w:b w:val="0"/>
                <w:color w:val="1C222A"/>
                <w:sz w:val="17"/>
              </w:rPr>
              <w:t>—</w:t>
            </w:r>
          </w:p>
        </w:tc>
      </w:tr>
      <w:tr>
        <w:trPr>
          <w:cantSplit/>
        </w:trPr>
        <w:tc>
          <w:tcPr>
            <w:tcW w:type="dxa" w:w="3061"/>
          </w:tcPr>
          <w:p>
            <w:pPr>
              <w:spacing w:after="20"/>
            </w:pPr>
            <w:r>
              <w:rPr>
                <w:rFonts w:ascii="Calibri" w:hAnsi="Calibri"/>
                <w:b w:val="0"/>
                <w:color w:val="1C222A"/>
                <w:sz w:val="17"/>
              </w:rPr>
              <w:t>CU-07 · RF7 Reportes (ERF7.1–7.11)</w:t>
            </w:r>
          </w:p>
        </w:tc>
        <w:tc>
          <w:tcPr>
            <w:tcW w:type="dxa" w:w="2381"/>
          </w:tcPr>
          <w:p>
            <w:pPr>
              <w:spacing w:after="20"/>
            </w:pPr>
            <w:r>
              <w:rPr>
                <w:rFonts w:ascii="Calibri" w:hAnsi="Calibri"/>
                <w:b w:val="0"/>
                <w:color w:val="1C222A"/>
                <w:sz w:val="17"/>
              </w:rPr>
              <w:t>Reporte</w:t>
            </w:r>
          </w:p>
        </w:tc>
        <w:tc>
          <w:tcPr>
            <w:tcW w:type="dxa" w:w="2041"/>
          </w:tcPr>
          <w:p>
            <w:pPr>
              <w:spacing w:after="20"/>
            </w:pPr>
            <w:r>
              <w:rPr>
                <w:rFonts w:ascii="Calibri" w:hAnsi="Calibri"/>
                <w:b w:val="0"/>
                <w:color w:val="1C222A"/>
                <w:sz w:val="17"/>
              </w:rPr>
              <w:t>Reportes del sistema</w:t>
            </w:r>
          </w:p>
        </w:tc>
        <w:tc>
          <w:tcPr>
            <w:tcW w:type="dxa" w:w="1247"/>
          </w:tcPr>
          <w:p>
            <w:pPr>
              <w:spacing w:after="20"/>
            </w:pPr>
            <w:r>
              <w:rPr>
                <w:rFonts w:ascii="Calibri" w:hAnsi="Calibri"/>
                <w:b w:val="0"/>
                <w:color w:val="1C222A"/>
                <w:sz w:val="17"/>
              </w:rPr>
              <w:t>Sí</w:t>
            </w:r>
          </w:p>
        </w:tc>
        <w:tc>
          <w:tcPr>
            <w:tcW w:type="dxa" w:w="1928"/>
          </w:tcPr>
          <w:p>
            <w:pPr>
              <w:spacing w:after="20"/>
            </w:pPr>
            <w:r>
              <w:rPr>
                <w:rFonts w:ascii="Calibri" w:hAnsi="Calibri"/>
                <w:b w:val="0"/>
                <w:color w:val="1C222A"/>
                <w:sz w:val="17"/>
              </w:rPr>
              <w:t>Exportación en PDF o Excel (ERF7.10)</w:t>
            </w:r>
          </w:p>
        </w:tc>
      </w:tr>
      <w:tr>
        <w:trPr>
          <w:cantSplit/>
        </w:trPr>
        <w:tc>
          <w:tcPr>
            <w:tcW w:type="dxa" w:w="3061"/>
            <w:shd w:val="clear" w:color="auto" w:fill="EAF2F1"/>
          </w:tcPr>
          <w:p>
            <w:pPr>
              <w:spacing w:after="20"/>
            </w:pPr>
            <w:r>
              <w:rPr>
                <w:rFonts w:ascii="Calibri" w:hAnsi="Calibri"/>
                <w:b w:val="0"/>
                <w:color w:val="1C222A"/>
                <w:sz w:val="17"/>
              </w:rPr>
              <w:t>CU-08 · RF8 API (ERF8.1–8.4)</w:t>
            </w:r>
          </w:p>
        </w:tc>
        <w:tc>
          <w:tcPr>
            <w:tcW w:type="dxa" w:w="2381"/>
            <w:shd w:val="clear" w:color="auto" w:fill="EAF2F1"/>
          </w:tcPr>
          <w:p>
            <w:pPr>
              <w:spacing w:after="20"/>
            </w:pPr>
            <w:r>
              <w:rPr>
                <w:rFonts w:ascii="Calibri" w:hAnsi="Calibri"/>
                <w:b w:val="0"/>
                <w:color w:val="1C222A"/>
                <w:sz w:val="17"/>
              </w:rPr>
              <w:t>SistemaExterno, TokenAPI, Producto</w:t>
            </w:r>
          </w:p>
        </w:tc>
        <w:tc>
          <w:tcPr>
            <w:tcW w:type="dxa" w:w="2041"/>
            <w:shd w:val="clear" w:color="auto" w:fill="EAF2F1"/>
          </w:tcPr>
          <w:p>
            <w:pPr>
              <w:spacing w:after="20"/>
            </w:pPr>
            <w:r>
              <w:rPr>
                <w:rFonts w:ascii="Calibri" w:hAnsi="Calibri"/>
                <w:b w:val="0"/>
                <w:color w:val="1C222A"/>
                <w:sz w:val="17"/>
              </w:rPr>
              <w:t>API de integración externa</w:t>
            </w:r>
          </w:p>
        </w:tc>
        <w:tc>
          <w:tcPr>
            <w:tcW w:type="dxa" w:w="1247"/>
            <w:shd w:val="clear" w:color="auto" w:fill="EAF2F1"/>
          </w:tcPr>
          <w:p>
            <w:pPr>
              <w:spacing w:after="20"/>
            </w:pPr>
            <w:r>
              <w:rPr>
                <w:rFonts w:ascii="Calibri" w:hAnsi="Calibri"/>
                <w:b w:val="0"/>
                <w:color w:val="1C222A"/>
                <w:sz w:val="17"/>
              </w:rPr>
              <w:t>Sí</w:t>
            </w:r>
          </w:p>
        </w:tc>
        <w:tc>
          <w:tcPr>
            <w:tcW w:type="dxa" w:w="1928"/>
            <w:shd w:val="clear" w:color="auto" w:fill="EAF2F1"/>
          </w:tcPr>
          <w:p>
            <w:pPr>
              <w:spacing w:after="20"/>
            </w:pPr>
            <w:r>
              <w:rPr>
                <w:rFonts w:ascii="Calibri" w:hAnsi="Calibri"/>
                <w:b w:val="0"/>
                <w:color w:val="1C222A"/>
                <w:sz w:val="17"/>
              </w:rPr>
              <w:t>Autenticación por token y vigencia (ERF8.3)</w:t>
            </w:r>
          </w:p>
        </w:tc>
      </w:tr>
    </w:tbl>
    <w:p>
      <w:pPr>
        <w:spacing w:before="280" w:after="120"/>
      </w:pPr>
      <w:r>
        <w:rPr>
          <w:rFonts w:ascii="Calibri" w:hAnsi="Calibri"/>
          <w:b/>
          <w:color w:val="16716E"/>
          <w:sz w:val="26"/>
        </w:rPr>
        <w:t>8. Instrumento de Evaluación (Lista de Chequeo)</w:t>
      </w:r>
    </w:p>
    <w:tbl>
      <w:tblPr>
        <w:tblStyle w:val="TableGrid"/>
        <w:jc w:val="center"/>
        <w:tblLook w:firstColumn="1" w:firstRow="1" w:lastColumn="0" w:lastRow="0" w:noHBand="0" w:noVBand="1" w:val="04A0"/>
        <w:tblLayout w:type="fixed"/>
        <w:tblW w:w="0" w:type="auto"/>
      </w:tblPr>
      <w:tblGrid>
        <w:gridCol w:w="510"/>
        <w:gridCol w:w="5443"/>
        <w:gridCol w:w="1247"/>
        <w:gridCol w:w="2041"/>
      </w:tblGrid>
      <w:tr>
        <w:trPr>
          <w:tblHeader/>
          <w:cantSplit/>
        </w:trPr>
        <w:tc>
          <w:tcPr>
            <w:tcW w:type="dxa" w:w="510"/>
            <w:shd w:val="clear" w:color="auto" w:fill="16716E"/>
          </w:tcPr>
          <w:p>
            <w:pPr>
              <w:spacing w:after="20"/>
            </w:pPr>
            <w:r>
              <w:rPr>
                <w:rFonts w:ascii="Calibri" w:hAnsi="Calibri"/>
                <w:b/>
                <w:color w:val="FFFFFF"/>
                <w:sz w:val="20"/>
              </w:rPr>
              <w:t>No.</w:t>
            </w:r>
          </w:p>
        </w:tc>
        <w:tc>
          <w:tcPr>
            <w:tcW w:type="dxa" w:w="5443"/>
            <w:shd w:val="clear" w:color="auto" w:fill="16716E"/>
          </w:tcPr>
          <w:p>
            <w:pPr>
              <w:spacing w:after="20"/>
            </w:pPr>
            <w:r>
              <w:rPr>
                <w:rFonts w:ascii="Calibri" w:hAnsi="Calibri"/>
                <w:b/>
                <w:color w:val="FFFFFF"/>
                <w:sz w:val="20"/>
              </w:rPr>
              <w:t>Criterio de evaluación / desempeño</w:t>
            </w:r>
          </w:p>
        </w:tc>
        <w:tc>
          <w:tcPr>
            <w:tcW w:type="dxa" w:w="1247"/>
            <w:shd w:val="clear" w:color="auto" w:fill="16716E"/>
          </w:tcPr>
          <w:p>
            <w:pPr>
              <w:spacing w:after="20"/>
            </w:pPr>
            <w:r>
              <w:rPr>
                <w:rFonts w:ascii="Calibri" w:hAnsi="Calibri"/>
                <w:b/>
                <w:color w:val="FFFFFF"/>
                <w:sz w:val="20"/>
              </w:rPr>
              <w:t>Cumple (SÍ/NO)</w:t>
            </w:r>
          </w:p>
        </w:tc>
        <w:tc>
          <w:tcPr>
            <w:tcW w:type="dxa" w:w="2041"/>
            <w:shd w:val="clear" w:color="auto" w:fill="16716E"/>
          </w:tcPr>
          <w:p>
            <w:pPr>
              <w:spacing w:after="20"/>
            </w:pPr>
            <w:r>
              <w:rPr>
                <w:rFonts w:ascii="Calibri" w:hAnsi="Calibri"/>
                <w:b/>
                <w:color w:val="FFFFFF"/>
                <w:sz w:val="20"/>
              </w:rPr>
              <w:t>Observaciones</w:t>
            </w:r>
          </w:p>
        </w:tc>
      </w:tr>
      <w:tr>
        <w:trPr>
          <w:cantSplit/>
        </w:trPr>
        <w:tc>
          <w:tcPr>
            <w:tcW w:type="dxa" w:w="510"/>
          </w:tcPr>
          <w:p>
            <w:pPr>
              <w:spacing w:after="20"/>
            </w:pPr>
            <w:r>
              <w:rPr>
                <w:rFonts w:ascii="Calibri" w:hAnsi="Calibri"/>
                <w:b w:val="0"/>
                <w:color w:val="1C222A"/>
                <w:sz w:val="18"/>
              </w:rPr>
              <w:t>1</w:t>
            </w:r>
          </w:p>
        </w:tc>
        <w:tc>
          <w:tcPr>
            <w:tcW w:type="dxa" w:w="5443"/>
          </w:tcPr>
          <w:p>
            <w:pPr>
              <w:spacing w:after="20"/>
            </w:pPr>
            <w:r>
              <w:rPr>
                <w:rFonts w:ascii="Calibri" w:hAnsi="Calibri"/>
                <w:b w:val="0"/>
                <w:color w:val="1C222A"/>
                <w:sz w:val="18"/>
              </w:rPr>
              <w:t>SRS corregido con PostgreSQL como único motor de base de datos</w:t>
            </w:r>
          </w:p>
        </w:tc>
        <w:tc>
          <w:tcPr>
            <w:tcW w:type="dxa" w:w="1247"/>
          </w:tcPr>
          <w:p>
            <w:pPr>
              <w:spacing w:after="20"/>
            </w:pPr>
            <w:r>
              <w:rPr>
                <w:rFonts w:ascii="Calibri" w:hAnsi="Calibri"/>
                <w:b w:val="0"/>
                <w:color w:val="1C222A"/>
                <w:sz w:val="18"/>
              </w:rPr>
              <w:t>SÍ</w:t>
            </w:r>
          </w:p>
        </w:tc>
        <w:tc>
          <w:tcPr>
            <w:tcW w:type="dxa" w:w="2041"/>
          </w:tcPr>
          <w:p>
            <w:pPr>
              <w:spacing w:after="20"/>
            </w:pPr>
            <w:r>
              <w:rPr>
                <w:rFonts w:ascii="Calibri" w:hAnsi="Calibri"/>
                <w:b w:val="0"/>
                <w:color w:val="1C222A"/>
                <w:sz w:val="18"/>
              </w:rPr>
              <w:t>Documentación unificada (RF5, RF7, RF8)</w:t>
            </w:r>
          </w:p>
        </w:tc>
      </w:tr>
      <w:tr>
        <w:trPr>
          <w:cantSplit/>
        </w:trPr>
        <w:tc>
          <w:tcPr>
            <w:tcW w:type="dxa" w:w="510"/>
            <w:shd w:val="clear" w:color="auto" w:fill="EAF2F1"/>
          </w:tcPr>
          <w:p>
            <w:pPr>
              <w:spacing w:after="20"/>
            </w:pPr>
            <w:r>
              <w:rPr>
                <w:rFonts w:ascii="Calibri" w:hAnsi="Calibri"/>
                <w:b w:val="0"/>
                <w:color w:val="1C222A"/>
                <w:sz w:val="18"/>
              </w:rPr>
              <w:t>2</w:t>
            </w:r>
          </w:p>
        </w:tc>
        <w:tc>
          <w:tcPr>
            <w:tcW w:type="dxa" w:w="5443"/>
            <w:shd w:val="clear" w:color="auto" w:fill="EAF2F1"/>
          </w:tcPr>
          <w:p>
            <w:pPr>
              <w:spacing w:after="20"/>
            </w:pPr>
            <w:r>
              <w:rPr>
                <w:rFonts w:ascii="Calibri" w:hAnsi="Calibri"/>
                <w:b w:val="0"/>
                <w:color w:val="1C222A"/>
                <w:sz w:val="18"/>
              </w:rPr>
              <w:t>53 requisitos funcionales documentados (ERF1.1–ERF8.4)</w:t>
            </w:r>
          </w:p>
        </w:tc>
        <w:tc>
          <w:tcPr>
            <w:tcW w:type="dxa" w:w="1247"/>
            <w:shd w:val="clear" w:color="auto" w:fill="EAF2F1"/>
          </w:tcPr>
          <w:p>
            <w:pPr>
              <w:spacing w:after="20"/>
            </w:pPr>
            <w:r>
              <w:rPr>
                <w:rFonts w:ascii="Calibri" w:hAnsi="Calibri"/>
                <w:b w:val="0"/>
                <w:color w:val="1C222A"/>
                <w:sz w:val="18"/>
              </w:rPr>
              <w:t>SÍ</w:t>
            </w:r>
          </w:p>
        </w:tc>
        <w:tc>
          <w:tcPr>
            <w:tcW w:type="dxa" w:w="2041"/>
            <w:shd w:val="clear" w:color="auto" w:fill="EAF2F1"/>
          </w:tcPr>
          <w:p>
            <w:pPr>
              <w:spacing w:after="20"/>
            </w:pPr>
            <w:r>
              <w:rPr>
                <w:rFonts w:ascii="Calibri" w:hAnsi="Calibri"/>
                <w:b w:val="0"/>
                <w:color w:val="1C222A"/>
                <w:sz w:val="18"/>
              </w:rPr>
              <w:t>Ocho módulos RF1–RF8</w:t>
            </w:r>
          </w:p>
        </w:tc>
      </w:tr>
      <w:tr>
        <w:trPr>
          <w:cantSplit/>
        </w:trPr>
        <w:tc>
          <w:tcPr>
            <w:tcW w:type="dxa" w:w="510"/>
          </w:tcPr>
          <w:p>
            <w:pPr>
              <w:spacing w:after="20"/>
            </w:pPr>
            <w:r>
              <w:rPr>
                <w:rFonts w:ascii="Calibri" w:hAnsi="Calibri"/>
                <w:b w:val="0"/>
                <w:color w:val="1C222A"/>
                <w:sz w:val="18"/>
              </w:rPr>
              <w:t>3</w:t>
            </w:r>
          </w:p>
        </w:tc>
        <w:tc>
          <w:tcPr>
            <w:tcW w:type="dxa" w:w="5443"/>
          </w:tcPr>
          <w:p>
            <w:pPr>
              <w:spacing w:after="20"/>
            </w:pPr>
            <w:r>
              <w:rPr>
                <w:rFonts w:ascii="Calibri" w:hAnsi="Calibri"/>
                <w:b w:val="0"/>
                <w:color w:val="1C222A"/>
                <w:sz w:val="18"/>
              </w:rPr>
              <w:t>Requisitos no funcionales RNF1–RNF7 definidos</w:t>
            </w:r>
          </w:p>
        </w:tc>
        <w:tc>
          <w:tcPr>
            <w:tcW w:type="dxa" w:w="1247"/>
          </w:tcPr>
          <w:p>
            <w:pPr>
              <w:spacing w:after="20"/>
            </w:pPr>
            <w:r>
              <w:rPr>
                <w:rFonts w:ascii="Calibri" w:hAnsi="Calibri"/>
                <w:b w:val="0"/>
                <w:color w:val="1C222A"/>
                <w:sz w:val="18"/>
              </w:rPr>
              <w:t>SÍ</w:t>
            </w:r>
          </w:p>
        </w:tc>
        <w:tc>
          <w:tcPr>
            <w:tcW w:type="dxa" w:w="2041"/>
          </w:tcPr>
          <w:p>
            <w:pPr>
              <w:spacing w:after="20"/>
            </w:pPr>
            <w:r>
              <w:rPr>
                <w:rFonts w:ascii="Calibri" w:hAnsi="Calibri"/>
                <w:b w:val="0"/>
                <w:color w:val="1C222A"/>
                <w:sz w:val="18"/>
              </w:rPr>
              <w:t>ISO/IEC 25010, Ley 1581, Decreto 1377</w:t>
            </w:r>
          </w:p>
        </w:tc>
      </w:tr>
      <w:tr>
        <w:trPr>
          <w:cantSplit/>
        </w:trPr>
        <w:tc>
          <w:tcPr>
            <w:tcW w:type="dxa" w:w="510"/>
            <w:shd w:val="clear" w:color="auto" w:fill="EAF2F1"/>
          </w:tcPr>
          <w:p>
            <w:pPr>
              <w:spacing w:after="20"/>
            </w:pPr>
            <w:r>
              <w:rPr>
                <w:rFonts w:ascii="Calibri" w:hAnsi="Calibri"/>
                <w:b w:val="0"/>
                <w:color w:val="1C222A"/>
                <w:sz w:val="18"/>
              </w:rPr>
              <w:t>4</w:t>
            </w:r>
          </w:p>
        </w:tc>
        <w:tc>
          <w:tcPr>
            <w:tcW w:type="dxa" w:w="5443"/>
            <w:shd w:val="clear" w:color="auto" w:fill="EAF2F1"/>
          </w:tcPr>
          <w:p>
            <w:pPr>
              <w:spacing w:after="20"/>
            </w:pPr>
            <w:r>
              <w:rPr>
                <w:rFonts w:ascii="Calibri" w:hAnsi="Calibri"/>
                <w:b w:val="0"/>
                <w:color w:val="1C222A"/>
                <w:sz w:val="18"/>
              </w:rPr>
              <w:t>Casos de uso CU-01 a CU-08 y CU-04.4 modelados</w:t>
            </w:r>
          </w:p>
        </w:tc>
        <w:tc>
          <w:tcPr>
            <w:tcW w:type="dxa" w:w="1247"/>
            <w:shd w:val="clear" w:color="auto" w:fill="EAF2F1"/>
          </w:tcPr>
          <w:p>
            <w:pPr>
              <w:spacing w:after="20"/>
            </w:pPr>
            <w:r>
              <w:rPr>
                <w:rFonts w:ascii="Calibri" w:hAnsi="Calibri"/>
                <w:b w:val="0"/>
                <w:color w:val="1C222A"/>
                <w:sz w:val="18"/>
              </w:rPr>
              <w:t>SÍ</w:t>
            </w:r>
          </w:p>
        </w:tc>
        <w:tc>
          <w:tcPr>
            <w:tcW w:type="dxa" w:w="2041"/>
            <w:shd w:val="clear" w:color="auto" w:fill="EAF2F1"/>
          </w:tcPr>
          <w:p>
            <w:pPr>
              <w:spacing w:after="20"/>
            </w:pPr>
            <w:r>
              <w:rPr>
                <w:rFonts w:ascii="Calibri" w:hAnsi="Calibri"/>
                <w:b w:val="0"/>
                <w:color w:val="1C222A"/>
                <w:sz w:val="18"/>
              </w:rPr>
              <w:t>Correlacionados con su diagrama de actividad</w:t>
            </w:r>
          </w:p>
        </w:tc>
      </w:tr>
      <w:tr>
        <w:trPr>
          <w:cantSplit/>
        </w:trPr>
        <w:tc>
          <w:tcPr>
            <w:tcW w:type="dxa" w:w="510"/>
          </w:tcPr>
          <w:p>
            <w:pPr>
              <w:spacing w:after="20"/>
            </w:pPr>
            <w:r>
              <w:rPr>
                <w:rFonts w:ascii="Calibri" w:hAnsi="Calibri"/>
                <w:b w:val="0"/>
                <w:color w:val="1C222A"/>
                <w:sz w:val="18"/>
              </w:rPr>
              <w:t>5</w:t>
            </w:r>
          </w:p>
        </w:tc>
        <w:tc>
          <w:tcPr>
            <w:tcW w:type="dxa" w:w="5443"/>
          </w:tcPr>
          <w:p>
            <w:pPr>
              <w:spacing w:after="20"/>
            </w:pPr>
            <w:r>
              <w:rPr>
                <w:rFonts w:ascii="Calibri" w:hAnsi="Calibri"/>
                <w:b w:val="0"/>
                <w:color w:val="1C222A"/>
                <w:sz w:val="18"/>
              </w:rPr>
              <w:t>Diagramas de actividad DA-01 a DA-08 documentados</w:t>
            </w:r>
          </w:p>
        </w:tc>
        <w:tc>
          <w:tcPr>
            <w:tcW w:type="dxa" w:w="1247"/>
          </w:tcPr>
          <w:p>
            <w:pPr>
              <w:spacing w:after="20"/>
            </w:pPr>
            <w:r>
              <w:rPr>
                <w:rFonts w:ascii="Calibri" w:hAnsi="Calibri"/>
                <w:b w:val="0"/>
                <w:color w:val="1C222A"/>
                <w:sz w:val="18"/>
              </w:rPr>
              <w:t>SÍ</w:t>
            </w:r>
          </w:p>
        </w:tc>
        <w:tc>
          <w:tcPr>
            <w:tcW w:type="dxa" w:w="2041"/>
          </w:tcPr>
          <w:p>
            <w:pPr>
              <w:spacing w:after="20"/>
            </w:pPr>
            <w:r>
              <w:rPr>
                <w:rFonts w:ascii="Calibri" w:hAnsi="Calibri"/>
                <w:b w:val="0"/>
                <w:color w:val="1C222A"/>
                <w:sz w:val="18"/>
              </w:rPr>
              <w:t>Un diagrama por módulo</w:t>
            </w:r>
          </w:p>
        </w:tc>
      </w:tr>
      <w:tr>
        <w:trPr>
          <w:cantSplit/>
        </w:trPr>
        <w:tc>
          <w:tcPr>
            <w:tcW w:type="dxa" w:w="510"/>
            <w:shd w:val="clear" w:color="auto" w:fill="EAF2F1"/>
          </w:tcPr>
          <w:p>
            <w:pPr>
              <w:spacing w:after="20"/>
            </w:pPr>
            <w:r>
              <w:rPr>
                <w:rFonts w:ascii="Calibri" w:hAnsi="Calibri"/>
                <w:b w:val="0"/>
                <w:color w:val="1C222A"/>
                <w:sz w:val="18"/>
              </w:rPr>
              <w:t>6</w:t>
            </w:r>
          </w:p>
        </w:tc>
        <w:tc>
          <w:tcPr>
            <w:tcW w:type="dxa" w:w="5443"/>
            <w:shd w:val="clear" w:color="auto" w:fill="EAF2F1"/>
          </w:tcPr>
          <w:p>
            <w:pPr>
              <w:spacing w:after="20"/>
            </w:pPr>
            <w:r>
              <w:rPr>
                <w:rFonts w:ascii="Calibri" w:hAnsi="Calibri"/>
                <w:b w:val="0"/>
                <w:color w:val="1C222A"/>
                <w:sz w:val="18"/>
              </w:rPr>
              <w:t>Modelo de dominio con 12 entidades</w:t>
            </w:r>
          </w:p>
        </w:tc>
        <w:tc>
          <w:tcPr>
            <w:tcW w:type="dxa" w:w="1247"/>
            <w:shd w:val="clear" w:color="auto" w:fill="EAF2F1"/>
          </w:tcPr>
          <w:p>
            <w:pPr>
              <w:spacing w:after="20"/>
            </w:pPr>
            <w:r>
              <w:rPr>
                <w:rFonts w:ascii="Calibri" w:hAnsi="Calibri"/>
                <w:b w:val="0"/>
                <w:color w:val="1C222A"/>
                <w:sz w:val="18"/>
              </w:rPr>
              <w:t>SÍ</w:t>
            </w:r>
          </w:p>
        </w:tc>
        <w:tc>
          <w:tcPr>
            <w:tcW w:type="dxa" w:w="2041"/>
            <w:shd w:val="clear" w:color="auto" w:fill="EAF2F1"/>
          </w:tcPr>
          <w:p>
            <w:pPr>
              <w:spacing w:after="20"/>
            </w:pPr>
            <w:r>
              <w:rPr>
                <w:rFonts w:ascii="Calibri" w:hAnsi="Calibri"/>
                <w:b w:val="0"/>
                <w:color w:val="1C222A"/>
                <w:sz w:val="18"/>
              </w:rPr>
              <w:t>Actores formales alineados al SRS</w:t>
            </w:r>
          </w:p>
        </w:tc>
      </w:tr>
      <w:tr>
        <w:trPr>
          <w:cantSplit/>
        </w:trPr>
        <w:tc>
          <w:tcPr>
            <w:tcW w:type="dxa" w:w="510"/>
          </w:tcPr>
          <w:p>
            <w:pPr>
              <w:spacing w:after="20"/>
            </w:pPr>
            <w:r>
              <w:rPr>
                <w:rFonts w:ascii="Calibri" w:hAnsi="Calibri"/>
                <w:b w:val="0"/>
                <w:color w:val="1C222A"/>
                <w:sz w:val="18"/>
              </w:rPr>
              <w:t>7</w:t>
            </w:r>
          </w:p>
        </w:tc>
        <w:tc>
          <w:tcPr>
            <w:tcW w:type="dxa" w:w="5443"/>
          </w:tcPr>
          <w:p>
            <w:pPr>
              <w:spacing w:after="20"/>
            </w:pPr>
            <w:r>
              <w:rPr>
                <w:rFonts w:ascii="Calibri" w:hAnsi="Calibri"/>
                <w:b w:val="0"/>
                <w:color w:val="1C222A"/>
                <w:sz w:val="18"/>
              </w:rPr>
              <w:t>DER con 13 tablas (12 entidades + RutaProducto)</w:t>
            </w:r>
          </w:p>
        </w:tc>
        <w:tc>
          <w:tcPr>
            <w:tcW w:type="dxa" w:w="1247"/>
          </w:tcPr>
          <w:p>
            <w:pPr>
              <w:spacing w:after="20"/>
            </w:pPr>
            <w:r>
              <w:rPr>
                <w:rFonts w:ascii="Calibri" w:hAnsi="Calibri"/>
                <w:b w:val="0"/>
                <w:color w:val="1C222A"/>
                <w:sz w:val="18"/>
              </w:rPr>
              <w:t>SÍ</w:t>
            </w:r>
          </w:p>
        </w:tc>
        <w:tc>
          <w:tcPr>
            <w:tcW w:type="dxa" w:w="2041"/>
          </w:tcPr>
          <w:p>
            <w:pPr>
              <w:spacing w:after="20"/>
            </w:pPr>
            <w:r>
              <w:rPr>
                <w:rFonts w:ascii="Calibri" w:hAnsi="Calibri"/>
                <w:b w:val="0"/>
                <w:color w:val="1C222A"/>
                <w:sz w:val="18"/>
              </w:rPr>
              <w:t>Esquema PostgreSQL</w:t>
            </w:r>
          </w:p>
        </w:tc>
      </w:tr>
      <w:tr>
        <w:trPr>
          <w:cantSplit/>
        </w:trPr>
        <w:tc>
          <w:tcPr>
            <w:tcW w:type="dxa" w:w="510"/>
            <w:shd w:val="clear" w:color="auto" w:fill="EAF2F1"/>
          </w:tcPr>
          <w:p>
            <w:pPr>
              <w:spacing w:after="20"/>
            </w:pPr>
            <w:r>
              <w:rPr>
                <w:rFonts w:ascii="Calibri" w:hAnsi="Calibri"/>
                <w:b w:val="0"/>
                <w:color w:val="1C222A"/>
                <w:sz w:val="18"/>
              </w:rPr>
              <w:t>8</w:t>
            </w:r>
          </w:p>
        </w:tc>
        <w:tc>
          <w:tcPr>
            <w:tcW w:type="dxa" w:w="5443"/>
            <w:shd w:val="clear" w:color="auto" w:fill="EAF2F1"/>
          </w:tcPr>
          <w:p>
            <w:pPr>
              <w:spacing w:after="20"/>
            </w:pPr>
            <w:r>
              <w:rPr>
                <w:rFonts w:ascii="Calibri" w:hAnsi="Calibri"/>
                <w:b w:val="0"/>
                <w:color w:val="1C222A"/>
                <w:sz w:val="18"/>
              </w:rPr>
              <w:t>Prototipo funcional navegable</w:t>
            </w:r>
          </w:p>
        </w:tc>
        <w:tc>
          <w:tcPr>
            <w:tcW w:type="dxa" w:w="1247"/>
            <w:shd w:val="clear" w:color="auto" w:fill="EAF2F1"/>
          </w:tcPr>
          <w:p>
            <w:pPr>
              <w:spacing w:after="20"/>
            </w:pPr>
            <w:r>
              <w:rPr>
                <w:rFonts w:ascii="Calibri" w:hAnsi="Calibri"/>
                <w:b w:val="0"/>
                <w:color w:val="1C222A"/>
                <w:sz w:val="18"/>
              </w:rPr>
              <w:t>SÍ</w:t>
            </w:r>
          </w:p>
        </w:tc>
        <w:tc>
          <w:tcPr>
            <w:tcW w:type="dxa" w:w="2041"/>
            <w:shd w:val="clear" w:color="auto" w:fill="EAF2F1"/>
          </w:tcPr>
          <w:p>
            <w:pPr>
              <w:spacing w:after="20"/>
            </w:pPr>
            <w:r>
              <w:rPr>
                <w:rFonts w:ascii="Calibri" w:hAnsi="Calibri"/>
                <w:b w:val="0"/>
                <w:color w:val="1C222A"/>
                <w:sz w:val="18"/>
              </w:rPr>
              <w:t>Ocho módulos + API</w:t>
            </w:r>
          </w:p>
        </w:tc>
      </w:tr>
      <w:tr>
        <w:trPr>
          <w:cantSplit/>
        </w:trPr>
        <w:tc>
          <w:tcPr>
            <w:tcW w:type="dxa" w:w="510"/>
          </w:tcPr>
          <w:p>
            <w:pPr>
              <w:spacing w:after="20"/>
            </w:pPr>
            <w:r>
              <w:rPr>
                <w:rFonts w:ascii="Calibri" w:hAnsi="Calibri"/>
                <w:b w:val="0"/>
                <w:color w:val="1C222A"/>
                <w:sz w:val="18"/>
              </w:rPr>
              <w:t>9</w:t>
            </w:r>
          </w:p>
        </w:tc>
        <w:tc>
          <w:tcPr>
            <w:tcW w:type="dxa" w:w="5443"/>
          </w:tcPr>
          <w:p>
            <w:pPr>
              <w:spacing w:after="20"/>
            </w:pPr>
            <w:r>
              <w:rPr>
                <w:rFonts w:ascii="Calibri" w:hAnsi="Calibri"/>
                <w:b w:val="0"/>
                <w:color w:val="1C222A"/>
                <w:sz w:val="18"/>
              </w:rPr>
              <w:t>Trazabilidad SRS · CU · DA · dominio · DER</w:t>
            </w:r>
          </w:p>
        </w:tc>
        <w:tc>
          <w:tcPr>
            <w:tcW w:type="dxa" w:w="1247"/>
          </w:tcPr>
          <w:p>
            <w:pPr>
              <w:spacing w:after="20"/>
            </w:pPr>
            <w:r>
              <w:rPr>
                <w:rFonts w:ascii="Calibri" w:hAnsi="Calibri"/>
                <w:b w:val="0"/>
                <w:color w:val="1C222A"/>
                <w:sz w:val="18"/>
              </w:rPr>
              <w:t>SÍ</w:t>
            </w:r>
          </w:p>
        </w:tc>
        <w:tc>
          <w:tcPr>
            <w:tcW w:type="dxa" w:w="2041"/>
          </w:tcPr>
          <w:p>
            <w:pPr>
              <w:spacing w:after="20"/>
            </w:pPr>
            <w:r>
              <w:rPr>
                <w:rFonts w:ascii="Calibri" w:hAnsi="Calibri"/>
                <w:b w:val="0"/>
                <w:color w:val="1C222A"/>
                <w:sz w:val="18"/>
              </w:rPr>
              <w:t>Matriz de trazabilidad</w:t>
            </w:r>
          </w:p>
        </w:tc>
      </w:tr>
      <w:tr>
        <w:trPr>
          <w:cantSplit/>
        </w:trPr>
        <w:tc>
          <w:tcPr>
            <w:tcW w:type="dxa" w:w="510"/>
            <w:shd w:val="clear" w:color="auto" w:fill="EAF2F1"/>
          </w:tcPr>
          <w:p>
            <w:pPr>
              <w:spacing w:after="20"/>
            </w:pPr>
            <w:r>
              <w:rPr>
                <w:rFonts w:ascii="Calibri" w:hAnsi="Calibri"/>
                <w:b w:val="0"/>
                <w:color w:val="1C222A"/>
                <w:sz w:val="18"/>
              </w:rPr>
              <w:t>10</w:t>
            </w:r>
          </w:p>
        </w:tc>
        <w:tc>
          <w:tcPr>
            <w:tcW w:type="dxa" w:w="5443"/>
            <w:shd w:val="clear" w:color="auto" w:fill="EAF2F1"/>
          </w:tcPr>
          <w:p>
            <w:pPr>
              <w:spacing w:after="20"/>
            </w:pPr>
            <w:r>
              <w:rPr>
                <w:rFonts w:ascii="Calibri" w:hAnsi="Calibri"/>
                <w:b w:val="0"/>
                <w:color w:val="1C222A"/>
                <w:sz w:val="18"/>
              </w:rPr>
              <w:t>Validación funcional de los 8 módulos</w:t>
            </w:r>
          </w:p>
        </w:tc>
        <w:tc>
          <w:tcPr>
            <w:tcW w:type="dxa" w:w="1247"/>
            <w:shd w:val="clear" w:color="auto" w:fill="EAF2F1"/>
          </w:tcPr>
          <w:p>
            <w:pPr>
              <w:spacing w:after="20"/>
            </w:pPr>
            <w:r>
              <w:rPr>
                <w:rFonts w:ascii="Calibri" w:hAnsi="Calibri"/>
                <w:b w:val="0"/>
                <w:color w:val="1C222A"/>
                <w:sz w:val="18"/>
              </w:rPr>
              <w:t>SÍ</w:t>
            </w:r>
          </w:p>
        </w:tc>
        <w:tc>
          <w:tcPr>
            <w:tcW w:type="dxa" w:w="2041"/>
            <w:shd w:val="clear" w:color="auto" w:fill="EAF2F1"/>
          </w:tcPr>
          <w:p>
            <w:pPr>
              <w:spacing w:after="20"/>
            </w:pPr>
            <w:r>
              <w:rPr>
                <w:rFonts w:ascii="Calibri" w:hAnsi="Calibri"/>
                <w:b w:val="0"/>
                <w:color w:val="1C222A"/>
                <w:sz w:val="18"/>
              </w:rPr>
              <w:t>Evidencia: CU, DA y prototipo</w:t>
            </w:r>
          </w:p>
        </w:tc>
      </w:tr>
    </w:tbl>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