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5A56" w14:textId="77777777" w:rsidR="005053A5" w:rsidRDefault="008E087B">
      <w:pPr>
        <w:jc w:val="center"/>
      </w:pPr>
      <w:r>
        <w:rPr>
          <w:b/>
          <w:bCs/>
          <w:color w:val="06283D"/>
          <w:sz w:val="28"/>
          <w:szCs w:val="28"/>
        </w:rPr>
        <w:t>INFORME TÉCNICO — TALLER 2</w:t>
      </w:r>
    </w:p>
    <w:p w14:paraId="607C3D41" w14:textId="77777777" w:rsidR="005053A5" w:rsidRDefault="008E087B">
      <w:pPr>
        <w:spacing w:after="40"/>
        <w:jc w:val="center"/>
      </w:pPr>
      <w:r>
        <w:t>Proyecto ALMEXA - Sistema de Gestión de Inventario y Bodega</w:t>
      </w:r>
    </w:p>
    <w:p w14:paraId="1946C04E" w14:textId="77777777" w:rsidR="005053A5" w:rsidRDefault="008E087B">
      <w:pPr>
        <w:spacing w:after="80"/>
        <w:jc w:val="center"/>
      </w:pPr>
      <w:r>
        <w:t>VERSIÓN CORREGIDA — ALINEADA CON EL SRS (Kevin SRS-Sistema de Inventario)</w:t>
      </w:r>
    </w:p>
    <w:p w14:paraId="4A4C3412" w14:textId="77777777" w:rsidR="005053A5" w:rsidRDefault="008E087B">
      <w:pPr>
        <w:spacing w:after="200"/>
        <w:jc w:val="center"/>
      </w:pPr>
      <w:r>
        <w:t>Programa ADSO - Ficha 3407799 - CIES, SENA</w:t>
      </w:r>
    </w:p>
    <w:p w14:paraId="6876782B" w14:textId="77777777" w:rsidR="005053A5" w:rsidRDefault="008E087B">
      <w:pPr>
        <w:spacing w:before="250" w:after="100"/>
      </w:pPr>
      <w:r>
        <w:rPr>
          <w:b/>
          <w:bCs/>
          <w:color w:val="06283D"/>
          <w:sz w:val="22"/>
          <w:szCs w:val="22"/>
        </w:rPr>
        <w:t>1. Introducción</w:t>
      </w:r>
    </w:p>
    <w:p w14:paraId="23ECFD76" w14:textId="77777777" w:rsidR="005053A5" w:rsidRDefault="008E087B">
      <w:pPr>
        <w:spacing w:after="90"/>
      </w:pPr>
      <w:r>
        <w:t>El presente informe técnico documenta los aspectos tecnológicos y de arquitectura del Sistema de Gestión de Inventario y Bodega ALMEXA, en el marco del Taller 2 del programa de formación. Se describe el entorno de base de datos, la arquitectura de software, el manejo de la información, la seguridad y la API de integración externa, todos alineados con los requisitos funcionales (RF) y no funcionales (RNF) del SRS.</w:t>
      </w:r>
    </w:p>
    <w:p w14:paraId="55C46AA9" w14:textId="77777777" w:rsidR="005053A5" w:rsidRDefault="008E087B">
      <w:pPr>
        <w:spacing w:before="250" w:after="100"/>
      </w:pPr>
      <w:r>
        <w:rPr>
          <w:b/>
          <w:bCs/>
          <w:color w:val="06283D"/>
          <w:sz w:val="22"/>
          <w:szCs w:val="22"/>
        </w:rPr>
        <w:t>2. Motor de base de datos</w:t>
      </w:r>
    </w:p>
    <w:p w14:paraId="6B3CCA94" w14:textId="77777777" w:rsidR="005053A5" w:rsidRDefault="008E087B">
      <w:pPr>
        <w:spacing w:after="90"/>
      </w:pPr>
      <w:r>
        <w:t>El motor de base de datos definitivo del sistema ALMEXA es PostgreSQL. Se emplea como gestor relacional para el almacenamiento de la información gestionada por los ocho módulos funcionales, incluyendo el modelo de dominio compuesto por 12 entidades.</w:t>
      </w:r>
    </w:p>
    <w:p w14:paraId="16349345" w14:textId="6347E169" w:rsidR="005053A5" w:rsidRDefault="008E087B">
      <w:pPr>
        <w:spacing w:after="90"/>
      </w:pPr>
      <w:r>
        <w:t xml:space="preserve">PostgreSQL fue seleccionado por su confiabilidad (RNF4), rendimiento (RNF3), seguridad (RNF5), cumplimiento de transacciones ACID y escalabilidad (RNF6). Se complementa con herramientas de administración y </w:t>
      </w:r>
      <w:r w:rsidR="00F20435">
        <w:t>drivers de conexión (node-postgres)</w:t>
      </w:r>
      <w:r>
        <w:t xml:space="preserve"> en el entorno de desarrollo.</w:t>
      </w:r>
    </w:p>
    <w:p w14:paraId="7A026926" w14:textId="77777777" w:rsidR="005053A5" w:rsidRDefault="008E087B">
      <w:pPr>
        <w:spacing w:before="250" w:after="100"/>
      </w:pPr>
      <w:r>
        <w:rPr>
          <w:b/>
          <w:bCs/>
          <w:color w:val="06283D"/>
          <w:sz w:val="22"/>
          <w:szCs w:val="22"/>
        </w:rPr>
        <w:t>3. Arquitectura de software</w:t>
      </w:r>
    </w:p>
    <w:p w14:paraId="4988C1A7" w14:textId="77777777" w:rsidR="005053A5" w:rsidRDefault="008E087B">
      <w:pPr>
        <w:pStyle w:val="Prrafodelista"/>
        <w:numPr>
          <w:ilvl w:val="0"/>
          <w:numId w:val="1"/>
        </w:numPr>
        <w:spacing w:after="50"/>
      </w:pPr>
      <w:r>
        <w:t>Arquitectura cliente-servidor en 3 capas: presentación (frontend web), lógica de negocio (backend) y datos (PostgreSQL).</w:t>
      </w:r>
    </w:p>
    <w:p w14:paraId="1E79FE69" w14:textId="77777777" w:rsidR="005053A5" w:rsidRDefault="008E087B">
      <w:pPr>
        <w:pStyle w:val="Prrafodelista"/>
        <w:numPr>
          <w:ilvl w:val="0"/>
          <w:numId w:val="1"/>
        </w:numPr>
        <w:spacing w:after="50"/>
      </w:pPr>
      <w:r>
        <w:t>Patrón de diseño MVC en el backend, con separación de responsabilidades por módulo (RF1–RF8).</w:t>
      </w:r>
    </w:p>
    <w:p w14:paraId="4921B459" w14:textId="77777777" w:rsidR="005053A5" w:rsidRDefault="008E087B">
      <w:pPr>
        <w:pStyle w:val="Prrafodelista"/>
        <w:numPr>
          <w:ilvl w:val="0"/>
          <w:numId w:val="1"/>
        </w:numPr>
        <w:spacing w:after="50"/>
      </w:pPr>
      <w:r>
        <w:t>API REST documentada en OpenAPI para la integración externa (RF8).</w:t>
      </w:r>
    </w:p>
    <w:p w14:paraId="2D1088A2" w14:textId="77777777" w:rsidR="005053A5" w:rsidRDefault="008E087B">
      <w:pPr>
        <w:pStyle w:val="Prrafodelista"/>
        <w:numPr>
          <w:ilvl w:val="0"/>
          <w:numId w:val="1"/>
        </w:numPr>
        <w:spacing w:after="50"/>
      </w:pPr>
      <w:r>
        <w:t>Control de acceso por roles y permisos validados en cada petición (ERF2.3).</w:t>
      </w:r>
    </w:p>
    <w:p w14:paraId="6E568192" w14:textId="77777777" w:rsidR="005053A5" w:rsidRDefault="008E087B">
      <w:pPr>
        <w:spacing w:before="250" w:after="100"/>
      </w:pPr>
      <w:r>
        <w:rPr>
          <w:b/>
          <w:bCs/>
          <w:color w:val="06283D"/>
          <w:sz w:val="22"/>
          <w:szCs w:val="22"/>
        </w:rPr>
        <w:t>4. Seguridad de la información</w:t>
      </w:r>
    </w:p>
    <w:p w14:paraId="07B5AC43" w14:textId="77777777" w:rsidR="005053A5" w:rsidRDefault="008E087B">
      <w:pPr>
        <w:pStyle w:val="Prrafodelista"/>
        <w:numPr>
          <w:ilvl w:val="0"/>
          <w:numId w:val="1"/>
        </w:numPr>
        <w:spacing w:after="50"/>
      </w:pPr>
      <w:r>
        <w:t>Tratamiento de datos personales conforme a la Ley 1581 de 2012 y el Decreto 1377 de 2013.</w:t>
      </w:r>
    </w:p>
    <w:p w14:paraId="5F9E414F" w14:textId="77777777" w:rsidR="005053A5" w:rsidRDefault="008E087B">
      <w:pPr>
        <w:pStyle w:val="Prrafodelista"/>
        <w:numPr>
          <w:ilvl w:val="0"/>
          <w:numId w:val="1"/>
        </w:numPr>
        <w:spacing w:after="50"/>
      </w:pPr>
      <w:r>
        <w:t>Almacenamiento de contraseñas con hash seguro y autenticación de la API mediante token (ERF8.3).</w:t>
      </w:r>
    </w:p>
    <w:p w14:paraId="553C4BAA" w14:textId="77777777" w:rsidR="005053A5" w:rsidRDefault="008E087B">
      <w:pPr>
        <w:pStyle w:val="Prrafodelista"/>
        <w:numPr>
          <w:ilvl w:val="0"/>
          <w:numId w:val="1"/>
        </w:numPr>
        <w:spacing w:after="50"/>
      </w:pPr>
      <w:r>
        <w:t>Bitácora de accesos que registra intentos exitosos y fallidos (ERF2.4).</w:t>
      </w:r>
    </w:p>
    <w:p w14:paraId="052F9C0B" w14:textId="77777777" w:rsidR="005053A5" w:rsidRDefault="008E087B">
      <w:pPr>
        <w:pStyle w:val="Prrafodelista"/>
        <w:numPr>
          <w:ilvl w:val="0"/>
          <w:numId w:val="1"/>
        </w:numPr>
        <w:spacing w:after="50"/>
      </w:pPr>
      <w:r>
        <w:t>Control de acceso por rol (Administrador, Bodeguero, Técnico, Consultor) conforme al SRS.</w:t>
      </w:r>
    </w:p>
    <w:p w14:paraId="0E81F8F6" w14:textId="77777777" w:rsidR="005053A5" w:rsidRDefault="008E087B">
      <w:pPr>
        <w:spacing w:before="250" w:after="100"/>
      </w:pPr>
      <w:r>
        <w:rPr>
          <w:b/>
          <w:bCs/>
          <w:color w:val="06283D"/>
          <w:sz w:val="22"/>
          <w:szCs w:val="22"/>
        </w:rPr>
        <w:t>5. API de integración externa (RF8)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6"/>
        <w:gridCol w:w="6532"/>
        <w:gridCol w:w="1162"/>
      </w:tblGrid>
      <w:tr w:rsidR="005053A5" w14:paraId="3961F6DD" w14:textId="77777777">
        <w:tblPrEx>
          <w:tblCellMar>
            <w:top w:w="0" w:type="dxa"/>
            <w:bottom w:w="0" w:type="dxa"/>
          </w:tblCellMar>
        </w:tblPrEx>
        <w:trPr>
          <w:cantSplit/>
          <w:tblHeader/>
        </w:trPr>
        <w:tc>
          <w:tcPr>
            <w:tcW w:w="1306" w:type="dxa"/>
            <w:shd w:val="clear" w:color="auto" w:fill="06283D"/>
          </w:tcPr>
          <w:p w14:paraId="2B38BA3A" w14:textId="77777777" w:rsidR="005053A5" w:rsidRDefault="008E087B">
            <w:r>
              <w:rPr>
                <w:b/>
                <w:bCs/>
                <w:color w:val="FFFFFF"/>
                <w:sz w:val="18"/>
                <w:szCs w:val="18"/>
              </w:rPr>
              <w:t>Requisito</w:t>
            </w:r>
          </w:p>
        </w:tc>
        <w:tc>
          <w:tcPr>
            <w:tcW w:w="6532" w:type="dxa"/>
            <w:shd w:val="clear" w:color="auto" w:fill="06283D"/>
          </w:tcPr>
          <w:p w14:paraId="3A4D1A23" w14:textId="77777777" w:rsidR="005053A5" w:rsidRDefault="008E087B">
            <w:r>
              <w:rPr>
                <w:b/>
                <w:bCs/>
                <w:color w:val="FFFFFF"/>
                <w:sz w:val="18"/>
                <w:szCs w:val="18"/>
              </w:rPr>
              <w:t>Descripción</w:t>
            </w:r>
          </w:p>
        </w:tc>
        <w:tc>
          <w:tcPr>
            <w:tcW w:w="1162" w:type="dxa"/>
            <w:shd w:val="clear" w:color="auto" w:fill="06283D"/>
          </w:tcPr>
          <w:p w14:paraId="3AF08D1A" w14:textId="77777777" w:rsidR="005053A5" w:rsidRDefault="008E087B">
            <w:r>
              <w:rPr>
                <w:b/>
                <w:bCs/>
                <w:color w:val="FFFFFF"/>
                <w:sz w:val="18"/>
                <w:szCs w:val="18"/>
              </w:rPr>
              <w:t>Estado</w:t>
            </w:r>
          </w:p>
        </w:tc>
      </w:tr>
      <w:tr w:rsidR="005053A5" w14:paraId="6BEB2506" w14:textId="77777777">
        <w:tblPrEx>
          <w:tblCellMar>
            <w:top w:w="0" w:type="dxa"/>
            <w:bottom w:w="0" w:type="dxa"/>
          </w:tblCellMar>
        </w:tblPrEx>
        <w:trPr>
          <w:cantSplit/>
        </w:trPr>
        <w:tc>
          <w:tcPr>
            <w:tcW w:w="1306" w:type="dxa"/>
          </w:tcPr>
          <w:p w14:paraId="7E483CA5" w14:textId="77777777" w:rsidR="005053A5" w:rsidRDefault="008E087B">
            <w:r>
              <w:rPr>
                <w:sz w:val="18"/>
                <w:szCs w:val="18"/>
              </w:rPr>
              <w:t>ERF8.1</w:t>
            </w:r>
          </w:p>
        </w:tc>
        <w:tc>
          <w:tcPr>
            <w:tcW w:w="6532" w:type="dxa"/>
          </w:tcPr>
          <w:p w14:paraId="344B8745" w14:textId="77777777" w:rsidR="005053A5" w:rsidRDefault="008E087B">
            <w:r>
              <w:rPr>
                <w:sz w:val="18"/>
                <w:szCs w:val="18"/>
              </w:rPr>
              <w:t>Endpoint de consulta de productos y stock</w:t>
            </w:r>
          </w:p>
        </w:tc>
        <w:tc>
          <w:tcPr>
            <w:tcW w:w="1162" w:type="dxa"/>
          </w:tcPr>
          <w:p w14:paraId="50912953" w14:textId="77777777" w:rsidR="005053A5" w:rsidRDefault="008E087B">
            <w:r>
              <w:rPr>
                <w:sz w:val="18"/>
                <w:szCs w:val="18"/>
              </w:rPr>
              <w:t>Definido</w:t>
            </w:r>
          </w:p>
        </w:tc>
      </w:tr>
      <w:tr w:rsidR="005053A5" w14:paraId="06B463E2" w14:textId="77777777">
        <w:tblPrEx>
          <w:tblCellMar>
            <w:top w:w="0" w:type="dxa"/>
            <w:bottom w:w="0" w:type="dxa"/>
          </w:tblCellMar>
        </w:tblPrEx>
        <w:trPr>
          <w:cantSplit/>
        </w:trPr>
        <w:tc>
          <w:tcPr>
            <w:tcW w:w="1306" w:type="dxa"/>
          </w:tcPr>
          <w:p w14:paraId="36F84926" w14:textId="77777777" w:rsidR="005053A5" w:rsidRDefault="008E087B">
            <w:r>
              <w:rPr>
                <w:sz w:val="18"/>
                <w:szCs w:val="18"/>
              </w:rPr>
              <w:t>ERF8.2</w:t>
            </w:r>
          </w:p>
        </w:tc>
        <w:tc>
          <w:tcPr>
            <w:tcW w:w="6532" w:type="dxa"/>
          </w:tcPr>
          <w:p w14:paraId="6E1AF4EB" w14:textId="77777777" w:rsidR="005053A5" w:rsidRDefault="008E087B">
            <w:r>
              <w:rPr>
                <w:sz w:val="18"/>
                <w:szCs w:val="18"/>
              </w:rPr>
              <w:t>Endpoint de consulta de precios</w:t>
            </w:r>
          </w:p>
        </w:tc>
        <w:tc>
          <w:tcPr>
            <w:tcW w:w="1162" w:type="dxa"/>
          </w:tcPr>
          <w:p w14:paraId="1B32CB77" w14:textId="77777777" w:rsidR="005053A5" w:rsidRDefault="008E087B">
            <w:r>
              <w:rPr>
                <w:sz w:val="18"/>
                <w:szCs w:val="18"/>
              </w:rPr>
              <w:t>Definido</w:t>
            </w:r>
          </w:p>
        </w:tc>
      </w:tr>
      <w:tr w:rsidR="005053A5" w14:paraId="27B8FF36" w14:textId="77777777">
        <w:tblPrEx>
          <w:tblCellMar>
            <w:top w:w="0" w:type="dxa"/>
            <w:bottom w:w="0" w:type="dxa"/>
          </w:tblCellMar>
        </w:tblPrEx>
        <w:trPr>
          <w:cantSplit/>
        </w:trPr>
        <w:tc>
          <w:tcPr>
            <w:tcW w:w="1306" w:type="dxa"/>
          </w:tcPr>
          <w:p w14:paraId="51688BCC" w14:textId="77777777" w:rsidR="005053A5" w:rsidRDefault="008E087B">
            <w:r>
              <w:rPr>
                <w:sz w:val="18"/>
                <w:szCs w:val="18"/>
              </w:rPr>
              <w:t>ERF8.3</w:t>
            </w:r>
          </w:p>
        </w:tc>
        <w:tc>
          <w:tcPr>
            <w:tcW w:w="6532" w:type="dxa"/>
          </w:tcPr>
          <w:p w14:paraId="32C801E1" w14:textId="77777777" w:rsidR="005053A5" w:rsidRDefault="008E087B">
            <w:r>
              <w:rPr>
                <w:sz w:val="18"/>
                <w:szCs w:val="18"/>
              </w:rPr>
              <w:t>Autenticación por token</w:t>
            </w:r>
          </w:p>
        </w:tc>
        <w:tc>
          <w:tcPr>
            <w:tcW w:w="1162" w:type="dxa"/>
          </w:tcPr>
          <w:p w14:paraId="3DFCD660" w14:textId="77777777" w:rsidR="005053A5" w:rsidRDefault="008E087B">
            <w:r>
              <w:rPr>
                <w:sz w:val="18"/>
                <w:szCs w:val="18"/>
              </w:rPr>
              <w:t>Definido</w:t>
            </w:r>
          </w:p>
        </w:tc>
      </w:tr>
      <w:tr w:rsidR="005053A5" w14:paraId="634DF91C" w14:textId="77777777">
        <w:tblPrEx>
          <w:tblCellMar>
            <w:top w:w="0" w:type="dxa"/>
            <w:bottom w:w="0" w:type="dxa"/>
          </w:tblCellMar>
        </w:tblPrEx>
        <w:trPr>
          <w:cantSplit/>
        </w:trPr>
        <w:tc>
          <w:tcPr>
            <w:tcW w:w="1306" w:type="dxa"/>
          </w:tcPr>
          <w:p w14:paraId="7F238864" w14:textId="77777777" w:rsidR="005053A5" w:rsidRDefault="008E087B">
            <w:r>
              <w:rPr>
                <w:sz w:val="18"/>
                <w:szCs w:val="18"/>
              </w:rPr>
              <w:t>ERF8.4</w:t>
            </w:r>
          </w:p>
        </w:tc>
        <w:tc>
          <w:tcPr>
            <w:tcW w:w="6532" w:type="dxa"/>
          </w:tcPr>
          <w:p w14:paraId="11345300" w14:textId="77777777" w:rsidR="005053A5" w:rsidRDefault="008E087B">
            <w:r>
              <w:rPr>
                <w:sz w:val="18"/>
                <w:szCs w:val="18"/>
              </w:rPr>
              <w:t>Documentación de la API bajo estándar OpenAPI</w:t>
            </w:r>
          </w:p>
        </w:tc>
        <w:tc>
          <w:tcPr>
            <w:tcW w:w="1162" w:type="dxa"/>
          </w:tcPr>
          <w:p w14:paraId="1F60E56B" w14:textId="77777777" w:rsidR="005053A5" w:rsidRDefault="008E087B">
            <w:r>
              <w:rPr>
                <w:sz w:val="18"/>
                <w:szCs w:val="18"/>
              </w:rPr>
              <w:t>Definido</w:t>
            </w:r>
          </w:p>
        </w:tc>
      </w:tr>
    </w:tbl>
    <w:p w14:paraId="415A8CB3" w14:textId="77777777" w:rsidR="005053A5" w:rsidRDefault="008E087B">
      <w:pPr>
        <w:spacing w:before="250" w:after="100"/>
      </w:pPr>
      <w:r>
        <w:rPr>
          <w:b/>
          <w:bCs/>
          <w:color w:val="06283D"/>
          <w:sz w:val="22"/>
          <w:szCs w:val="22"/>
        </w:rPr>
        <w:t>6. Consideraciones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680"/>
        <w:gridCol w:w="6620"/>
      </w:tblGrid>
      <w:tr w:rsidR="005053A5" w14:paraId="590314B6" w14:textId="77777777">
        <w:tblPrEx>
          <w:tblCellMar>
            <w:top w:w="0" w:type="dxa"/>
            <w:bottom w:w="0" w:type="dxa"/>
          </w:tblCellMar>
        </w:tblPrEx>
        <w:trPr>
          <w:cantSplit/>
          <w:tblHeader/>
        </w:trPr>
        <w:tc>
          <w:tcPr>
            <w:tcW w:w="700" w:type="dxa"/>
            <w:shd w:val="clear" w:color="auto" w:fill="06283D"/>
          </w:tcPr>
          <w:p w14:paraId="49D48D96" w14:textId="77777777" w:rsidR="005053A5" w:rsidRDefault="008E087B">
            <w:r>
              <w:rPr>
                <w:b/>
                <w:bCs/>
                <w:color w:val="FFFFFF"/>
                <w:sz w:val="18"/>
                <w:szCs w:val="18"/>
              </w:rPr>
              <w:t>RNF</w:t>
            </w:r>
          </w:p>
        </w:tc>
        <w:tc>
          <w:tcPr>
            <w:tcW w:w="1680" w:type="dxa"/>
            <w:shd w:val="clear" w:color="auto" w:fill="06283D"/>
          </w:tcPr>
          <w:p w14:paraId="7A48962B" w14:textId="77777777" w:rsidR="005053A5" w:rsidRDefault="008E087B">
            <w:r>
              <w:rPr>
                <w:b/>
                <w:bCs/>
                <w:color w:val="FFFFFF"/>
                <w:sz w:val="18"/>
                <w:szCs w:val="18"/>
              </w:rPr>
              <w:t>Categoría</w:t>
            </w:r>
          </w:p>
        </w:tc>
        <w:tc>
          <w:tcPr>
            <w:tcW w:w="6620" w:type="dxa"/>
            <w:shd w:val="clear" w:color="auto" w:fill="06283D"/>
          </w:tcPr>
          <w:p w14:paraId="4DB5F84A" w14:textId="77777777" w:rsidR="005053A5" w:rsidRDefault="008E087B">
            <w:r>
              <w:rPr>
                <w:b/>
                <w:bCs/>
                <w:color w:val="FFFFFF"/>
                <w:sz w:val="18"/>
                <w:szCs w:val="18"/>
              </w:rPr>
              <w:t>Consideración técnica</w:t>
            </w:r>
          </w:p>
        </w:tc>
      </w:tr>
      <w:tr w:rsidR="005053A5" w14:paraId="747777C6" w14:textId="77777777">
        <w:tblPrEx>
          <w:tblCellMar>
            <w:top w:w="0" w:type="dxa"/>
            <w:bottom w:w="0" w:type="dxa"/>
          </w:tblCellMar>
        </w:tblPrEx>
        <w:trPr>
          <w:cantSplit/>
        </w:trPr>
        <w:tc>
          <w:tcPr>
            <w:tcW w:w="700" w:type="dxa"/>
          </w:tcPr>
          <w:p w14:paraId="663E5E2F" w14:textId="77777777" w:rsidR="005053A5" w:rsidRDefault="008E087B">
            <w:r>
              <w:rPr>
                <w:sz w:val="18"/>
                <w:szCs w:val="18"/>
              </w:rPr>
              <w:t>RNF1</w:t>
            </w:r>
          </w:p>
        </w:tc>
        <w:tc>
          <w:tcPr>
            <w:tcW w:w="1680" w:type="dxa"/>
          </w:tcPr>
          <w:p w14:paraId="01B029A3" w14:textId="77777777" w:rsidR="005053A5" w:rsidRDefault="008E087B">
            <w:r>
              <w:rPr>
                <w:sz w:val="18"/>
                <w:szCs w:val="18"/>
              </w:rPr>
              <w:t>Usabilidad</w:t>
            </w:r>
          </w:p>
        </w:tc>
        <w:tc>
          <w:tcPr>
            <w:tcW w:w="6620" w:type="dxa"/>
          </w:tcPr>
          <w:p w14:paraId="5E3A0FA8" w14:textId="77777777" w:rsidR="005053A5" w:rsidRDefault="008E087B">
            <w:r>
              <w:rPr>
                <w:sz w:val="18"/>
                <w:szCs w:val="18"/>
              </w:rPr>
              <w:t>Interfaz sencilla para Bodeguero y Consultor.</w:t>
            </w:r>
          </w:p>
        </w:tc>
      </w:tr>
      <w:tr w:rsidR="005053A5" w14:paraId="047A9092" w14:textId="77777777">
        <w:tblPrEx>
          <w:tblCellMar>
            <w:top w:w="0" w:type="dxa"/>
            <w:bottom w:w="0" w:type="dxa"/>
          </w:tblCellMar>
        </w:tblPrEx>
        <w:trPr>
          <w:cantSplit/>
        </w:trPr>
        <w:tc>
          <w:tcPr>
            <w:tcW w:w="700" w:type="dxa"/>
          </w:tcPr>
          <w:p w14:paraId="263ACC4F" w14:textId="77777777" w:rsidR="005053A5" w:rsidRDefault="008E087B">
            <w:r>
              <w:rPr>
                <w:sz w:val="18"/>
                <w:szCs w:val="18"/>
              </w:rPr>
              <w:t>RNF2</w:t>
            </w:r>
          </w:p>
        </w:tc>
        <w:tc>
          <w:tcPr>
            <w:tcW w:w="1680" w:type="dxa"/>
          </w:tcPr>
          <w:p w14:paraId="38BCC366" w14:textId="77777777" w:rsidR="005053A5" w:rsidRDefault="008E087B">
            <w:r>
              <w:rPr>
                <w:sz w:val="18"/>
                <w:szCs w:val="18"/>
              </w:rPr>
              <w:t>Compatibilidad</w:t>
            </w:r>
          </w:p>
        </w:tc>
        <w:tc>
          <w:tcPr>
            <w:tcW w:w="6620" w:type="dxa"/>
          </w:tcPr>
          <w:p w14:paraId="3CA0EB95" w14:textId="77777777" w:rsidR="005053A5" w:rsidRDefault="008E087B">
            <w:r>
              <w:rPr>
                <w:sz w:val="18"/>
                <w:szCs w:val="18"/>
              </w:rPr>
              <w:t>Navegadores web modernos: Chrome, Firefox, Safari y Edge.</w:t>
            </w:r>
          </w:p>
        </w:tc>
      </w:tr>
      <w:tr w:rsidR="005053A5" w14:paraId="30446EC0" w14:textId="77777777">
        <w:tblPrEx>
          <w:tblCellMar>
            <w:top w:w="0" w:type="dxa"/>
            <w:bottom w:w="0" w:type="dxa"/>
          </w:tblCellMar>
        </w:tblPrEx>
        <w:trPr>
          <w:cantSplit/>
        </w:trPr>
        <w:tc>
          <w:tcPr>
            <w:tcW w:w="700" w:type="dxa"/>
          </w:tcPr>
          <w:p w14:paraId="6D08D18E" w14:textId="77777777" w:rsidR="005053A5" w:rsidRDefault="008E087B">
            <w:r>
              <w:rPr>
                <w:sz w:val="18"/>
                <w:szCs w:val="18"/>
              </w:rPr>
              <w:t>RNF3</w:t>
            </w:r>
          </w:p>
        </w:tc>
        <w:tc>
          <w:tcPr>
            <w:tcW w:w="1680" w:type="dxa"/>
          </w:tcPr>
          <w:p w14:paraId="065C2E59" w14:textId="77777777" w:rsidR="005053A5" w:rsidRDefault="008E087B">
            <w:r>
              <w:rPr>
                <w:sz w:val="18"/>
                <w:szCs w:val="18"/>
              </w:rPr>
              <w:t>Rendimiento</w:t>
            </w:r>
          </w:p>
        </w:tc>
        <w:tc>
          <w:tcPr>
            <w:tcW w:w="6620" w:type="dxa"/>
          </w:tcPr>
          <w:p w14:paraId="196AC641" w14:textId="77777777" w:rsidR="005053A5" w:rsidRDefault="008E087B">
            <w:r>
              <w:rPr>
                <w:sz w:val="18"/>
                <w:szCs w:val="18"/>
              </w:rPr>
              <w:t>Uso eficiente de índices y consultas en PostgreSQL.</w:t>
            </w:r>
          </w:p>
        </w:tc>
      </w:tr>
      <w:tr w:rsidR="005053A5" w14:paraId="0A180599" w14:textId="77777777">
        <w:tblPrEx>
          <w:tblCellMar>
            <w:top w:w="0" w:type="dxa"/>
            <w:bottom w:w="0" w:type="dxa"/>
          </w:tblCellMar>
        </w:tblPrEx>
        <w:trPr>
          <w:cantSplit/>
        </w:trPr>
        <w:tc>
          <w:tcPr>
            <w:tcW w:w="700" w:type="dxa"/>
          </w:tcPr>
          <w:p w14:paraId="4C598BFF" w14:textId="77777777" w:rsidR="005053A5" w:rsidRDefault="008E087B">
            <w:r>
              <w:rPr>
                <w:sz w:val="18"/>
                <w:szCs w:val="18"/>
              </w:rPr>
              <w:t>RNF4</w:t>
            </w:r>
          </w:p>
        </w:tc>
        <w:tc>
          <w:tcPr>
            <w:tcW w:w="1680" w:type="dxa"/>
          </w:tcPr>
          <w:p w14:paraId="225CA415" w14:textId="77777777" w:rsidR="005053A5" w:rsidRDefault="008E087B">
            <w:r>
              <w:rPr>
                <w:sz w:val="18"/>
                <w:szCs w:val="18"/>
              </w:rPr>
              <w:t>Confiabilidad</w:t>
            </w:r>
          </w:p>
        </w:tc>
        <w:tc>
          <w:tcPr>
            <w:tcW w:w="6620" w:type="dxa"/>
          </w:tcPr>
          <w:p w14:paraId="570F896D" w14:textId="77777777" w:rsidR="005053A5" w:rsidRDefault="008E087B">
            <w:r>
              <w:rPr>
                <w:sz w:val="18"/>
                <w:szCs w:val="18"/>
              </w:rPr>
              <w:t>Transacciones ACID y registro de ajustes/inconsistencias.</w:t>
            </w:r>
          </w:p>
        </w:tc>
      </w:tr>
      <w:tr w:rsidR="005053A5" w14:paraId="351C95A3" w14:textId="77777777">
        <w:tblPrEx>
          <w:tblCellMar>
            <w:top w:w="0" w:type="dxa"/>
            <w:bottom w:w="0" w:type="dxa"/>
          </w:tblCellMar>
        </w:tblPrEx>
        <w:trPr>
          <w:cantSplit/>
        </w:trPr>
        <w:tc>
          <w:tcPr>
            <w:tcW w:w="700" w:type="dxa"/>
          </w:tcPr>
          <w:p w14:paraId="569B80BE" w14:textId="77777777" w:rsidR="005053A5" w:rsidRDefault="008E087B">
            <w:r>
              <w:rPr>
                <w:sz w:val="18"/>
                <w:szCs w:val="18"/>
              </w:rPr>
              <w:t>RNF5</w:t>
            </w:r>
          </w:p>
        </w:tc>
        <w:tc>
          <w:tcPr>
            <w:tcW w:w="1680" w:type="dxa"/>
          </w:tcPr>
          <w:p w14:paraId="26A6E1C6" w14:textId="77777777" w:rsidR="005053A5" w:rsidRDefault="008E087B">
            <w:r>
              <w:rPr>
                <w:sz w:val="18"/>
                <w:szCs w:val="18"/>
              </w:rPr>
              <w:t>Seguridad</w:t>
            </w:r>
          </w:p>
        </w:tc>
        <w:tc>
          <w:tcPr>
            <w:tcW w:w="6620" w:type="dxa"/>
          </w:tcPr>
          <w:p w14:paraId="6B304038" w14:textId="77777777" w:rsidR="005053A5" w:rsidRDefault="008E087B">
            <w:r>
              <w:rPr>
                <w:sz w:val="18"/>
                <w:szCs w:val="18"/>
              </w:rPr>
              <w:t>Roles, token API y bitácora.</w:t>
            </w:r>
          </w:p>
        </w:tc>
      </w:tr>
      <w:tr w:rsidR="005053A5" w14:paraId="53638EA3" w14:textId="77777777">
        <w:tblPrEx>
          <w:tblCellMar>
            <w:top w:w="0" w:type="dxa"/>
            <w:bottom w:w="0" w:type="dxa"/>
          </w:tblCellMar>
        </w:tblPrEx>
        <w:trPr>
          <w:cantSplit/>
        </w:trPr>
        <w:tc>
          <w:tcPr>
            <w:tcW w:w="700" w:type="dxa"/>
          </w:tcPr>
          <w:p w14:paraId="24A55A45" w14:textId="77777777" w:rsidR="005053A5" w:rsidRDefault="008E087B">
            <w:r>
              <w:rPr>
                <w:sz w:val="18"/>
                <w:szCs w:val="18"/>
              </w:rPr>
              <w:t>RNF6</w:t>
            </w:r>
          </w:p>
        </w:tc>
        <w:tc>
          <w:tcPr>
            <w:tcW w:w="1680" w:type="dxa"/>
          </w:tcPr>
          <w:p w14:paraId="7684CA8D" w14:textId="77777777" w:rsidR="005053A5" w:rsidRDefault="008E087B">
            <w:r>
              <w:rPr>
                <w:sz w:val="18"/>
                <w:szCs w:val="18"/>
              </w:rPr>
              <w:t>Escalabilidad</w:t>
            </w:r>
          </w:p>
        </w:tc>
        <w:tc>
          <w:tcPr>
            <w:tcW w:w="6620" w:type="dxa"/>
          </w:tcPr>
          <w:p w14:paraId="5F5B79FB" w14:textId="77777777" w:rsidR="005053A5" w:rsidRDefault="008E087B">
            <w:r>
              <w:rPr>
                <w:sz w:val="18"/>
                <w:szCs w:val="18"/>
              </w:rPr>
              <w:t>Backend y BD independientes y escalables.</w:t>
            </w:r>
          </w:p>
        </w:tc>
      </w:tr>
      <w:tr w:rsidR="005053A5" w14:paraId="3EFA9639" w14:textId="77777777">
        <w:tblPrEx>
          <w:tblCellMar>
            <w:top w:w="0" w:type="dxa"/>
            <w:bottom w:w="0" w:type="dxa"/>
          </w:tblCellMar>
        </w:tblPrEx>
        <w:trPr>
          <w:cantSplit/>
        </w:trPr>
        <w:tc>
          <w:tcPr>
            <w:tcW w:w="700" w:type="dxa"/>
          </w:tcPr>
          <w:p w14:paraId="2D63F81B" w14:textId="77777777" w:rsidR="005053A5" w:rsidRDefault="008E087B">
            <w:r>
              <w:rPr>
                <w:sz w:val="18"/>
                <w:szCs w:val="18"/>
              </w:rPr>
              <w:t>RNF7</w:t>
            </w:r>
          </w:p>
        </w:tc>
        <w:tc>
          <w:tcPr>
            <w:tcW w:w="1680" w:type="dxa"/>
          </w:tcPr>
          <w:p w14:paraId="6F31E512" w14:textId="77777777" w:rsidR="005053A5" w:rsidRDefault="008E087B">
            <w:r>
              <w:rPr>
                <w:sz w:val="18"/>
                <w:szCs w:val="18"/>
              </w:rPr>
              <w:t>Mantenibilidad</w:t>
            </w:r>
          </w:p>
        </w:tc>
        <w:tc>
          <w:tcPr>
            <w:tcW w:w="6620" w:type="dxa"/>
          </w:tcPr>
          <w:p w14:paraId="682DC565" w14:textId="77777777" w:rsidR="005053A5" w:rsidRDefault="008E087B">
            <w:r>
              <w:rPr>
                <w:sz w:val="18"/>
                <w:szCs w:val="18"/>
              </w:rPr>
              <w:t>Arquitectura por capas y documentación técnica.</w:t>
            </w:r>
          </w:p>
        </w:tc>
      </w:tr>
    </w:tbl>
    <w:p w14:paraId="2E61DD14" w14:textId="77777777" w:rsidR="005053A5" w:rsidRDefault="008E087B">
      <w:pPr>
        <w:spacing w:before="250" w:after="100"/>
      </w:pPr>
      <w:r>
        <w:rPr>
          <w:b/>
          <w:bCs/>
          <w:color w:val="06283D"/>
          <w:sz w:val="22"/>
          <w:szCs w:val="22"/>
        </w:rPr>
        <w:t>7. Nota de versión</w:t>
      </w:r>
    </w:p>
    <w:p w14:paraId="7B6B0FF8" w14:textId="77777777" w:rsidR="005053A5" w:rsidRDefault="008E087B">
      <w:pPr>
        <w:spacing w:after="90"/>
      </w:pPr>
      <w:r>
        <w:t>Esta versión corrige la referencia previa al motor MySQL, estableciendo PostgreSQL como el motor de base de datos definitivo conforme al SRS. Asimismo, alinea la arquitectura y la API de integración con los módulos funcionales RF1–RF8 y los RNF1–RNF7 del documento normativo.</w:t>
      </w:r>
    </w:p>
    <w:sectPr w:rsidR="005053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E270E"/>
    <w:multiLevelType w:val="hybridMultilevel"/>
    <w:tmpl w:val="1D163612"/>
    <w:lvl w:ilvl="0" w:tplc="A0DED9DA">
      <w:start w:val="1"/>
      <w:numFmt w:val="bullet"/>
      <w:lvlText w:val="●"/>
      <w:lvlJc w:val="left"/>
      <w:pPr>
        <w:ind w:left="720" w:hanging="360"/>
      </w:pPr>
    </w:lvl>
    <w:lvl w:ilvl="1" w:tplc="0EAC601C">
      <w:start w:val="1"/>
      <w:numFmt w:val="bullet"/>
      <w:lvlText w:val="○"/>
      <w:lvlJc w:val="left"/>
      <w:pPr>
        <w:ind w:left="1440" w:hanging="360"/>
      </w:pPr>
    </w:lvl>
    <w:lvl w:ilvl="2" w:tplc="AAD670F4">
      <w:start w:val="1"/>
      <w:numFmt w:val="bullet"/>
      <w:lvlText w:val="■"/>
      <w:lvlJc w:val="left"/>
      <w:pPr>
        <w:ind w:left="2160" w:hanging="360"/>
      </w:pPr>
    </w:lvl>
    <w:lvl w:ilvl="3" w:tplc="B1269D72">
      <w:start w:val="1"/>
      <w:numFmt w:val="bullet"/>
      <w:lvlText w:val="●"/>
      <w:lvlJc w:val="left"/>
      <w:pPr>
        <w:ind w:left="2880" w:hanging="360"/>
      </w:pPr>
    </w:lvl>
    <w:lvl w:ilvl="4" w:tplc="A888D3A2">
      <w:start w:val="1"/>
      <w:numFmt w:val="bullet"/>
      <w:lvlText w:val="○"/>
      <w:lvlJc w:val="left"/>
      <w:pPr>
        <w:ind w:left="3600" w:hanging="360"/>
      </w:pPr>
    </w:lvl>
    <w:lvl w:ilvl="5" w:tplc="80E67518">
      <w:start w:val="1"/>
      <w:numFmt w:val="bullet"/>
      <w:lvlText w:val="■"/>
      <w:lvlJc w:val="left"/>
      <w:pPr>
        <w:ind w:left="4320" w:hanging="360"/>
      </w:pPr>
    </w:lvl>
    <w:lvl w:ilvl="6" w:tplc="86A26E5A">
      <w:start w:val="1"/>
      <w:numFmt w:val="bullet"/>
      <w:lvlText w:val="●"/>
      <w:lvlJc w:val="left"/>
      <w:pPr>
        <w:ind w:left="5040" w:hanging="360"/>
      </w:pPr>
    </w:lvl>
    <w:lvl w:ilvl="7" w:tplc="0024AD50">
      <w:start w:val="1"/>
      <w:numFmt w:val="bullet"/>
      <w:lvlText w:val="●"/>
      <w:lvlJc w:val="left"/>
      <w:pPr>
        <w:ind w:left="5760" w:hanging="360"/>
      </w:pPr>
    </w:lvl>
    <w:lvl w:ilvl="8" w:tplc="55389CC2">
      <w:start w:val="1"/>
      <w:numFmt w:val="bullet"/>
      <w:lvlText w:val="●"/>
      <w:lvlJc w:val="left"/>
      <w:pPr>
        <w:ind w:left="6480" w:hanging="360"/>
      </w:pPr>
    </w:lvl>
  </w:abstractNum>
  <w:num w:numId="1" w16cid:durableId="1969235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3A5"/>
    <w:rsid w:val="005053A5"/>
    <w:rsid w:val="008E087B"/>
    <w:rsid w:val="00C06030"/>
    <w:rsid w:val="00F204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A781"/>
  <w15:docId w15:val="{130CF62C-4F92-437D-A939-31C8C3226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465</Words>
  <Characters>2563</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2 - Informe Técnico ALMEXA (versión corregida)</dc:title>
  <dc:creator>Grupo ALMEXA - SENA CIES</dc:creator>
  <dc:description>Informe técnico del Taller 2 corregido, alineado al SRS (PostgreSQL)</dc:description>
  <cp:lastModifiedBy>KEVIN SANTIAGO VEGA PEREZ</cp:lastModifiedBy>
  <cp:revision>2</cp:revision>
  <dcterms:created xsi:type="dcterms:W3CDTF">2026-08-31T16:15:00Z</dcterms:created>
  <dcterms:modified xsi:type="dcterms:W3CDTF">2026-09-06T22:50:00Z</dcterms:modified>
</cp:coreProperties>
</file>