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6283D"/>
          <w:sz w:val="26"/>
          <w:szCs w:val="26"/>
        </w:rPr>
        <w:t xml:space="preserve">DOCUMENTACIÓN DEL DIAGRAMA DE DOMINIO</w:t>
      </w:r>
    </w:p>
    <w:p>
      <w:pPr>
        <w:spacing w:after="40"/>
        <w:jc w:val="center"/>
      </w:pPr>
      <w:r>
        <w:t xml:space="preserve">Sistema de Gestión de Inventario y Bodega ALMEXA</w:t>
      </w:r>
    </w:p>
    <w:p>
      <w:pPr>
        <w:spacing w:after="80"/>
        <w:jc w:val="center"/>
      </w:pPr>
      <w:r>
        <w:t xml:space="preserve">VERSIÓN CORREGIDA — ALINEADA CON EL SRS (Kevin SRS-Sistema de Inventario)</w:t>
      </w:r>
    </w:p>
    <w:p>
      <w:pPr>
        <w:spacing w:after="200"/>
        <w:jc w:val="center"/>
      </w:pPr>
      <w:r>
        <w:t xml:space="preserve">Programa ADSO - Ficha 3407799 - CIES, SENA | Julio de 2026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1. Introducción y alcance</w:t>
      </w:r>
    </w:p>
    <w:p>
      <w:pPr>
        <w:spacing w:after="90"/>
      </w:pPr>
      <w:r>
        <w:rPr>
          <w:sz w:val="20"/>
          <w:szCs w:val="20"/>
        </w:rPr>
        <w:t xml:space="preserve">El diagrama de dominio es un modelo conceptual que representa las principales entidades del negocio, sus atributos y sus relaciones. El modelo de ALMEXA se compone de 12 entidades (Usuario, Rol, BitacoraAcceso, Proveedor, Producto, MovimientoInventario, Ruta, EspacioAlmacenamiento, EquipoBodega, Reporte, SistemaExterno y TokenAPI), que en conjunto soportan los ocho módulos funcionales (RF1–RF8).</w:t>
      </w:r>
    </w:p>
    <w:p>
      <w:pPr>
        <w:spacing w:after="90"/>
      </w:pPr>
      <w:r>
        <w:rPr>
          <w:sz w:val="20"/>
          <w:szCs w:val="20"/>
        </w:rPr>
        <w:t xml:space="preserve">Esta versión corrige los atributos del dominio conforme al SRS (descripción y precio del producto; justificación del ajuste manual de inventario), alinea los actores de la descripción de Usuario y Reporte con los roles formales (Administrador, Bodeguero, Técnico, Consultor), y unifica la numeración de los requisitos del módulo de Inventario (ERF5.1–5.11).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2. Documentación de las clases del dominio</w:t>
      </w:r>
    </w:p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Usuario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a toda persona que interactúa con el sistema mediante una cuenta propia. Conforme al SRS, los roles de acceso humano son Administrador, Bodeguero, Técnico y Consultor.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Tiene un Rol · Genera BitacoraAcceso · Registra MovimientoInventario · Genera Reporte.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usuario debe tener asignado exactamente un rol.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usuario desactivado no puede iniciar sesión ni realizar operaciones.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ERF1.1 – ERF1.6, ERF2.2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3"/>
        <w:gridCol w:w="935"/>
        <w:gridCol w:w="6662"/>
      </w:tblGrid>
      <w:tr>
        <w:trPr>
          <w:cantSplit/>
          <w:tblHeader/>
        </w:trPr>
        <w:tc>
          <w:tcPr>
            <w:shd w:fill="06283D" w:val="clear"/>
            <w:tcW w:type="dxa" w:w="140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93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66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usuario.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completo del usuario.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Correo usado para autenticación y notificaciones.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Credencial de acceso almacenada cifrada (seguridad RNF5).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si la cuenta está activa o desactivada.</w:t>
            </w:r>
          </w:p>
        </w:tc>
      </w:tr>
      <w:tr>
        <w:trPr>
          <w:cantSplit/>
        </w:trPr>
        <w:tc>
          <w:tcPr>
            <w:tcW w:type="dxa" w:w="14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ultimoAcceso</w:t>
            </w:r>
          </w:p>
        </w:tc>
        <w:tc>
          <w:tcPr>
            <w:tcW w:type="dxa" w:w="93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66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del último inicio de sesión.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Rol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Define el conjunto de permisos que determina el nivel de acceso de un usuario a los módulos del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 asignado a uno o varios Usuario.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Los roles deben definirse antes de poder asignarse a un usuario.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mismo rol puede asignarse a múltiples usuarios.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ERF2.1, ERF2.2, ERF2.3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3"/>
        <w:gridCol w:w="700"/>
        <w:gridCol w:w="7047"/>
      </w:tblGrid>
      <w:tr>
        <w:trPr>
          <w:cantSplit/>
          <w:tblHeader/>
        </w:trPr>
        <w:tc>
          <w:tcPr>
            <w:shd w:fill="06283D" w:val="clear"/>
            <w:tcW w:type="dxa" w:w="125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70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704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5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70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rol.</w:t>
            </w:r>
          </w:p>
        </w:tc>
      </w:tr>
      <w:tr>
        <w:trPr>
          <w:cantSplit/>
        </w:trPr>
        <w:tc>
          <w:tcPr>
            <w:tcW w:type="dxa" w:w="125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0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del rol (Administrador, Bodeguero, Técnico, Consultor).</w:t>
            </w:r>
          </w:p>
        </w:tc>
      </w:tr>
      <w:tr>
        <w:trPr>
          <w:cantSplit/>
        </w:trPr>
        <w:tc>
          <w:tcPr>
            <w:tcW w:type="dxa" w:w="125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0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 de las funciones y alcance del rol.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BitacoraAcceso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Registra cada intento de acceso al sistema o a un módulo, exitoso o fallido, con fines de trazabilidad y auditoría.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 generada por un Usuario.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Todo intento de acceso, exitoso o fallido, genera un registro.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Los registros de la bitácora no pueden modificarse ni eliminarse.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ERF2.3, ERF2.4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"/>
        <w:gridCol w:w="947"/>
        <w:gridCol w:w="6987"/>
      </w:tblGrid>
      <w:tr>
        <w:trPr>
          <w:cantSplit/>
          <w:tblHeader/>
        </w:trPr>
        <w:tc>
          <w:tcPr>
            <w:shd w:fill="06283D" w:val="clear"/>
            <w:tcW w:type="dxa" w:w="1066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94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98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6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9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9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registro.</w:t>
            </w:r>
          </w:p>
        </w:tc>
      </w:tr>
      <w:tr>
        <w:trPr>
          <w:cantSplit/>
        </w:trPr>
        <w:tc>
          <w:tcPr>
            <w:tcW w:type="dxa" w:w="106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9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9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Momento exacto del evento.</w:t>
            </w:r>
          </w:p>
        </w:tc>
      </w:tr>
      <w:tr>
        <w:trPr>
          <w:cantSplit/>
        </w:trPr>
        <w:tc>
          <w:tcPr>
            <w:tcW w:type="dxa" w:w="106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accion</w:t>
            </w:r>
          </w:p>
        </w:tc>
        <w:tc>
          <w:tcPr>
            <w:tcW w:type="dxa" w:w="9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9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Acción realizada (inicio de sesión, acceso a módulo, etc.).</w:t>
            </w:r>
          </w:p>
        </w:tc>
      </w:tr>
      <w:tr>
        <w:trPr>
          <w:cantSplit/>
        </w:trPr>
        <w:tc>
          <w:tcPr>
            <w:tcW w:type="dxa" w:w="106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dxa" w:w="9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9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Resultado del intento: concedido o denegado.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Proveedor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a las empresas o personas externas que suministran los productos gestionados por el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Suministra uno o varios Producto · Origina una o varias Ruta.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No se permite el registro de proveedores con datos duplicados (NIT único).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proveedor inactivo no puede asociarse a nuevos productos.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ERF3.1 – ERF3.5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5"/>
        <w:gridCol w:w="984"/>
        <w:gridCol w:w="6891"/>
      </w:tblGrid>
      <w:tr>
        <w:trPr>
          <w:cantSplit/>
          <w:tblHeader/>
        </w:trPr>
        <w:tc>
          <w:tcPr>
            <w:shd w:fill="06283D" w:val="clear"/>
            <w:tcW w:type="dxa" w:w="112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984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891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98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89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proveedor.</w:t>
            </w:r>
          </w:p>
        </w:tc>
      </w:tr>
      <w:tr>
        <w:trPr>
          <w:cantSplit/>
        </w:trP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98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9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Razón social o nombre comercial.</w:t>
            </w:r>
          </w:p>
        </w:tc>
      </w:tr>
      <w:tr>
        <w:trPr>
          <w:cantSplit/>
        </w:trP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</w:t>
            </w:r>
          </w:p>
        </w:tc>
        <w:tc>
          <w:tcPr>
            <w:tcW w:type="dxa" w:w="98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9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 de contacto.</w:t>
            </w:r>
          </w:p>
        </w:tc>
      </w:tr>
      <w:tr>
        <w:trPr>
          <w:cantSplit/>
        </w:trP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telefono</w:t>
            </w:r>
          </w:p>
        </w:tc>
        <w:tc>
          <w:tcPr>
            <w:tcW w:type="dxa" w:w="98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9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de contacto.</w:t>
            </w:r>
          </w:p>
        </w:tc>
      </w:tr>
      <w:tr>
        <w:trPr>
          <w:cantSplit/>
        </w:trP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98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689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si el proveedor está activo o desactivado.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Producto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cada ítem gestionado en el inventario (materia prima, herramientas, insumos). Incluye descripción y precio para un manejo completo de la información conforme al SRS.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 suministrado por un Proveedor · Tiene uno o varios MovimientoInventario · Se transporta en una o varias Ruta · Se ubica en un EspacioAlmacenamiento.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código o número de serie del producto debe ser único.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stock se actualiza automáticamente tras cada movimiento (ERF5.10).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ajuste manual de stock (ERF5.9) requiere justificación.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ERF5.1 – ERF5.11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5"/>
        <w:gridCol w:w="733"/>
        <w:gridCol w:w="6802"/>
      </w:tblGrid>
      <w:tr>
        <w:trPr>
          <w:cantSplit/>
          <w:tblHeader/>
        </w:trPr>
        <w:tc>
          <w:tcPr>
            <w:shd w:fill="06283D" w:val="clear"/>
            <w:tcW w:type="dxa" w:w="146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73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80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producto.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o número de serie único.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descriptivo del producto.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Descripción detallada del producto.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Categoría a la que pertenece.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del producto (requerido para reportes de stock y valores).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stockActual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disponible en inventario.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stockMinimo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Umbral de alerta de reabastecimiento.</w:t>
            </w:r>
          </w:p>
        </w:tc>
      </w:tr>
      <w:tr>
        <w:trPr>
          <w:cantSplit/>
        </w:trPr>
        <w:tc>
          <w:tcPr>
            <w:tcW w:type="dxa" w:w="146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fechaCaducidad</w:t>
            </w:r>
          </w:p>
        </w:tc>
        <w:tc>
          <w:tcPr>
            <w:tcW w:type="dxa" w:w="73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80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vencimiento, cuando aplica.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MovimientoInventario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cada entrada o salida de un producto del inventario, con fecha, hora y usuario responsable, e incluye la justificación del ajuste manual.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Pertenece a un Producto · Es registrado por un Usuario.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Toda salida debe validarse contra el stock disponible.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Cada movimiento queda registrado con fecha y hora exactas.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Todo ajuste manual (ERF5.9) debe registrar una justificación y el usuario responsable.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ERF5.3, ERF5.4, ERF5.5, ERF5.9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847"/>
        <w:gridCol w:w="6777"/>
      </w:tblGrid>
      <w:tr>
        <w:trPr>
          <w:cantSplit/>
          <w:tblHeader/>
        </w:trPr>
        <w:tc>
          <w:tcPr>
            <w:shd w:fill="06283D" w:val="clear"/>
            <w:tcW w:type="dxa" w:w="1376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84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77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movimiento.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 entrada, salida o ajuste.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de unidades del movimiento.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fechaHora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exacta del movimiento.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justificacion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Motivo del movimiento, obligatorio en el ajuste manual (ERF5.9).</w:t>
            </w:r>
          </w:p>
        </w:tc>
      </w:tr>
      <w:tr>
        <w:trPr>
          <w:cantSplit/>
        </w:trPr>
        <w:tc>
          <w:tcPr>
            <w:tcW w:type="dxa" w:w="137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usuarioId</w:t>
            </w:r>
          </w:p>
        </w:tc>
        <w:tc>
          <w:tcPr>
            <w:tcW w:type="dxa" w:w="84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77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 responsable del movimiento.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Ruta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el trayecto de transporte utilizado para el envío o recepción de productos.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 originada por un Proveedor · Transporta uno o varios Producto.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estado 'retrasada' se determina automáticamente al superar la fecha estimada sin recepción.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Una ruta no puede eliminarse si ya tiene productos recibidos asociados.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ERF4.1 – ERF4.6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3"/>
        <w:gridCol w:w="740"/>
        <w:gridCol w:w="6657"/>
      </w:tblGrid>
      <w:tr>
        <w:trPr>
          <w:cantSplit/>
          <w:tblHeader/>
        </w:trPr>
        <w:tc>
          <w:tcPr>
            <w:shd w:fill="06283D" w:val="clear"/>
            <w:tcW w:type="dxa" w:w="160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74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65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6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65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 la ruta.</w:t>
            </w:r>
          </w:p>
        </w:tc>
      </w:tr>
      <w:tr>
        <w:trPr>
          <w:cantSplit/>
        </w:trPr>
        <w:tc>
          <w:tcPr>
            <w:tcW w:type="dxa" w:w="16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5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Punto de partida.</w:t>
            </w:r>
          </w:p>
        </w:tc>
      </w:tr>
      <w:tr>
        <w:trPr>
          <w:cantSplit/>
        </w:trPr>
        <w:tc>
          <w:tcPr>
            <w:tcW w:type="dxa" w:w="16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destino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5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Punto de llegada.</w:t>
            </w:r>
          </w:p>
        </w:tc>
      </w:tr>
      <w:tr>
        <w:trPr>
          <w:cantSplit/>
        </w:trPr>
        <w:tc>
          <w:tcPr>
            <w:tcW w:type="dxa" w:w="16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fechaEstimada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65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estimada de llegada.</w:t>
            </w:r>
          </w:p>
        </w:tc>
      </w:tr>
      <w:tr>
        <w:trPr>
          <w:cantSplit/>
        </w:trPr>
        <w:tc>
          <w:tcPr>
            <w:tcW w:type="dxa" w:w="160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65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Estado: en tránsito, retrasada, entregada o cancelada.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EspacioAlmacenamiento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las ubicaciones físicas dentro de la bodega donde se almacenan los productos.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Almacena uno o varios Producto · Contiene uno o varios EquipoBodega.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No se puede asignar a un espacio más productos de los que su capacidad permite.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espacio desactivado no puede recibir nuevas asignaciones.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Ocupación superior al 90% se marca como crítica.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ERF6.1, ERF6.2, ERF6.4, ERF6.6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1"/>
        <w:gridCol w:w="887"/>
        <w:gridCol w:w="6972"/>
      </w:tblGrid>
      <w:tr>
        <w:trPr>
          <w:cantSplit/>
          <w:tblHeader/>
        </w:trPr>
        <w:tc>
          <w:tcPr>
            <w:shd w:fill="06283D" w:val="clear"/>
            <w:tcW w:type="dxa" w:w="1141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88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97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14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8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9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espacio.</w:t>
            </w:r>
          </w:p>
        </w:tc>
      </w:tr>
      <w:tr>
        <w:trPr>
          <w:cantSplit/>
        </w:trPr>
        <w:tc>
          <w:tcPr>
            <w:tcW w:type="dxa" w:w="114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8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9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 estantería, rack, gabinete, zona de piso, muelle.</w:t>
            </w:r>
          </w:p>
        </w:tc>
      </w:tr>
      <w:tr>
        <w:trPr>
          <w:cantSplit/>
        </w:trPr>
        <w:tc>
          <w:tcPr>
            <w:tcW w:type="dxa" w:w="114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</w:t>
            </w:r>
          </w:p>
        </w:tc>
        <w:tc>
          <w:tcPr>
            <w:tcW w:type="dxa" w:w="8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9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 máxima de almacenamiento.</w:t>
            </w:r>
          </w:p>
        </w:tc>
      </w:tr>
      <w:tr>
        <w:trPr>
          <w:cantSplit/>
        </w:trPr>
        <w:tc>
          <w:tcPr>
            <w:tcW w:type="dxa" w:w="114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ocupacion</w:t>
            </w:r>
          </w:p>
        </w:tc>
        <w:tc>
          <w:tcPr>
            <w:tcW w:type="dxa" w:w="8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9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Porcentaje de ocupación actual.</w:t>
            </w:r>
          </w:p>
        </w:tc>
      </w:tr>
      <w:tr>
        <w:trPr>
          <w:cantSplit/>
        </w:trPr>
        <w:tc>
          <w:tcPr>
            <w:tcW w:type="dxa" w:w="114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88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69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si está activo o desactivado.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EquipoBodega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el equipamiento físico de bodega: montacargas, básculas, escáneres, transpaletas, etc.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Está contenido en un EspacioAlmacenamiento.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equipo eliminado no puede seguir asociado a un espacio activo.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Cada equipo debe tener un estado operativo actualizado.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ERF6.3, ERF6.5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9"/>
        <w:gridCol w:w="771"/>
        <w:gridCol w:w="7200"/>
      </w:tblGrid>
      <w:tr>
        <w:trPr>
          <w:cantSplit/>
          <w:tblHeader/>
        </w:trPr>
        <w:tc>
          <w:tcPr>
            <w:shd w:fill="06283D" w:val="clear"/>
            <w:tcW w:type="dxa" w:w="102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771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720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2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equipo.</w:t>
            </w:r>
          </w:p>
        </w:tc>
      </w:tr>
      <w:tr>
        <w:trPr>
          <w:cantSplit/>
        </w:trPr>
        <w:tc>
          <w:tcPr>
            <w:tcW w:type="dxa" w:w="102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7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o descripción del equipo.</w:t>
            </w:r>
          </w:p>
        </w:tc>
      </w:tr>
      <w:tr>
        <w:trPr>
          <w:cantSplit/>
        </w:trPr>
        <w:tc>
          <w:tcPr>
            <w:tcW w:type="dxa" w:w="102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7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Estado: operativo, en mantenimiento o fuera de servicio.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Reporte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cada informe generado por el sistema a partir de la información registrada. Conforme al SRS, la generación y exportación puede realizarla el Administrador y el Consultor (según permiso), y el formato de exportación es PDF o Excel.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Es generado por un Usuario.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Los reportes se exportan en formato PDF y Excel (ERF7.10).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Los reportes de inconsistencias/ajustes (ERF7.5) solo los genera el Administrador.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acceso del Consultor se limita a la generación y consulta según su permiso.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ERF7.1 – ERF7.11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7"/>
        <w:gridCol w:w="889"/>
        <w:gridCol w:w="6444"/>
      </w:tblGrid>
      <w:tr>
        <w:trPr>
          <w:cantSplit/>
          <w:tblHeader/>
        </w:trPr>
        <w:tc>
          <w:tcPr>
            <w:shd w:fill="06283D" w:val="clear"/>
            <w:tcW w:type="dxa" w:w="1667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88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444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66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88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44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reporte.</w:t>
            </w:r>
          </w:p>
        </w:tc>
      </w:tr>
      <w:tr>
        <w:trPr>
          <w:cantSplit/>
        </w:trPr>
        <w:tc>
          <w:tcPr>
            <w:tcW w:type="dxa" w:w="166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88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44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reporte (movimientos, entradas, stock bajo, etc.).</w:t>
            </w:r>
          </w:p>
        </w:tc>
      </w:tr>
      <w:tr>
        <w:trPr>
          <w:cantSplit/>
        </w:trPr>
        <w:tc>
          <w:tcPr>
            <w:tcW w:type="dxa" w:w="166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fechaGeneracion</w:t>
            </w:r>
          </w:p>
        </w:tc>
        <w:tc>
          <w:tcPr>
            <w:tcW w:type="dxa" w:w="88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44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de generación.</w:t>
            </w:r>
          </w:p>
        </w:tc>
      </w:tr>
      <w:tr>
        <w:trPr>
          <w:cantSplit/>
        </w:trPr>
        <w:tc>
          <w:tcPr>
            <w:tcW w:type="dxa" w:w="1667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formato</w:t>
            </w:r>
          </w:p>
        </w:tc>
        <w:tc>
          <w:tcPr>
            <w:tcW w:type="dxa" w:w="88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44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Formato de exportación: PDF o Excel.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SistemaExterno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cualquier sistema o aplicación externa que consume la API del sistema (RF8).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Posee uno o varios TokenAPI.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sistema externo debe contar con al menos un token vigente.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sistema externo inactivo no puede autenticar nuevas solicitudes.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ERF8.1, ERF8.2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1"/>
        <w:gridCol w:w="1016"/>
        <w:gridCol w:w="6823"/>
      </w:tblGrid>
      <w:tr>
        <w:trPr>
          <w:cantSplit/>
          <w:tblHeader/>
        </w:trPr>
        <w:tc>
          <w:tcPr>
            <w:shd w:fill="06283D" w:val="clear"/>
            <w:tcW w:type="dxa" w:w="1161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1016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682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16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01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82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sistema externo.</w:t>
            </w:r>
          </w:p>
        </w:tc>
      </w:tr>
      <w:tr>
        <w:trPr>
          <w:cantSplit/>
        </w:trPr>
        <w:tc>
          <w:tcPr>
            <w:tcW w:type="dxa" w:w="116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101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82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del sistema o aplicación externa.</w:t>
            </w:r>
          </w:p>
        </w:tc>
      </w:tr>
      <w:tr>
        <w:trPr>
          <w:cantSplit/>
        </w:trPr>
        <w:tc>
          <w:tcPr>
            <w:tcW w:type="dxa" w:w="1161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1016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682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si está habilitado para consumir la API.</w:t>
            </w:r>
          </w:p>
        </w:tc>
      </w:tr>
    </w:tbl>
    <w:p>
      <w:pPr>
        <w:spacing w:after="60" w:before="120"/>
      </w:pPr>
      <w:r>
        <w:rPr>
          <w:b/>
          <w:bCs/>
          <w:color w:val="06283D"/>
          <w:sz w:val="19"/>
          <w:szCs w:val="19"/>
        </w:rPr>
        <w:t xml:space="preserve">TokenAPI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Tipo: </w:t>
      </w:r>
      <w:r>
        <w:rPr>
          <w:sz w:val="20"/>
          <w:szCs w:val="20"/>
        </w:rPr>
        <w:t xml:space="preserve">Entidad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Descripción: </w:t>
      </w:r>
      <w:r>
        <w:rPr>
          <w:sz w:val="20"/>
          <w:szCs w:val="20"/>
        </w:rPr>
        <w:t xml:space="preserve">Representa la credencial de autenticación usada por un sistema externo para consumir la API.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Relaciones Asociadas: </w:t>
      </w:r>
      <w:r>
        <w:rPr>
          <w:sz w:val="20"/>
          <w:szCs w:val="20"/>
        </w:rPr>
        <w:t xml:space="preserve">Pertenece a un SistemaExterno.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Toda solicitud a la API debe incluir un token vigente (ERF8.3).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Un token puede revocarse o regenerarse en cualquier momento.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Relacionados: </w:t>
      </w:r>
      <w:r>
        <w:rPr>
          <w:sz w:val="20"/>
          <w:szCs w:val="20"/>
        </w:rPr>
        <w:t xml:space="preserve">ERF8.3, ERF8.4</w:t>
      </w:r>
    </w:p>
    <w:p>
      <w:pPr>
        <w:spacing w:after="20" w:before="40"/>
      </w:pPr>
      <w:r>
        <w:rPr>
          <w:b/>
          <w:bCs/>
          <w:sz w:val="20"/>
          <w:szCs w:val="20"/>
        </w:rPr>
        <w:t xml:space="preserve">Atributos: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3"/>
        <w:gridCol w:w="1143"/>
        <w:gridCol w:w="5714"/>
      </w:tblGrid>
      <w:tr>
        <w:trPr>
          <w:cantSplit/>
          <w:tblHeader/>
        </w:trPr>
        <w:tc>
          <w:tcPr>
            <w:shd w:fill="06283D" w:val="clear"/>
            <w:tcW w:type="dxa" w:w="214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shd w:fill="06283D" w:val="clear"/>
            <w:tcW w:type="dxa" w:w="114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06283D" w:val="clear"/>
            <w:tcW w:type="dxa" w:w="5714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71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token.</w:t>
            </w:r>
          </w:p>
        </w:tc>
      </w:tr>
      <w:tr>
        <w:trPr>
          <w:cantSplit/>
        </w:trPr>
        <w:tc>
          <w:tcPr>
            <w:tcW w:type="dxa" w:w="2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</w:t>
            </w:r>
          </w:p>
        </w:tc>
        <w:tc>
          <w:tcPr>
            <w:tcW w:type="dxa" w:w="1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1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de la credencial de autenticación.</w:t>
            </w:r>
          </w:p>
        </w:tc>
      </w:tr>
      <w:tr>
        <w:trPr>
          <w:cantSplit/>
        </w:trPr>
        <w:tc>
          <w:tcPr>
            <w:tcW w:type="dxa" w:w="2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fechaCreacion</w:t>
            </w:r>
          </w:p>
        </w:tc>
        <w:tc>
          <w:tcPr>
            <w:tcW w:type="dxa" w:w="1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71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y hora de generación.</w:t>
            </w:r>
          </w:p>
        </w:tc>
      </w:tr>
      <w:tr>
        <w:trPr>
          <w:cantSplit/>
        </w:trPr>
        <w:tc>
          <w:tcPr>
            <w:tcW w:type="dxa" w:w="2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fechaExpiracion</w:t>
            </w:r>
          </w:p>
        </w:tc>
        <w:tc>
          <w:tcPr>
            <w:tcW w:type="dxa" w:w="1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71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vencimiento del token.</w:t>
            </w:r>
          </w:p>
        </w:tc>
      </w:tr>
      <w:tr>
        <w:trPr>
          <w:cantSplit/>
        </w:trPr>
        <w:tc>
          <w:tcPr>
            <w:tcW w:type="dxa" w:w="2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11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714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 si está vigente o revocado.</w:t>
            </w:r>
          </w:p>
        </w:tc>
      </w:tr>
    </w:tbl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3. Matriz de relaciones del dominio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3"/>
        <w:gridCol w:w="700"/>
        <w:gridCol w:w="1443"/>
        <w:gridCol w:w="700"/>
        <w:gridCol w:w="1099"/>
        <w:gridCol w:w="3615"/>
      </w:tblGrid>
      <w:tr>
        <w:trPr>
          <w:cantSplit/>
          <w:tblHeader/>
        </w:trPr>
        <w:tc>
          <w:tcPr>
            <w:shd w:fill="06283D" w:val="clear"/>
            <w:tcW w:type="dxa" w:w="144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Clase Origen</w:t>
            </w:r>
          </w:p>
        </w:tc>
        <w:tc>
          <w:tcPr>
            <w:shd w:fill="06283D" w:val="clear"/>
            <w:tcW w:type="dxa" w:w="70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Mult.</w:t>
            </w:r>
          </w:p>
        </w:tc>
        <w:tc>
          <w:tcPr>
            <w:shd w:fill="06283D" w:val="clear"/>
            <w:tcW w:type="dxa" w:w="1443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Clase Destino</w:t>
            </w:r>
          </w:p>
        </w:tc>
        <w:tc>
          <w:tcPr>
            <w:shd w:fill="06283D" w:val="clear"/>
            <w:tcW w:type="dxa" w:w="70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Mult.</w:t>
            </w:r>
          </w:p>
        </w:tc>
        <w:tc>
          <w:tcPr>
            <w:shd w:fill="06283D" w:val="clear"/>
            <w:tcW w:type="dxa" w:w="109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shd w:fill="06283D" w:val="clear"/>
            <w:tcW w:type="dxa" w:w="3615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tiene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usuario tiene exactamente un rol.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BitacoraAcceso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usuario genera múltiples registros en la bitácora.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MovimientoInventario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usuario registra múltiples movimientos.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usuario (Administrador/Consultor) genera múltiples reportes.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suministra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proveedor suministra múltiples productos.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Proveedor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Ruta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proveedor origina múltiples rutas.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MovimientoInventario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tiene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producto tiene múltiples movimientos.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Ruta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transporta en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Relación muchos a muchos producto-ruta.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EspacioAlmacenamiento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ubica en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producto se ubica en un espacio a la vez.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EspacioAlmacenamiento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EquipoBodega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contiene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espacio contiene varios equipos.</w:t>
            </w:r>
          </w:p>
        </w:tc>
      </w:tr>
      <w:tr>
        <w:trPr>
          <w:cantSplit/>
        </w:trPr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SistemaExterno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43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TokenAPI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</w:t>
            </w:r>
          </w:p>
        </w:tc>
        <w:tc>
          <w:tcPr>
            <w:tcW w:type="dxa" w:w="1099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posee</w:t>
            </w:r>
          </w:p>
        </w:tc>
        <w:tc>
          <w:tcPr>
            <w:tcW w:type="dxa" w:w="361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sistema externo posee varios tokens.</w:t>
            </w:r>
          </w:p>
        </w:tc>
      </w:tr>
    </w:tbl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4. Correcciones aplicadas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Producto: se incorporan los atributos descripción y precio, y se unifica la numeración ERF5.1–5.11 (incluido el ajuste manual ERF5.9 y el panel ERF5.11).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MovimientoInventario: se agrega el atributo justificacion para soportar el ajuste manual de inventario (ERF5.9).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Reporte: se aclara que la generación/exportación puede estar a cargo del Administrador o del Consultor, según el permiso del SRS.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Usuario: la descripción se alinea a los roles formales (Administrador, Bodeguero, Técnico, Consultor), eliminando los cargos improcedentes (Encargado de Compras/Logística/Bodega).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TokenAPI: se agrega la fecha de expiración del token conforme al manejo de token del SRS (ERF8.3).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5. Conclusiones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El diagrama de dominio consolida en 12 entidades la información del negocio y se correlaciona con los módulos funcionales RF1–RF8 del SRS.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La clase Producto es el elemento central, relacionándose directa o indirectamente con seis de las demás clases.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La separación Usuario/SistemaExterno distingue el acceso humano por sesión y rol (RF1/RF2) del acceso de aplicaciones por token (RF8).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Diagrama de Dominio ALMEXA (versión corregida)</dc:title>
  <dc:creator>Grupo ALMEXA - SENA CIES</dc:creator>
  <dc:description>Versión corregida del diagrama de dominio, alineada al SRS</dc:description>
  <cp:lastModifiedBy>Un-named</cp:lastModifiedBy>
  <cp:revision>1</cp:revision>
  <dcterms:created xsi:type="dcterms:W3CDTF">2026-08-31T16:14:25.372Z</dcterms:created>
  <dcterms:modified xsi:type="dcterms:W3CDTF">2026-08-31T16:14:25.377Z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