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color w:val="06283D"/>
          <w:sz w:val="30"/>
          <w:szCs w:val="30"/>
        </w:rPr>
        <w:t xml:space="preserve">SISTEMA DE INVENTARIO Y BODEGA ALMEXA</w:t>
      </w:r>
    </w:p>
    <w:p>
      <w:pPr>
        <w:jc w:val="center"/>
      </w:pPr>
      <w:r>
        <w:rPr>
          <w:b/>
          <w:bCs/>
          <w:color w:val="06283D"/>
          <w:sz w:val="24"/>
          <w:szCs w:val="24"/>
        </w:rPr>
        <w:t xml:space="preserve">DOCUMENTACIÓN DE LICENCIAMIENTO</w:t>
      </w:r>
    </w:p>
    <w:p>
      <w:pPr>
        <w:spacing w:after="120"/>
        <w:jc w:val="center"/>
      </w:pPr>
      <w:r>
        <w:t xml:space="preserve">Licencia provisional: Software Libre — Apache License 2.0</w:t>
      </w:r>
    </w:p>
    <w:p>
      <w:pPr>
        <w:spacing w:after="200"/>
        <w:jc w:val="center"/>
      </w:pPr>
      <w:r>
        <w:t xml:space="preserve">Centro: CIES - SENA  |  Programa: Análisis y Desarrollo de Software (ADSO)  |  Ficha: 3407799</w:t>
      </w:r>
    </w:p>
    <w:p>
      <w:pPr>
        <w:spacing w:before="250" w:after="100"/>
      </w:pPr>
      <w:r>
        <w:rPr>
          <w:b/>
          <w:bCs/>
          <w:color w:val="06283D"/>
          <w:sz w:val="22"/>
          <w:szCs w:val="22"/>
        </w:rPr>
        <w:t xml:space="preserve">1. Declaración de derechos de autor (Copyright)</w:t>
      </w:r>
    </w:p>
    <w:p>
      <w:pPr>
        <w:spacing w:after="120"/>
      </w:pPr>
      <w:r>
        <w:rPr>
          <w:sz w:val="20"/>
          <w:szCs w:val="20"/>
        </w:rPr>
        <w:t xml:space="preserve">El sistema ALMEXA (Sistema de Inventario y Bodega) es un proyecto académico desarrollado en el marco del programa Análisis y Desarrollo de Software del SENA, Centro CIES, Ficha 3407799.</w:t>
      </w:r>
    </w:p>
    <w:p>
      <w:pPr>
        <w:spacing w:after="120"/>
      </w:pPr>
      <w:r>
        <w:rPr>
          <w:sz w:val="20"/>
          <w:szCs w:val="20"/>
        </w:rPr>
        <w:t xml:space="preserve">Los derechos de autor del código, documentación y artefactos asociados corresponden a los autores del proyecto y al Servicio Nacional de Aprendizaje (SENA), en concordancia con la normativa interna del SENA aplicable a los aprendices y sus proyectos de formación (restricción legal declarada en la sección 2.3 del SRS).</w:t>
      </w:r>
    </w:p>
    <w:p>
      <w:pPr>
        <w:spacing w:after="120"/>
      </w:pPr>
      <w:r>
        <w:rPr>
          <w:sz w:val="20"/>
          <w:szCs w:val="20"/>
        </w:rPr>
        <w:t xml:space="preserve">El licenciamiento adoptado es de carácter PROVISIONAL para la fase formativa y académica del proyecto.</w:t>
      </w:r>
    </w:p>
    <w:p>
      <w:pPr>
        <w:spacing w:before="250" w:after="100"/>
      </w:pPr>
      <w:r>
        <w:rPr>
          <w:b/>
          <w:bCs/>
          <w:color w:val="06283D"/>
          <w:sz w:val="22"/>
          <w:szCs w:val="22"/>
        </w:rPr>
        <w:t xml:space="preserve">2. Licencia seleccionada</w:t>
      </w:r>
    </w:p>
    <w:p>
      <w:pPr>
        <w:spacing w:after="120"/>
      </w:pPr>
      <w:r>
        <w:rPr>
          <w:sz w:val="20"/>
          <w:szCs w:val="20"/>
        </w:rPr>
        <w:t xml:space="preserve">La licencia provisional seleccionada es la Apache License, Versión 2.0 (enero de 2004), publicada por la Apache Software Foundation. El texto íntegro se entrega en el archivo 'LICENCIA_Apache-2.0.txt'.</w:t>
      </w:r>
    </w:p>
    <w:p>
      <w:pPr>
        <w:spacing w:before="250" w:after="100"/>
      </w:pPr>
      <w:r>
        <w:rPr>
          <w:b/>
          <w:bCs/>
          <w:color w:val="06283D"/>
          <w:sz w:val="22"/>
          <w:szCs w:val="22"/>
        </w:rPr>
        <w:t xml:space="preserve">3. Motivos de la selección de Apache 2.0</w:t>
      </w:r>
    </w:p>
    <w:p>
      <w:pPr>
        <w:pStyle w:val="ListParagraph"/>
        <w:numPr>
          <w:ilvl w:val="0"/>
          <w:numId w:val="1"/>
        </w:numPr>
        <w:spacing w:after="120"/>
      </w:pPr>
      <w:r>
        <w:rPr>
          <w:sz w:val="20"/>
          <w:szCs w:val="20"/>
        </w:rPr>
        <w:t xml:space="preserve">Es una licencia de software libre permisiva que permite usar, copiar, modificar y distribuir el software, incluso de forma comercial, siempre que se conserven el aviso de copyright y la licencia.</w:t>
      </w:r>
    </w:p>
    <w:p>
      <w:pPr>
        <w:pStyle w:val="ListParagraph"/>
        <w:numPr>
          <w:ilvl w:val="0"/>
          <w:numId w:val="1"/>
        </w:numPr>
        <w:spacing w:after="120"/>
      </w:pPr>
      <w:r>
        <w:rPr>
          <w:sz w:val="20"/>
          <w:szCs w:val="20"/>
        </w:rPr>
        <w:t xml:space="preserve">Incluye una concesión explícita de licencia de patentes y una cláusula de terminación ante litigio de patentes, protegiendo tanto a contribuyentes como a usuarios.</w:t>
      </w:r>
    </w:p>
    <w:p>
      <w:pPr>
        <w:pStyle w:val="ListParagraph"/>
        <w:numPr>
          <w:ilvl w:val="0"/>
          <w:numId w:val="1"/>
        </w:numPr>
        <w:spacing w:after="120"/>
      </w:pPr>
      <w:r>
        <w:rPr>
          <w:sz w:val="20"/>
          <w:szCs w:val="20"/>
        </w:rPr>
        <w:t xml:space="preserve">Es compatible con la mayoría de las licencias libres y adecuada para un proyecto académico que busca difusión del conocimiento y posible integración con sistemas externos (RF8 del SRS).</w:t>
      </w:r>
    </w:p>
    <w:p>
      <w:pPr>
        <w:pStyle w:val="ListParagraph"/>
        <w:numPr>
          <w:ilvl w:val="0"/>
          <w:numId w:val="1"/>
        </w:numPr>
        <w:spacing w:after="120"/>
      </w:pPr>
      <w:r>
        <w:rPr>
          <w:sz w:val="20"/>
          <w:szCs w:val="20"/>
        </w:rPr>
        <w:t xml:space="preserve">Su carácter permisivo facilita que la institución y terceros puedan adoptar, reutilizar o extender el sistema sin restricciones copyleft obligatorias.</w:t>
      </w:r>
    </w:p>
    <w:p>
      <w:pPr>
        <w:spacing w:before="250" w:after="100"/>
      </w:pPr>
      <w:r>
        <w:rPr>
          <w:b/>
          <w:bCs/>
          <w:color w:val="06283D"/>
          <w:sz w:val="22"/>
          <w:szCs w:val="22"/>
        </w:rPr>
        <w:t xml:space="preserve">4. Compatibilidad y alcance</w:t>
      </w:r>
    </w:p>
    <w:p>
      <w:pPr>
        <w:spacing w:after="120"/>
      </w:pPr>
      <w:r>
        <w:rPr>
          <w:sz w:val="20"/>
          <w:szCs w:val="20"/>
        </w:rPr>
        <w:t xml:space="preserve">Al ser una licencia permisiva, permite que el software se integre con componentes bajo otras licencias de código abierto y con software propietario, sin imponer que las versiones derivadas deban compartir el código fuente.</w:t>
      </w:r>
    </w:p>
    <w:p>
      <w:pPr>
        <w:spacing w:after="120"/>
      </w:pPr>
      <w:r>
        <w:rPr>
          <w:sz w:val="20"/>
          <w:szCs w:val="20"/>
        </w:rPr>
        <w:t xml:space="preserve">El alcance del licenciamiento cubre el código fuente, la documentación y los artefactos del proyecto ALMEXA. No modifica las obligaciones de protección de datos personales derivadas de la Ley 1581 de 2012 y el Decreto 1377 de 2013, declaradas en el SRS.</w:t>
      </w:r>
    </w:p>
    <w:p>
      <w:pPr>
        <w:spacing w:before="250" w:after="100"/>
      </w:pPr>
      <w:r>
        <w:rPr>
          <w:b/>
          <w:bCs/>
          <w:color w:val="06283D"/>
          <w:sz w:val="22"/>
          <w:szCs w:val="22"/>
        </w:rPr>
        <w:t xml:space="preserve">5. Carácter provisional</w:t>
      </w:r>
    </w:p>
    <w:p>
      <w:pPr>
        <w:spacing w:after="120"/>
      </w:pPr>
      <w:r>
        <w:rPr>
          <w:sz w:val="20"/>
          <w:szCs w:val="20"/>
        </w:rPr>
        <w:t xml:space="preserve">El presente licenciamiento es PROVISIONAL y corresponde a la fase de desarrollo formativo. La decisión definitiva de licenciamiento y distribución final queda sujeta a la aprobación del SENA y de los integrantes del proyecto conforme a la normativa institucional.</w:t>
      </w:r>
    </w:p>
    <w:p>
      <w:pPr>
        <w:spacing w:before="250" w:after="100"/>
      </w:pPr>
      <w:r>
        <w:rPr>
          <w:b/>
          <w:bCs/>
          <w:color w:val="06283D"/>
          <w:sz w:val="22"/>
          <w:szCs w:val="22"/>
        </w:rPr>
        <w:t xml:space="preserve">6. Aviso de licencia (NOTICE / cabecera de código)</w:t>
      </w:r>
    </w:p>
    <w:p>
      <w:pPr>
        <w:spacing w:after="120"/>
      </w:pPr>
      <w:r>
        <w:rPr>
          <w:sz w:val="20"/>
          <w:szCs w:val="20"/>
        </w:rPr>
        <w:t xml:space="preserve">Se recomienda incluir en la cabecera de cada archivo de código fuente de ALMEXA el siguiente aviso:</w:t>
      </w:r>
    </w:p>
    <w:p>
      <w:pPr>
        <w:shd w:fill="F0F2F5" w:val="clear"/>
        <w:spacing w:after="180"/>
      </w:pPr>
      <w:r>
        <w:rPr>
          <w:sz w:val="18"/>
          <w:szCs w:val="18"/>
          <w:rFonts w:ascii="Consolas" w:cs="Consolas" w:eastAsia="Consolas" w:hAnsi="Consolas"/>
        </w:rPr>
        <w:t xml:space="preserve">
ALMEXA — Sistema de Inventario y Bodega
Copyright (c) 2026 Grupo ALMEXA / SENA CIES
Licensed under the Apache License, Version 2.0 (the "License");
you may not use this file except in compliance with the License.
You may obtain a copy of the License at
    http://www.apache.org/licenses/LICENSE-2.0
Unless required by applicable law or agreed to in writing, software
distributed under the License is distributed on an "AS IS" BASIS,
WITHOUT WARRANTIES OR CONDITIONS OF ANY KIND, either express or implied.
</w:t>
      </w:r>
    </w:p>
    <w:p>
      <w:pPr>
        <w:spacing w:before="250" w:after="100"/>
      </w:pPr>
      <w:r>
        <w:rPr>
          <w:b/>
          <w:bCs/>
          <w:color w:val="06283D"/>
          <w:sz w:val="22"/>
          <w:szCs w:val="22"/>
        </w:rPr>
        <w:t xml:space="preserve">7. Entrega de archivos de licencia</w:t>
      </w:r>
    </w:p>
    <w:p>
      <w:pPr>
        <w:spacing w:after="120"/>
      </w:pPr>
      <w:r>
        <w:rPr>
          <w:sz w:val="20"/>
          <w:szCs w:val="20"/>
        </w:rPr>
        <w:t xml:space="preserve">La presente carpeta 'nuevas versiones' incluye:</w:t>
      </w:r>
    </w:p>
    <w:p>
      <w:pPr>
        <w:pStyle w:val="ListParagraph"/>
        <w:numPr>
          <w:ilvl w:val="0"/>
          <w:numId w:val="1"/>
        </w:numPr>
        <w:spacing w:after="120"/>
      </w:pPr>
      <w:r>
        <w:rPr>
          <w:sz w:val="20"/>
          <w:szCs w:val="20"/>
        </w:rPr>
        <w:t xml:space="preserve">LICENCIA_Apache-2.0.txt — texto íntegro y estándar de la Apache License 2.0.</w:t>
      </w:r>
    </w:p>
    <w:p>
      <w:pPr>
        <w:pStyle w:val="ListParagraph"/>
        <w:numPr>
          <w:ilvl w:val="0"/>
          <w:numId w:val="1"/>
        </w:numPr>
        <w:spacing w:after="120"/>
      </w:pPr>
      <w:r>
        <w:rPr>
          <w:sz w:val="20"/>
          <w:szCs w:val="20"/>
        </w:rPr>
        <w:t xml:space="preserve">Documentacion_de_Licenciamiento_ALMEXA.docx — presente documento explicativo.</w:t>
      </w:r>
    </w:p>
    <w:p>
      <w:pPr>
        <w:spacing w:before="250" w:after="100"/>
      </w:pPr>
      <w:r>
        <w:rPr>
          <w:b/>
          <w:bCs/>
          <w:color w:val="06283D"/>
          <w:sz w:val="22"/>
          <w:szCs w:val="22"/>
        </w:rPr>
        <w:t xml:space="preserve">8. Correlación con el SRS</w:t>
      </w:r>
    </w:p>
    <w:p>
      <w:pPr>
        <w:spacing w:after="120"/>
      </w:pPr>
      <w:r>
        <w:rPr>
          <w:sz w:val="20"/>
          <w:szCs w:val="20"/>
        </w:rPr>
        <w:t xml:space="preserve">Este documento se relaciona con el SRS en los siguientes puntos: la restricción legal de la sección 2.3 (normativa interna del SENA y Ley 1581 de 2012) y el requisito no funcional de documentación técnica y mantenibilidad (RNF7). La adopción de una licencia de software libre aporta al objetivo de escalabilidad e integración del sistema (RNF6) y a su difusión como proyecto académico.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4"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Documentación de Licenciamiento ALMEXA</dc:title>
  <dc:creator>Grupo ALMEXA - SENA CIES</dc:creator>
  <dc:description>Documentación del licenciamiento provisional de software libre (Apache 2.0) del Sistema ALMEXA</dc:description>
  <cp:lastModifiedBy>Un-named</cp:lastModifiedBy>
  <cp:revision>1</cp:revision>
  <dcterms:created xsi:type="dcterms:W3CDTF">2026-09-01T11:52:18.026Z</dcterms:created>
  <dcterms:modified xsi:type="dcterms:W3CDTF">2026-09-01T11:52:18.031Z</dcterms:modified>
</cp:coreProperties>
</file>

<file path=docProps/custom.xml><?xml version="1.0" encoding="utf-8"?>
<Properties xmlns="http://schemas.openxmlformats.org/officeDocument/2006/custom-properties" xmlns:vt="http://schemas.openxmlformats.org/officeDocument/2006/docPropsVTypes"/>
</file>