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6283D"/>
          <w:sz w:val="28"/>
          <w:szCs w:val="28"/>
        </w:rPr>
        <w:t xml:space="preserve">TIPOS DE LICENCIAS DE SOFTWARE</w:t>
      </w:r>
    </w:p>
    <w:p>
      <w:pPr>
        <w:spacing w:after="40"/>
        <w:jc w:val="center"/>
      </w:pPr>
      <w:r>
        <w:t xml:space="preserve">Sistema de Gestión de Inventario y Bodega ALMEXA</w:t>
      </w:r>
    </w:p>
    <w:p>
      <w:pPr>
        <w:spacing w:after="80"/>
        <w:jc w:val="center"/>
      </w:pPr>
      <w:r>
        <w:t xml:space="preserve">Material de apoyo sobre licenciamiento de software</w:t>
      </w:r>
    </w:p>
    <w:p>
      <w:pPr>
        <w:spacing w:after="40"/>
        <w:jc w:val="center"/>
      </w:pPr>
      <w:r>
        <w:t xml:space="preserve">Programa ADSO - Ficha 3407799 - CIES, SENA</w:t>
      </w:r>
    </w:p>
    <w:p>
      <w:pPr>
        <w:spacing w:after="200"/>
        <w:jc w:val="center"/>
      </w:pPr>
      <w:r>
        <w:t xml:space="preserve">Grupo 1: Juan José Narváez González · Beimar Alejandro Rocha Suarez · Kevin Santiago Vega Perez</w:t>
      </w:r>
    </w:p>
    <w:p>
      <w:pPr>
        <w:spacing w:before="250" w:after="100"/>
      </w:pPr>
      <w:r>
        <w:rPr>
          <w:b/>
          <w:bCs/>
          <w:color w:val="06283D"/>
          <w:sz w:val="22"/>
          <w:szCs w:val="22"/>
        </w:rPr>
        <w:t xml:space="preserve">1. ¿Qué es una licencia de software?</w:t>
      </w:r>
    </w:p>
    <w:p>
      <w:pPr>
        <w:spacing w:after="100"/>
      </w:pPr>
      <w:r>
        <w:rPr>
          <w:sz w:val="20"/>
          <w:szCs w:val="20"/>
        </w:rPr>
        <w:t xml:space="preserve">Una licencia de software es un contrato o autorización legal mediante la cual el titular de los derechos de autor (el autor o propietario) otorga a terceros ciertos permisos para usar, copiar, modificar y/o distribuir el software, bajo condiciones específicas. Define lo que se puede y no se puede hacer con el programa, y por eso es la base del modelo de distribución de cualquier aplicación.</w:t>
      </w:r>
    </w:p>
    <w:p>
      <w:pPr>
        <w:spacing w:before="250" w:after="100"/>
      </w:pPr>
      <w:r>
        <w:rPr>
          <w:b/>
          <w:bCs/>
          <w:color w:val="06283D"/>
          <w:sz w:val="22"/>
          <w:szCs w:val="22"/>
        </w:rPr>
        <w:t xml:space="preserve">2. Clasificación general</w:t>
      </w:r>
    </w:p>
    <w:p>
      <w:pPr>
        <w:pStyle w:val="ListParagraph"/>
        <w:numPr>
          <w:ilvl w:val="0"/>
          <w:numId w:val="1"/>
        </w:numPr>
        <w:spacing w:after="100"/>
      </w:pPr>
      <w:r>
        <w:rPr>
          <w:sz w:val="20"/>
          <w:szCs w:val="20"/>
        </w:rPr>
        <w:t xml:space="preserve">Las licencias se clasifican, en líneas generales, en dos grandes grupos, con matices intermedios:</w:t>
      </w:r>
    </w:p>
    <w:p>
      <w:pPr>
        <w:pStyle w:val="ListParagraph"/>
        <w:numPr>
          <w:ilvl w:val="0"/>
          <w:numId w:val="1"/>
        </w:numPr>
        <w:spacing w:after="100"/>
      </w:pPr>
      <w:r>
        <w:rPr>
          <w:sz w:val="20"/>
          <w:szCs w:val="20"/>
        </w:rPr>
        <w:t xml:space="preserve">Licencias de software libre y de código abierto: otorgan permiso para usar, estudiar, modificar y distribuir el software, con o sin restricciones sobre las versiones derivadas.</w:t>
      </w:r>
    </w:p>
    <w:p>
      <w:pPr>
        <w:pStyle w:val="ListParagraph"/>
        <w:numPr>
          <w:ilvl w:val="0"/>
          <w:numId w:val="1"/>
        </w:numPr>
        <w:spacing w:after="100"/>
      </w:pPr>
      <w:r>
        <w:rPr>
          <w:sz w:val="20"/>
          <w:szCs w:val="20"/>
        </w:rPr>
        <w:t xml:space="preserve">Licencias propietarias (o de software de código cerrado): restringen el uso, la modificación y la redistribución; el usuario solo obtiene derechos de uso limitados.</w:t>
      </w:r>
    </w:p>
    <w:p>
      <w:pPr>
        <w:spacing w:after="100"/>
      </w:pPr>
      <w:r>
        <w:rPr>
          <w:sz w:val="20"/>
          <w:szCs w:val="20"/>
        </w:rPr>
        <w:t xml:space="preserve">A continuación se explican los tipos y licencias más representativos.</w:t>
      </w:r>
    </w:p>
    <w:p>
      <w:pPr>
        <w:spacing w:before="250" w:after="100"/>
      </w:pPr>
      <w:r>
        <w:rPr>
          <w:b/>
          <w:bCs/>
          <w:color w:val="06283D"/>
          <w:sz w:val="22"/>
          <w:szCs w:val="22"/>
        </w:rPr>
        <w:t xml:space="preserve">3. Licencias permisivas (de código abierto)</w:t>
      </w:r>
    </w:p>
    <w:p>
      <w:pPr>
        <w:spacing w:after="100"/>
      </w:pPr>
      <w:r>
        <w:rPr>
          <w:sz w:val="20"/>
          <w:szCs w:val="20"/>
        </w:rPr>
        <w:t xml:space="preserve">Permiten usar, modificar y redistribuir el software, incluso en proyectos de código cerrado y con fines comerciales, con la única condición de conservar el aviso de copyright y la licencia. No obligan a compartir el propio código fuente de las versiones modificadas.</w:t>
      </w:r>
    </w:p>
    <w:p>
      <w:pPr>
        <w:spacing w:before="150" w:after="80"/>
      </w:pPr>
      <w:r>
        <w:rPr>
          <w:b/>
          <w:bCs/>
          <w:color w:val="06283D"/>
          <w:sz w:val="20"/>
          <w:szCs w:val="20"/>
        </w:rPr>
        <w:t xml:space="preserve">3.1 MIT License</w:t>
      </w:r>
    </w:p>
    <w:p>
      <w:pPr>
        <w:spacing w:after="100"/>
      </w:pPr>
      <w:r>
        <w:rPr>
          <w:sz w:val="20"/>
          <w:szCs w:val="20"/>
        </w:rPr>
        <w:t xml:space="preserve">Es una de las licencias libres más simples y permisivas. Solo exige que se conserve el aviso de copyright y la licencia en las copias. Permite uso comercial, modificación, distribución y sublicenciamiento sin el requisito de publicar el código derivado.</w:t>
      </w:r>
    </w:p>
    <w:p>
      <w:pPr>
        <w:spacing w:before="150" w:after="80"/>
      </w:pPr>
      <w:r>
        <w:rPr>
          <w:b/>
          <w:bCs/>
          <w:color w:val="06283D"/>
          <w:sz w:val="20"/>
          <w:szCs w:val="20"/>
        </w:rPr>
        <w:t xml:space="preserve">3.2 Apache License 2.0</w:t>
      </w:r>
    </w:p>
    <w:p>
      <w:pPr>
        <w:spacing w:after="100"/>
      </w:pPr>
      <w:r>
        <w:rPr>
          <w:sz w:val="20"/>
          <w:szCs w:val="20"/>
        </w:rPr>
        <w:t xml:space="preserve">Es la licencia usada de forma provisional en ALMEXA. Similar a MIT en su carácter permisivo, pero añade una concesión explícita de derechos de patente y una cláusula de terminación ante litigios de patentes. Compatible con casi todos los ecosistemas de código abierto.</w:t>
      </w:r>
    </w:p>
    <w:p>
      <w:pPr>
        <w:spacing w:before="150" w:after="80"/>
      </w:pPr>
      <w:r>
        <w:rPr>
          <w:b/>
          <w:bCs/>
          <w:color w:val="06283D"/>
          <w:sz w:val="20"/>
          <w:szCs w:val="20"/>
        </w:rPr>
        <w:t xml:space="preserve">3.3 BSD License (2, 3 y 4 cláusulas)</w:t>
      </w:r>
    </w:p>
    <w:p>
      <w:pPr>
        <w:spacing w:after="100"/>
      </w:pPr>
      <w:r>
        <w:rPr>
          <w:sz w:val="20"/>
          <w:szCs w:val="20"/>
        </w:rPr>
        <w:t xml:space="preserve">Permite usar y redistribuir el software con mínimas condiciones. Se distinguen variantes: BSD de 2 cláusulas (muy similar a MIT), BSD de 3 cláusulas (añade la prohibición de usar el nombre de los autores para promocionar productos derivados) y BSD de 4 cláusulas (incluye una cláusula de publicidad, hoy poco usada).</w:t>
      </w:r>
    </w:p>
    <w:p>
      <w:pPr>
        <w:spacing w:before="150" w:after="80"/>
      </w:pPr>
      <w:r>
        <w:rPr>
          <w:b/>
          <w:bCs/>
          <w:color w:val="06283D"/>
          <w:sz w:val="20"/>
          <w:szCs w:val="20"/>
        </w:rPr>
        <w:t xml:space="preserve">3.4 ISC License</w:t>
      </w:r>
    </w:p>
    <w:p>
      <w:pPr>
        <w:spacing w:after="100"/>
      </w:pPr>
      <w:r>
        <w:rPr>
          <w:sz w:val="20"/>
          <w:szCs w:val="20"/>
        </w:rPr>
        <w:t xml:space="preserve">Es casi idéntica a la MIT en permisividad, con un texto aún más corto. Se usa ampliamente en el ecosistema de OpenBSD y en muchos paquetes de JavaScript (Node.js).</w:t>
      </w:r>
    </w:p>
    <w:p>
      <w:pPr>
        <w:spacing w:before="250" w:after="100"/>
      </w:pPr>
      <w:r>
        <w:rPr>
          <w:b/>
          <w:bCs/>
          <w:color w:val="06283D"/>
          <w:sz w:val="22"/>
          <w:szCs w:val="22"/>
        </w:rPr>
        <w:t xml:space="preserve">4. Licencias con copyleft (débil y fuerte)</w:t>
      </w:r>
    </w:p>
    <w:p>
      <w:pPr>
        <w:spacing w:after="100"/>
      </w:pPr>
      <w:r>
        <w:rPr>
          <w:sz w:val="20"/>
          <w:szCs w:val="20"/>
        </w:rPr>
        <w:t xml:space="preserve">Imponen la obligación de compartir el código fuente de las versiones modificadas o derivadas bajo la misma licencia, garantizando que el software y sus mejoras permanezcan libres. La diferencia entre copyleft débil y fuerte está en el alcance de esa obligación.</w:t>
      </w:r>
    </w:p>
    <w:p>
      <w:pPr>
        <w:spacing w:before="150" w:after="80"/>
      </w:pPr>
      <w:r>
        <w:rPr>
          <w:b/>
          <w:bCs/>
          <w:color w:val="06283D"/>
          <w:sz w:val="20"/>
          <w:szCs w:val="20"/>
        </w:rPr>
        <w:t xml:space="preserve">4.1 GNU GPL (General Public License)</w:t>
      </w:r>
    </w:p>
    <w:p>
      <w:pPr>
        <w:spacing w:after="100"/>
      </w:pPr>
      <w:r>
        <w:rPr>
          <w:sz w:val="20"/>
          <w:szCs w:val="20"/>
        </w:rPr>
        <w:t xml:space="preserve">Es la licencia de copyleft fuerte más conocida. Cualquier obra derivada debe distribuirse bajo la misma GPL y con su código fuente. Esto impide incorporar código GPL en programas de código cerrado. Existe la GPLv2 y la GPLv3, esta última con cláusulas adicionales sobre patentes y gestión de derechos digitales.</w:t>
      </w:r>
    </w:p>
    <w:p>
      <w:pPr>
        <w:spacing w:before="150" w:after="80"/>
      </w:pPr>
      <w:r>
        <w:rPr>
          <w:b/>
          <w:bCs/>
          <w:color w:val="06283D"/>
          <w:sz w:val="20"/>
          <w:szCs w:val="20"/>
        </w:rPr>
        <w:t xml:space="preserve">4.2 GNU LGPL (Lesser General Public License)</w:t>
      </w:r>
    </w:p>
    <w:p>
      <w:pPr>
        <w:spacing w:after="100"/>
      </w:pPr>
      <w:r>
        <w:rPr>
          <w:sz w:val="20"/>
          <w:szCs w:val="20"/>
        </w:rPr>
        <w:t xml:space="preserve">Es una GPL 'reducida' para bibliotecas y componentes. Permite que una biblioteca bajo LGPL se enlace a programas de código cerrado sin obligar a que este programa se publique; no obstante, las modificaciones a la propia biblioteca deben compartirse bajo LGPL. Es un copyleft débil.</w:t>
      </w:r>
    </w:p>
    <w:p>
      <w:pPr>
        <w:spacing w:before="150" w:after="80"/>
      </w:pPr>
      <w:r>
        <w:rPr>
          <w:b/>
          <w:bCs/>
          <w:color w:val="06283D"/>
          <w:sz w:val="20"/>
          <w:szCs w:val="20"/>
        </w:rPr>
        <w:t xml:space="preserve">4.3 Mozilla Public License (MPL 2.0)</w:t>
      </w:r>
    </w:p>
    <w:p>
      <w:pPr>
        <w:spacing w:after="100"/>
      </w:pPr>
      <w:r>
        <w:rPr>
          <w:sz w:val="20"/>
          <w:szCs w:val="20"/>
        </w:rPr>
        <w:t xml:space="preserve">Es una licencia de copyleft débil y basada en archivos. La obligación de compartir el código se limita a los archivos modificados, y permite combinar el software con código de otras licencias dentro del mismo programa. Es la usada por el navegador Firefox.</w:t>
      </w:r>
    </w:p>
    <w:p>
      <w:pPr>
        <w:spacing w:before="150" w:after="80"/>
      </w:pPr>
      <w:r>
        <w:rPr>
          <w:b/>
          <w:bCs/>
          <w:color w:val="06283D"/>
          <w:sz w:val="20"/>
          <w:szCs w:val="20"/>
        </w:rPr>
        <w:t xml:space="preserve">4.4 European Union Public Licence (EUPL)</w:t>
      </w:r>
    </w:p>
    <w:p>
      <w:pPr>
        <w:spacing w:after="100"/>
      </w:pPr>
      <w:r>
        <w:rPr>
          <w:sz w:val="20"/>
          <w:szCs w:val="20"/>
        </w:rPr>
        <w:t xml:space="preserve">Es una licencia de copyleft aprobada por la Comisión Europea y compatible con la GPL mediante cláusula de interoperabilidad. Es frecuente en proyectos financiados por la Unión Europea y en el sector público europeo.</w:t>
      </w:r>
    </w:p>
    <w:p>
      <w:pPr>
        <w:spacing w:before="250" w:after="100"/>
      </w:pPr>
      <w:r>
        <w:rPr>
          <w:b/>
          <w:bCs/>
          <w:color w:val="06283D"/>
          <w:sz w:val="22"/>
          <w:szCs w:val="22"/>
        </w:rPr>
        <w:t xml:space="preserve">5. Licencias propietarias (de código cerrado)</w:t>
      </w:r>
    </w:p>
    <w:p>
      <w:pPr>
        <w:spacing w:after="100"/>
      </w:pPr>
      <w:r>
        <w:rPr>
          <w:sz w:val="20"/>
          <w:szCs w:val="20"/>
        </w:rPr>
        <w:t xml:space="preserve">Son las licencias tradicionales del software comercial. El titular conserva todos los derechos y el usuario obtiene solo un derecho de uso, normalmente: restricción para copiar, modificar, distribuir o ingeniería inversa; licencia por usuario, por equipo o por suscripción; y ausencia de acceso al código fuente. Ejemplos: Windows, Microsoft Office, Adobe, videojuegos comerciales.</w:t>
      </w:r>
    </w:p>
    <w:p>
      <w:pPr>
        <w:spacing w:before="150" w:after="80"/>
      </w:pPr>
      <w:r>
        <w:rPr>
          <w:b/>
          <w:bCs/>
          <w:color w:val="06283D"/>
          <w:sz w:val="20"/>
          <w:szCs w:val="20"/>
        </w:rPr>
        <w:t xml:space="preserve">5.1 Licencias comerciales / de 'shrink-wrap'</w:t>
      </w:r>
    </w:p>
    <w:p>
      <w:pPr>
        <w:spacing w:after="100"/>
      </w:pPr>
      <w:r>
        <w:rPr>
          <w:sz w:val="20"/>
          <w:szCs w:val="20"/>
        </w:rPr>
        <w:t xml:space="preserve">Se adquieren junto con el producto y se aceptan al instalarlo. Imponen condiciones de uso único, prohibición de redistribución y, en muchos casos, limitación de responsabilidad.</w:t>
      </w:r>
    </w:p>
    <w:p>
      <w:pPr>
        <w:spacing w:before="150" w:after="80"/>
      </w:pPr>
      <w:r>
        <w:rPr>
          <w:b/>
          <w:bCs/>
          <w:color w:val="06283D"/>
          <w:sz w:val="20"/>
          <w:szCs w:val="20"/>
        </w:rPr>
        <w:t xml:space="preserve">5.2 Licencias freeware</w:t>
      </w:r>
    </w:p>
    <w:p>
      <w:pPr>
        <w:spacing w:after="100"/>
      </w:pPr>
      <w:r>
        <w:rPr>
          <w:sz w:val="20"/>
          <w:szCs w:val="20"/>
        </w:rPr>
        <w:t xml:space="preserve">El software se distribuye gratuitamente, pero el código fuente no es público y no se permite su modificación ni redistribución sin permiso. Es 'gratis' pero no es software libre. Ejemplos: Adobe Acrobat Reader, Skype.</w:t>
      </w:r>
    </w:p>
    <w:p>
      <w:pPr>
        <w:spacing w:before="150" w:after="80"/>
      </w:pPr>
      <w:r>
        <w:rPr>
          <w:b/>
          <w:bCs/>
          <w:color w:val="06283D"/>
          <w:sz w:val="20"/>
          <w:szCs w:val="20"/>
        </w:rPr>
        <w:t xml:space="preserve">5.3 Licencias shareware</w:t>
      </w:r>
    </w:p>
    <w:p>
      <w:pPr>
        <w:spacing w:after="100"/>
      </w:pPr>
      <w:r>
        <w:rPr>
          <w:sz w:val="20"/>
          <w:szCs w:val="20"/>
        </w:rPr>
        <w:t xml:space="preserve">Permiten probar el software de forma limitada (por tiempo o funcionalidad) antes de comprarlo. El uso completo exige el pago de una licencia. Ejemplo: muchos programas de prueba comerciales.</w:t>
      </w:r>
    </w:p>
    <w:p>
      <w:pPr>
        <w:spacing w:before="250" w:after="100"/>
      </w:pPr>
      <w:r>
        <w:rPr>
          <w:b/>
          <w:bCs/>
          <w:color w:val="06283D"/>
          <w:sz w:val="22"/>
          <w:szCs w:val="22"/>
        </w:rPr>
        <w:t xml:space="preserve">6. Otras categorías relevantes</w:t>
      </w:r>
    </w:p>
    <w:p>
      <w:pPr>
        <w:spacing w:before="150" w:after="80"/>
      </w:pPr>
      <w:r>
        <w:rPr>
          <w:b/>
          <w:bCs/>
          <w:color w:val="06283D"/>
          <w:sz w:val="20"/>
          <w:szCs w:val="20"/>
        </w:rPr>
        <w:t xml:space="preserve">6.1 Dominio público (Public Domain)</w:t>
      </w:r>
    </w:p>
    <w:p>
      <w:pPr>
        <w:spacing w:after="100"/>
      </w:pPr>
      <w:r>
        <w:rPr>
          <w:sz w:val="20"/>
          <w:szCs w:val="20"/>
        </w:rPr>
        <w:t xml:space="preserve">El software no tiene derechos reservados: cualquiera puede usarlo, modificarlo y distribuirlo sin condiciones. No es exactamente una licencia, sino la ausencia de protección. Ejemplo: la mayoría del software producido por agencias del gobierno de EE. UU.</w:t>
      </w:r>
    </w:p>
    <w:p>
      <w:pPr>
        <w:spacing w:before="150" w:after="80"/>
      </w:pPr>
      <w:r>
        <w:rPr>
          <w:b/>
          <w:bCs/>
          <w:color w:val="06283D"/>
          <w:sz w:val="20"/>
          <w:szCs w:val="20"/>
        </w:rPr>
        <w:t xml:space="preserve">6.2 Licencias de doble licenciamiento (dual licensing)</w:t>
      </w:r>
    </w:p>
    <w:p>
      <w:pPr>
        <w:spacing w:after="100"/>
      </w:pPr>
      <w:r>
        <w:rPr>
          <w:sz w:val="20"/>
          <w:szCs w:val="20"/>
        </w:rPr>
        <w:t xml:space="preserve">El mismo software se ofrece bajo dos licencias distintas, normalmente una libre (como GPL) y una comercial. Permite usar el software gratuitamente bajo condiciones libres o pagar por una licencia comercial con menos restricciones. Ejemplos: MySQL, Qt.</w:t>
      </w:r>
    </w:p>
    <w:p>
      <w:pPr>
        <w:spacing w:before="250" w:after="100"/>
      </w:pPr>
      <w:r>
        <w:rPr>
          <w:b/>
          <w:bCs/>
          <w:color w:val="06283D"/>
          <w:sz w:val="22"/>
          <w:szCs w:val="22"/>
        </w:rPr>
        <w:t xml:space="preserve">7. Resumen comparativo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8"/>
        <w:gridCol w:w="1929"/>
        <w:gridCol w:w="2112"/>
        <w:gridCol w:w="3581"/>
      </w:tblGrid>
      <w:tr>
        <w:trPr>
          <w:cantSplit/>
          <w:tblHeader/>
        </w:trPr>
        <w:tc>
          <w:tcPr>
            <w:shd w:fill="06283D" w:val="clear"/>
            <w:tcW w:type="dxa" w:w="1378"/>
          </w:tcPr>
          <w:p>
            <w:r>
              <w:rPr>
                <w:b/>
                <w:bCs/>
                <w:color w:val="FFFFFF"/>
                <w:sz w:val="18"/>
                <w:szCs w:val="18"/>
              </w:rPr>
              <w:t xml:space="preserve">Licencia</w:t>
            </w:r>
          </w:p>
        </w:tc>
        <w:tc>
          <w:tcPr>
            <w:shd w:fill="06283D" w:val="clear"/>
            <w:tcW w:type="dxa" w:w="1929"/>
          </w:tcPr>
          <w:p>
            <w:r>
              <w:rPr>
                <w:b/>
                <w:bCs/>
                <w:color w:val="FFFFFF"/>
                <w:sz w:val="18"/>
                <w:szCs w:val="18"/>
              </w:rPr>
              <w:t xml:space="preserve">Tipo</w:t>
            </w:r>
          </w:p>
        </w:tc>
        <w:tc>
          <w:tcPr>
            <w:shd w:fill="06283D" w:val="clear"/>
            <w:tcW w:type="dxa" w:w="2112"/>
          </w:tcPr>
          <w:p>
            <w:r>
              <w:rPr>
                <w:b/>
                <w:bCs/>
                <w:color w:val="FFFFFF"/>
                <w:sz w:val="18"/>
                <w:szCs w:val="18"/>
              </w:rPr>
              <w:t xml:space="preserve">¿Permite uso comercial?</w:t>
            </w:r>
          </w:p>
        </w:tc>
        <w:tc>
          <w:tcPr>
            <w:shd w:fill="06283D" w:val="clear"/>
            <w:tcW w:type="dxa" w:w="3581"/>
          </w:tcPr>
          <w:p>
            <w:r>
              <w:rPr>
                <w:b/>
                <w:bCs/>
                <w:color w:val="FFFFFF"/>
                <w:sz w:val="18"/>
                <w:szCs w:val="18"/>
              </w:rPr>
              <w:t xml:space="preserve">¿Obliga a compartir el código derivado?</w:t>
            </w:r>
          </w:p>
        </w:tc>
      </w:tr>
      <w:tr>
        <w:trPr>
          <w:cantSplit/>
        </w:trPr>
        <w:tc>
          <w:tcPr>
            <w:tcW w:type="dxa" w:w="1378"/>
          </w:tcPr>
          <w:p>
            <w:r>
              <w:rPr>
                <w:b/>
                <w:bCs/>
                <w:sz w:val="18"/>
                <w:szCs w:val="18"/>
              </w:rPr>
              <w:t xml:space="preserve">MIT</w:t>
            </w:r>
          </w:p>
        </w:tc>
        <w:tc>
          <w:tcPr>
            <w:tcW w:type="dxa" w:w="1929"/>
          </w:tcPr>
          <w:p>
            <w:r>
              <w:rPr>
                <w:b w:val="false"/>
                <w:bCs w:val="false"/>
                <w:sz w:val="18"/>
                <w:szCs w:val="18"/>
              </w:rPr>
              <w:t xml:space="preserve">Permisiva</w:t>
            </w:r>
          </w:p>
        </w:tc>
        <w:tc>
          <w:tcPr>
            <w:tcW w:type="dxa" w:w="2112"/>
          </w:tcPr>
          <w:p>
            <w:r>
              <w:rPr>
                <w:b w:val="false"/>
                <w:bCs w:val="false"/>
                <w:sz w:val="18"/>
                <w:szCs w:val="18"/>
              </w:rPr>
              <w:t xml:space="preserve">Sí</w:t>
            </w:r>
          </w:p>
        </w:tc>
        <w:tc>
          <w:tcPr>
            <w:tcW w:type="dxa" w:w="3581"/>
          </w:tcPr>
          <w:p>
            <w:r>
              <w:rPr>
                <w:b w:val="false"/>
                <w:bCs w:val="false"/>
                <w:sz w:val="18"/>
                <w:szCs w:val="18"/>
              </w:rPr>
              <w:t xml:space="preserve">No</w:t>
            </w:r>
          </w:p>
        </w:tc>
      </w:tr>
      <w:tr>
        <w:trPr>
          <w:cantSplit/>
        </w:trPr>
        <w:tc>
          <w:tcPr>
            <w:tcW w:type="dxa" w:w="1378"/>
          </w:tcPr>
          <w:p>
            <w:r>
              <w:rPr>
                <w:b/>
                <w:bCs/>
                <w:sz w:val="18"/>
                <w:szCs w:val="18"/>
              </w:rPr>
              <w:t xml:space="preserve">Apache 2.0</w:t>
            </w:r>
          </w:p>
        </w:tc>
        <w:tc>
          <w:tcPr>
            <w:tcW w:type="dxa" w:w="1929"/>
          </w:tcPr>
          <w:p>
            <w:r>
              <w:rPr>
                <w:b w:val="false"/>
                <w:bCs w:val="false"/>
                <w:sz w:val="18"/>
                <w:szCs w:val="18"/>
              </w:rPr>
              <w:t xml:space="preserve">Permisiva</w:t>
            </w:r>
          </w:p>
        </w:tc>
        <w:tc>
          <w:tcPr>
            <w:tcW w:type="dxa" w:w="2112"/>
          </w:tcPr>
          <w:p>
            <w:r>
              <w:rPr>
                <w:b w:val="false"/>
                <w:bCs w:val="false"/>
                <w:sz w:val="18"/>
                <w:szCs w:val="18"/>
              </w:rPr>
              <w:t xml:space="preserve">Sí</w:t>
            </w:r>
          </w:p>
        </w:tc>
        <w:tc>
          <w:tcPr>
            <w:tcW w:type="dxa" w:w="3581"/>
          </w:tcPr>
          <w:p>
            <w:r>
              <w:rPr>
                <w:b w:val="false"/>
                <w:bCs w:val="false"/>
                <w:sz w:val="18"/>
                <w:szCs w:val="18"/>
              </w:rPr>
              <w:t xml:space="preserve">No</w:t>
            </w:r>
          </w:p>
        </w:tc>
      </w:tr>
      <w:tr>
        <w:trPr>
          <w:cantSplit/>
        </w:trPr>
        <w:tc>
          <w:tcPr>
            <w:tcW w:type="dxa" w:w="1378"/>
          </w:tcPr>
          <w:p>
            <w:r>
              <w:rPr>
                <w:b/>
                <w:bCs/>
                <w:sz w:val="18"/>
                <w:szCs w:val="18"/>
              </w:rPr>
              <w:t xml:space="preserve">BSD</w:t>
            </w:r>
          </w:p>
        </w:tc>
        <w:tc>
          <w:tcPr>
            <w:tcW w:type="dxa" w:w="1929"/>
          </w:tcPr>
          <w:p>
            <w:r>
              <w:rPr>
                <w:b w:val="false"/>
                <w:bCs w:val="false"/>
                <w:sz w:val="18"/>
                <w:szCs w:val="18"/>
              </w:rPr>
              <w:t xml:space="preserve">Permisiva</w:t>
            </w:r>
          </w:p>
        </w:tc>
        <w:tc>
          <w:tcPr>
            <w:tcW w:type="dxa" w:w="2112"/>
          </w:tcPr>
          <w:p>
            <w:r>
              <w:rPr>
                <w:b w:val="false"/>
                <w:bCs w:val="false"/>
                <w:sz w:val="18"/>
                <w:szCs w:val="18"/>
              </w:rPr>
              <w:t xml:space="preserve">Sí</w:t>
            </w:r>
          </w:p>
        </w:tc>
        <w:tc>
          <w:tcPr>
            <w:tcW w:type="dxa" w:w="3581"/>
          </w:tcPr>
          <w:p>
            <w:r>
              <w:rPr>
                <w:b w:val="false"/>
                <w:bCs w:val="false"/>
                <w:sz w:val="18"/>
                <w:szCs w:val="18"/>
              </w:rPr>
              <w:t xml:space="preserve">No</w:t>
            </w:r>
          </w:p>
        </w:tc>
      </w:tr>
      <w:tr>
        <w:trPr>
          <w:cantSplit/>
        </w:trPr>
        <w:tc>
          <w:tcPr>
            <w:tcW w:type="dxa" w:w="1378"/>
          </w:tcPr>
          <w:p>
            <w:r>
              <w:rPr>
                <w:b/>
                <w:bCs/>
                <w:sz w:val="18"/>
                <w:szCs w:val="18"/>
              </w:rPr>
              <w:t xml:space="preserve">ISC</w:t>
            </w:r>
          </w:p>
        </w:tc>
        <w:tc>
          <w:tcPr>
            <w:tcW w:type="dxa" w:w="1929"/>
          </w:tcPr>
          <w:p>
            <w:r>
              <w:rPr>
                <w:b w:val="false"/>
                <w:bCs w:val="false"/>
                <w:sz w:val="18"/>
                <w:szCs w:val="18"/>
              </w:rPr>
              <w:t xml:space="preserve">Permisiva</w:t>
            </w:r>
          </w:p>
        </w:tc>
        <w:tc>
          <w:tcPr>
            <w:tcW w:type="dxa" w:w="2112"/>
          </w:tcPr>
          <w:p>
            <w:r>
              <w:rPr>
                <w:b w:val="false"/>
                <w:bCs w:val="false"/>
                <w:sz w:val="18"/>
                <w:szCs w:val="18"/>
              </w:rPr>
              <w:t xml:space="preserve">Sí</w:t>
            </w:r>
          </w:p>
        </w:tc>
        <w:tc>
          <w:tcPr>
            <w:tcW w:type="dxa" w:w="3581"/>
          </w:tcPr>
          <w:p>
            <w:r>
              <w:rPr>
                <w:b w:val="false"/>
                <w:bCs w:val="false"/>
                <w:sz w:val="18"/>
                <w:szCs w:val="18"/>
              </w:rPr>
              <w:t xml:space="preserve">No</w:t>
            </w:r>
          </w:p>
        </w:tc>
      </w:tr>
      <w:tr>
        <w:trPr>
          <w:cantSplit/>
        </w:trPr>
        <w:tc>
          <w:tcPr>
            <w:tcW w:type="dxa" w:w="1378"/>
          </w:tcPr>
          <w:p>
            <w:r>
              <w:rPr>
                <w:b/>
                <w:bCs/>
                <w:sz w:val="18"/>
                <w:szCs w:val="18"/>
              </w:rPr>
              <w:t xml:space="preserve">GPL</w:t>
            </w:r>
          </w:p>
        </w:tc>
        <w:tc>
          <w:tcPr>
            <w:tcW w:type="dxa" w:w="1929"/>
          </w:tcPr>
          <w:p>
            <w:r>
              <w:rPr>
                <w:b w:val="false"/>
                <w:bCs w:val="false"/>
                <w:sz w:val="18"/>
                <w:szCs w:val="18"/>
              </w:rPr>
              <w:t xml:space="preserve">Copyleft fuerte</w:t>
            </w:r>
          </w:p>
        </w:tc>
        <w:tc>
          <w:tcPr>
            <w:tcW w:type="dxa" w:w="2112"/>
          </w:tcPr>
          <w:p>
            <w:r>
              <w:rPr>
                <w:b w:val="false"/>
                <w:bCs w:val="false"/>
                <w:sz w:val="18"/>
                <w:szCs w:val="18"/>
              </w:rPr>
              <w:t xml:space="preserve">Sí</w:t>
            </w:r>
          </w:p>
        </w:tc>
        <w:tc>
          <w:tcPr>
            <w:tcW w:type="dxa" w:w="3581"/>
          </w:tcPr>
          <w:p>
            <w:r>
              <w:rPr>
                <w:b w:val="false"/>
                <w:bCs w:val="false"/>
                <w:sz w:val="18"/>
                <w:szCs w:val="18"/>
              </w:rPr>
              <w:t xml:space="preserve">Sí</w:t>
            </w:r>
          </w:p>
        </w:tc>
      </w:tr>
      <w:tr>
        <w:trPr>
          <w:cantSplit/>
        </w:trPr>
        <w:tc>
          <w:tcPr>
            <w:tcW w:type="dxa" w:w="1378"/>
          </w:tcPr>
          <w:p>
            <w:r>
              <w:rPr>
                <w:b/>
                <w:bCs/>
                <w:sz w:val="18"/>
                <w:szCs w:val="18"/>
              </w:rPr>
              <w:t xml:space="preserve">LGPL</w:t>
            </w:r>
          </w:p>
        </w:tc>
        <w:tc>
          <w:tcPr>
            <w:tcW w:type="dxa" w:w="1929"/>
          </w:tcPr>
          <w:p>
            <w:r>
              <w:rPr>
                <w:b w:val="false"/>
                <w:bCs w:val="false"/>
                <w:sz w:val="18"/>
                <w:szCs w:val="18"/>
              </w:rPr>
              <w:t xml:space="preserve">Copyleft débil</w:t>
            </w:r>
          </w:p>
        </w:tc>
        <w:tc>
          <w:tcPr>
            <w:tcW w:type="dxa" w:w="2112"/>
          </w:tcPr>
          <w:p>
            <w:r>
              <w:rPr>
                <w:b w:val="false"/>
                <w:bCs w:val="false"/>
                <w:sz w:val="18"/>
                <w:szCs w:val="18"/>
              </w:rPr>
              <w:t xml:space="preserve">Sí</w:t>
            </w:r>
          </w:p>
        </w:tc>
        <w:tc>
          <w:tcPr>
            <w:tcW w:type="dxa" w:w="3581"/>
          </w:tcPr>
          <w:p>
            <w:r>
              <w:rPr>
                <w:b w:val="false"/>
                <w:bCs w:val="false"/>
                <w:sz w:val="18"/>
                <w:szCs w:val="18"/>
              </w:rPr>
              <w:t xml:space="preserve">Solo en la biblioteca</w:t>
            </w:r>
          </w:p>
        </w:tc>
      </w:tr>
      <w:tr>
        <w:trPr>
          <w:cantSplit/>
        </w:trPr>
        <w:tc>
          <w:tcPr>
            <w:tcW w:type="dxa" w:w="1378"/>
          </w:tcPr>
          <w:p>
            <w:r>
              <w:rPr>
                <w:b/>
                <w:bCs/>
                <w:sz w:val="18"/>
                <w:szCs w:val="18"/>
              </w:rPr>
              <w:t xml:space="preserve">MPL 2.0</w:t>
            </w:r>
          </w:p>
        </w:tc>
        <w:tc>
          <w:tcPr>
            <w:tcW w:type="dxa" w:w="1929"/>
          </w:tcPr>
          <w:p>
            <w:r>
              <w:rPr>
                <w:b w:val="false"/>
                <w:bCs w:val="false"/>
                <w:sz w:val="18"/>
                <w:szCs w:val="18"/>
              </w:rPr>
              <w:t xml:space="preserve">Copyleft débil</w:t>
            </w:r>
          </w:p>
        </w:tc>
        <w:tc>
          <w:tcPr>
            <w:tcW w:type="dxa" w:w="2112"/>
          </w:tcPr>
          <w:p>
            <w:r>
              <w:rPr>
                <w:b w:val="false"/>
                <w:bCs w:val="false"/>
                <w:sz w:val="18"/>
                <w:szCs w:val="18"/>
              </w:rPr>
              <w:t xml:space="preserve">Sí</w:t>
            </w:r>
          </w:p>
        </w:tc>
        <w:tc>
          <w:tcPr>
            <w:tcW w:type="dxa" w:w="3581"/>
          </w:tcPr>
          <w:p>
            <w:r>
              <w:rPr>
                <w:b w:val="false"/>
                <w:bCs w:val="false"/>
                <w:sz w:val="18"/>
                <w:szCs w:val="18"/>
              </w:rPr>
              <w:t xml:space="preserve">Solo archivos modificados</w:t>
            </w:r>
          </w:p>
        </w:tc>
      </w:tr>
      <w:tr>
        <w:trPr>
          <w:cantSplit/>
        </w:trPr>
        <w:tc>
          <w:tcPr>
            <w:tcW w:type="dxa" w:w="1378"/>
          </w:tcPr>
          <w:p>
            <w:r>
              <w:rPr>
                <w:b/>
                <w:bCs/>
                <w:sz w:val="18"/>
                <w:szCs w:val="18"/>
              </w:rPr>
              <w:t xml:space="preserve">EUPL</w:t>
            </w:r>
          </w:p>
        </w:tc>
        <w:tc>
          <w:tcPr>
            <w:tcW w:type="dxa" w:w="1929"/>
          </w:tcPr>
          <w:p>
            <w:r>
              <w:rPr>
                <w:b w:val="false"/>
                <w:bCs w:val="false"/>
                <w:sz w:val="18"/>
                <w:szCs w:val="18"/>
              </w:rPr>
              <w:t xml:space="preserve">Copyleft</w:t>
            </w:r>
          </w:p>
        </w:tc>
        <w:tc>
          <w:tcPr>
            <w:tcW w:type="dxa" w:w="2112"/>
          </w:tcPr>
          <w:p>
            <w:r>
              <w:rPr>
                <w:b w:val="false"/>
                <w:bCs w:val="false"/>
                <w:sz w:val="18"/>
                <w:szCs w:val="18"/>
              </w:rPr>
              <w:t xml:space="preserve">Sí</w:t>
            </w:r>
          </w:p>
        </w:tc>
        <w:tc>
          <w:tcPr>
            <w:tcW w:type="dxa" w:w="3581"/>
          </w:tcPr>
          <w:p>
            <w:r>
              <w:rPr>
                <w:b w:val="false"/>
                <w:bCs w:val="false"/>
                <w:sz w:val="18"/>
                <w:szCs w:val="18"/>
              </w:rPr>
              <w:t xml:space="preserve">Sí</w:t>
            </w:r>
          </w:p>
        </w:tc>
      </w:tr>
      <w:tr>
        <w:trPr>
          <w:cantSplit/>
        </w:trPr>
        <w:tc>
          <w:tcPr>
            <w:tcW w:type="dxa" w:w="1378"/>
          </w:tcPr>
          <w:p>
            <w:r>
              <w:rPr>
                <w:b/>
                <w:bCs/>
                <w:sz w:val="18"/>
                <w:szCs w:val="18"/>
              </w:rPr>
              <w:t xml:space="preserve">Propietaria</w:t>
            </w:r>
          </w:p>
        </w:tc>
        <w:tc>
          <w:tcPr>
            <w:tcW w:type="dxa" w:w="1929"/>
          </w:tcPr>
          <w:p>
            <w:r>
              <w:rPr>
                <w:b w:val="false"/>
                <w:bCs w:val="false"/>
                <w:sz w:val="18"/>
                <w:szCs w:val="18"/>
              </w:rPr>
              <w:t xml:space="preserve">Código cerrado</w:t>
            </w:r>
          </w:p>
        </w:tc>
        <w:tc>
          <w:tcPr>
            <w:tcW w:type="dxa" w:w="2112"/>
          </w:tcPr>
          <w:p>
            <w:r>
              <w:rPr>
                <w:b w:val="false"/>
                <w:bCs w:val="false"/>
                <w:sz w:val="18"/>
                <w:szCs w:val="18"/>
              </w:rPr>
              <w:t xml:space="preserve">Bajo contrato</w:t>
            </w:r>
          </w:p>
        </w:tc>
        <w:tc>
          <w:tcPr>
            <w:tcW w:type="dxa" w:w="3581"/>
          </w:tcPr>
          <w:p>
            <w:r>
              <w:rPr>
                <w:b w:val="false"/>
                <w:bCs w:val="false"/>
                <w:sz w:val="18"/>
                <w:szCs w:val="18"/>
              </w:rPr>
              <w:t xml:space="preserve">No (prohibido)</w:t>
            </w:r>
          </w:p>
        </w:tc>
      </w:tr>
      <w:tr>
        <w:trPr>
          <w:cantSplit/>
        </w:trPr>
        <w:tc>
          <w:tcPr>
            <w:tcW w:type="dxa" w:w="1378"/>
          </w:tcPr>
          <w:p>
            <w:r>
              <w:rPr>
                <w:b/>
                <w:bCs/>
                <w:sz w:val="18"/>
                <w:szCs w:val="18"/>
              </w:rPr>
              <w:t xml:space="preserve">Freeware</w:t>
            </w:r>
          </w:p>
        </w:tc>
        <w:tc>
          <w:tcPr>
            <w:tcW w:type="dxa" w:w="1929"/>
          </w:tcPr>
          <w:p>
            <w:r>
              <w:rPr>
                <w:b w:val="false"/>
                <w:bCs w:val="false"/>
                <w:sz w:val="18"/>
                <w:szCs w:val="18"/>
              </w:rPr>
              <w:t xml:space="preserve">Gratuita pero cerrada</w:t>
            </w:r>
          </w:p>
        </w:tc>
        <w:tc>
          <w:tcPr>
            <w:tcW w:type="dxa" w:w="2112"/>
          </w:tcPr>
          <w:p>
            <w:r>
              <w:rPr>
                <w:b w:val="false"/>
                <w:bCs w:val="false"/>
                <w:sz w:val="18"/>
                <w:szCs w:val="18"/>
              </w:rPr>
              <w:t xml:space="preserve">Sí (gratis)</w:t>
            </w:r>
          </w:p>
        </w:tc>
        <w:tc>
          <w:tcPr>
            <w:tcW w:type="dxa" w:w="3581"/>
          </w:tcPr>
          <w:p>
            <w:r>
              <w:rPr>
                <w:b w:val="false"/>
                <w:bCs w:val="false"/>
                <w:sz w:val="18"/>
                <w:szCs w:val="18"/>
              </w:rPr>
              <w:t xml:space="preserve">No</w:t>
            </w:r>
          </w:p>
        </w:tc>
      </w:tr>
      <w:tr>
        <w:trPr>
          <w:cantSplit/>
        </w:trPr>
        <w:tc>
          <w:tcPr>
            <w:tcW w:type="dxa" w:w="1378"/>
          </w:tcPr>
          <w:p>
            <w:r>
              <w:rPr>
                <w:b/>
                <w:bCs/>
                <w:sz w:val="18"/>
                <w:szCs w:val="18"/>
              </w:rPr>
              <w:t xml:space="preserve">Shareware</w:t>
            </w:r>
          </w:p>
        </w:tc>
        <w:tc>
          <w:tcPr>
            <w:tcW w:type="dxa" w:w="1929"/>
          </w:tcPr>
          <w:p>
            <w:r>
              <w:rPr>
                <w:b w:val="false"/>
                <w:bCs w:val="false"/>
                <w:sz w:val="18"/>
                <w:szCs w:val="18"/>
              </w:rPr>
              <w:t xml:space="preserve">Prueba comercial</w:t>
            </w:r>
          </w:p>
        </w:tc>
        <w:tc>
          <w:tcPr>
            <w:tcW w:type="dxa" w:w="2112"/>
          </w:tcPr>
          <w:p>
            <w:r>
              <w:rPr>
                <w:b w:val="false"/>
                <w:bCs w:val="false"/>
                <w:sz w:val="18"/>
                <w:szCs w:val="18"/>
              </w:rPr>
              <w:t xml:space="preserve">Sí, previo pago</w:t>
            </w:r>
          </w:p>
        </w:tc>
        <w:tc>
          <w:tcPr>
            <w:tcW w:type="dxa" w:w="3581"/>
          </w:tcPr>
          <w:p>
            <w:r>
              <w:rPr>
                <w:b w:val="false"/>
                <w:bCs w:val="false"/>
                <w:sz w:val="18"/>
                <w:szCs w:val="18"/>
              </w:rPr>
              <w:t xml:space="preserve">No</w:t>
            </w:r>
          </w:p>
        </w:tc>
      </w:tr>
      <w:tr>
        <w:trPr>
          <w:cantSplit/>
        </w:trPr>
        <w:tc>
          <w:tcPr>
            <w:tcW w:type="dxa" w:w="1378"/>
          </w:tcPr>
          <w:p>
            <w:r>
              <w:rPr>
                <w:b/>
                <w:bCs/>
                <w:sz w:val="18"/>
                <w:szCs w:val="18"/>
              </w:rPr>
              <w:t xml:space="preserve">Dominio público</w:t>
            </w:r>
          </w:p>
        </w:tc>
        <w:tc>
          <w:tcPr>
            <w:tcW w:type="dxa" w:w="1929"/>
          </w:tcPr>
          <w:p>
            <w:r>
              <w:rPr>
                <w:b w:val="false"/>
                <w:bCs w:val="false"/>
                <w:sz w:val="18"/>
                <w:szCs w:val="18"/>
              </w:rPr>
              <w:t xml:space="preserve">Sin restricciones</w:t>
            </w:r>
          </w:p>
        </w:tc>
        <w:tc>
          <w:tcPr>
            <w:tcW w:type="dxa" w:w="2112"/>
          </w:tcPr>
          <w:p>
            <w:r>
              <w:rPr>
                <w:b w:val="false"/>
                <w:bCs w:val="false"/>
                <w:sz w:val="18"/>
                <w:szCs w:val="18"/>
              </w:rPr>
              <w:t xml:space="preserve">Sí</w:t>
            </w:r>
          </w:p>
        </w:tc>
        <w:tc>
          <w:tcPr>
            <w:tcW w:type="dxa" w:w="3581"/>
          </w:tcPr>
          <w:p>
            <w:r>
              <w:rPr>
                <w:b w:val="false"/>
                <w:bCs w:val="false"/>
                <w:sz w:val="18"/>
                <w:szCs w:val="18"/>
              </w:rPr>
              <w:t xml:space="preserve">No aplica</w:t>
            </w:r>
          </w:p>
        </w:tc>
      </w:tr>
    </w:tbl>
    <w:p>
      <w:pPr>
        <w:spacing w:before="250" w:after="100"/>
      </w:pPr>
      <w:r>
        <w:rPr>
          <w:b/>
          <w:bCs/>
          <w:color w:val="06283D"/>
          <w:sz w:val="22"/>
          <w:szCs w:val="22"/>
        </w:rPr>
        <w:t xml:space="preserve">8. ¿Cuál conviene usar?</w:t>
      </w:r>
    </w:p>
    <w:p>
      <w:pPr>
        <w:spacing w:after="100"/>
      </w:pPr>
      <w:r>
        <w:rPr>
          <w:sz w:val="20"/>
          <w:szCs w:val="20"/>
        </w:rPr>
        <w:t xml:space="preserve">La elección depende del objetivo: si se busca máxima difusión y adopción sin obligaciones sobre las versiones derivadas, conviene una licencia permisiva (MIT, Apache 2.0). Si se quiere garantizar que cualquier mejora siga siendo libre, conviene una de copyleft (GPL). Para un proyecto académico como ALMEXA, que busca difusión del conocimiento y posible integración externa, se optó provisionalmente por una licencia permisiva (Apache 2.0), conforme a la documentación de licenciamiento del proyecto.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4"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Tipos de Licencias de Software</dc:title>
  <dc:creator>Grupo ALMEXA - SENA CIES</dc:creator>
  <dc:description>Documento que explica los principales tipos de licencias de software</dc:description>
  <cp:lastModifiedBy>Un-named</cp:lastModifiedBy>
  <cp:revision>1</cp:revision>
  <dcterms:created xsi:type="dcterms:W3CDTF">2026-09-01T11:52:29.204Z</dcterms:created>
  <dcterms:modified xsi:type="dcterms:W3CDTF">2026-09-01T11:52:29.208Z</dcterms:modified>
</cp:coreProperties>
</file>

<file path=docProps/custom.xml><?xml version="1.0" encoding="utf-8"?>
<Properties xmlns="http://schemas.openxmlformats.org/officeDocument/2006/custom-properties" xmlns:vt="http://schemas.openxmlformats.org/officeDocument/2006/docPropsVTypes"/>
</file>