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6283D"/>
          <w:sz w:val="28"/>
          <w:szCs w:val="28"/>
        </w:rPr>
        <w:t xml:space="preserve">PLAN DE TRABAJO</w:t>
      </w:r>
    </w:p>
    <w:p>
      <w:pPr>
        <w:spacing w:after="40"/>
        <w:jc w:val="center"/>
      </w:pPr>
      <w:r>
        <w:t xml:space="preserve">Proyecto ALMEXA - Sistema de Gestión de Inventario y Bodega</w:t>
      </w:r>
    </w:p>
    <w:p>
      <w:pPr>
        <w:spacing w:after="80"/>
        <w:jc w:val="center"/>
      </w:pPr>
      <w:r>
        <w:t xml:space="preserve">VERSIÓN CORREGIDA — ALINEADA CON EL SRS (Kevin SRS-Sistema de Inventario)</w:t>
      </w:r>
    </w:p>
    <w:p>
      <w:pPr>
        <w:spacing w:after="200"/>
        <w:jc w:val="center"/>
      </w:pPr>
      <w:r>
        <w:t xml:space="preserve">Programa ADSO - Ficha 3407799 - CIES, SENA</w:t>
      </w:r>
    </w:p>
    <w:p>
      <w:pPr>
        <w:spacing w:after="100" w:before="250"/>
      </w:pPr>
      <w:r>
        <w:rPr>
          <w:b/>
          <w:bCs/>
          <w:color w:val="06283D"/>
          <w:sz w:val="22"/>
          <w:szCs w:val="22"/>
        </w:rPr>
        <w:t xml:space="preserve">1. Objetivo del plan</w:t>
      </w:r>
    </w:p>
    <w:p>
      <w:pPr>
        <w:spacing w:after="90"/>
      </w:pPr>
      <w:r>
        <w:rPr>
          <w:sz w:val="20"/>
          <w:szCs w:val="20"/>
        </w:rPr>
        <w:t xml:space="preserve">El presente plan de trabajo organiza las etapas, actividades y entregables del proyecto formativo ALMEXA para el desarrollo del Sistema de Gestión de Inventario y Bodega, conforme a los requisitos definidos en el SRS (ocho módulos funcionales RF1–RF8 y los requisitos no funcionales RNF1–RNF7).</w:t>
      </w:r>
    </w:p>
    <w:p>
      <w:pPr>
        <w:spacing w:after="100" w:before="250"/>
      </w:pPr>
      <w:r>
        <w:rPr>
          <w:b/>
          <w:bCs/>
          <w:color w:val="06283D"/>
          <w:sz w:val="22"/>
          <w:szCs w:val="22"/>
        </w:rPr>
        <w:t xml:space="preserve">2. Alcance</w:t>
      </w:r>
    </w:p>
    <w:p>
      <w:pPr>
        <w:pStyle w:val="ListParagraph"/>
        <w:numPr>
          <w:ilvl w:val="0"/>
          <w:numId w:val="1"/>
        </w:numPr>
        <w:spacing w:after="50"/>
      </w:pPr>
      <w:r>
        <w:rPr>
          <w:sz w:val="20"/>
          <w:szCs w:val="20"/>
        </w:rPr>
        <w:t xml:space="preserve">Cobertura de los módulos: Gestión de Usuarios (RF1), Roles y Permisos (RF2), Proveedores (RF3), Rutas y Transporte (RF4), Inventario y Productos (RF5), Espacios y Bodega (RF6), Reportes (RF7) y API de Integración Externa (RF8).</w:t>
      </w:r>
    </w:p>
    <w:p>
      <w:pPr>
        <w:pStyle w:val="ListParagraph"/>
        <w:numPr>
          <w:ilvl w:val="0"/>
          <w:numId w:val="1"/>
        </w:numPr>
        <w:spacing w:after="50"/>
      </w:pPr>
      <w:r>
        <w:rPr>
          <w:sz w:val="20"/>
          <w:szCs w:val="20"/>
        </w:rPr>
        <w:t xml:space="preserve">Motor de base de datos: PostgreSQL (definitivo según el SRS).</w:t>
      </w:r>
    </w:p>
    <w:p>
      <w:pPr>
        <w:pStyle w:val="ListParagraph"/>
        <w:numPr>
          <w:ilvl w:val="0"/>
          <w:numId w:val="1"/>
        </w:numPr>
        <w:spacing w:after="50"/>
      </w:pPr>
      <w:r>
        <w:rPr>
          <w:sz w:val="20"/>
          <w:szCs w:val="20"/>
        </w:rPr>
        <w:t xml:space="preserve">Entrega de: SRS, diagramas de casos de uso, diagramas de actividades, diagrama de dominio, matriz de riesgos, documentación de correlación con el SRS, documentación de licenciamiento y prototipo.</w:t>
      </w:r>
    </w:p>
    <w:p>
      <w:pPr>
        <w:spacing w:after="100" w:before="250"/>
      </w:pPr>
      <w:r>
        <w:rPr>
          <w:b/>
          <w:bCs/>
          <w:color w:val="06283D"/>
          <w:sz w:val="22"/>
          <w:szCs w:val="22"/>
        </w:rPr>
        <w:t xml:space="preserve">3. Metodología</w:t>
      </w:r>
    </w:p>
    <w:p>
      <w:pPr>
        <w:spacing w:after="90"/>
      </w:pPr>
      <w:r>
        <w:rPr>
          <w:sz w:val="20"/>
          <w:szCs w:val="20"/>
        </w:rPr>
        <w:t xml:space="preserve">El proyecto se desarrolla bajo una metodología ágil tipo Scrum, seleccionada en el cuadro comparativo de modelos de desarrollo elaborado para el proyecto. El trabajo se organiza en sprints con entregables verificables y revisión de requisitos frente al SRS.</w:t>
      </w:r>
    </w:p>
    <w:p>
      <w:pPr>
        <w:spacing w:after="100" w:before="250"/>
      </w:pPr>
      <w:r>
        <w:rPr>
          <w:b/>
          <w:bCs/>
          <w:color w:val="06283D"/>
          <w:sz w:val="22"/>
          <w:szCs w:val="22"/>
        </w:rPr>
        <w:t xml:space="preserve">4. Fases y actividades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5"/>
        <w:gridCol w:w="4575"/>
        <w:gridCol w:w="2175"/>
        <w:gridCol w:w="675"/>
      </w:tblGrid>
      <w:tr>
        <w:trPr>
          <w:cantSplit/>
          <w:tblHeader/>
        </w:trPr>
        <w:tc>
          <w:tcPr>
            <w:shd w:fill="06283D" w:val="clear"/>
            <w:tcW w:type="dxa" w:w="1575"/>
          </w:tcPr>
          <w:p>
            <w:r>
              <w:rPr>
                <w:b/>
                <w:bCs/>
                <w:color w:val="FFFFFF"/>
                <w:sz w:val="18"/>
                <w:szCs w:val="18"/>
              </w:rPr>
              <w:t xml:space="preserve">Fase</w:t>
            </w:r>
          </w:p>
        </w:tc>
        <w:tc>
          <w:tcPr>
            <w:shd w:fill="06283D" w:val="clear"/>
            <w:tcW w:type="dxa" w:w="4575"/>
          </w:tcPr>
          <w:p>
            <w:r>
              <w:rPr>
                <w:b/>
                <w:bCs/>
                <w:color w:val="FFFFFF"/>
                <w:sz w:val="18"/>
                <w:szCs w:val="18"/>
              </w:rPr>
              <w:t xml:space="preserve">Actividades principales</w:t>
            </w:r>
          </w:p>
        </w:tc>
        <w:tc>
          <w:tcPr>
            <w:shd w:fill="06283D" w:val="clear"/>
            <w:tcW w:type="dxa" w:w="2175"/>
          </w:tcPr>
          <w:p>
            <w:r>
              <w:rPr>
                <w:b/>
                <w:bCs/>
                <w:color w:val="FFFFFF"/>
                <w:sz w:val="18"/>
                <w:szCs w:val="18"/>
              </w:rPr>
              <w:t xml:space="preserve">Entregable</w:t>
            </w:r>
          </w:p>
        </w:tc>
        <w:tc>
          <w:tcPr>
            <w:shd w:fill="06283D" w:val="clear"/>
            <w:tcW w:type="dxa" w:w="675"/>
          </w:tcPr>
          <w:p>
            <w:r>
              <w:rPr>
                <w:b/>
                <w:bCs/>
                <w:color w:val="FFFFFF"/>
                <w:sz w:val="18"/>
                <w:szCs w:val="18"/>
              </w:rPr>
              <w:t xml:space="preserve">Estado</w:t>
            </w:r>
          </w:p>
        </w:tc>
      </w:tr>
      <w:tr>
        <w:trPr>
          <w:cantSplit/>
        </w:trPr>
        <w:tc>
          <w:tcPr>
            <w:tcW w:type="dxa" w:w="1575"/>
          </w:tcPr>
          <w:p>
            <w:r>
              <w:rPr>
                <w:sz w:val="18"/>
                <w:szCs w:val="18"/>
              </w:rPr>
              <w:t xml:space="preserve">1. Análisis</w:t>
            </w:r>
          </w:p>
        </w:tc>
        <w:tc>
          <w:tcPr>
            <w:tcW w:type="dxa" w:w="4575"/>
          </w:tcPr>
          <w:p>
            <w:r>
              <w:rPr>
                <w:sz w:val="18"/>
                <w:szCs w:val="18"/>
              </w:rPr>
              <w:t xml:space="preserve">Levantamiento y definición de requisitos; SRS</w:t>
            </w:r>
          </w:p>
        </w:tc>
        <w:tc>
          <w:tcPr>
            <w:tcW w:type="dxa" w:w="2175"/>
          </w:tcPr>
          <w:p>
            <w:r>
              <w:rPr>
                <w:sz w:val="18"/>
                <w:szCs w:val="18"/>
              </w:rPr>
              <w:t xml:space="preserve">SRS (Kevin SRS)</w:t>
            </w:r>
          </w:p>
        </w:tc>
        <w:tc>
          <w:tcPr>
            <w:tcW w:type="dxa" w:w="675"/>
          </w:tcPr>
          <w:p>
            <w:r>
              <w:rPr>
                <w:sz w:val="18"/>
                <w:szCs w:val="18"/>
              </w:rPr>
              <w:t xml:space="preserve">Completo</w:t>
            </w:r>
          </w:p>
        </w:tc>
      </w:tr>
      <w:tr>
        <w:trPr>
          <w:cantSplit/>
        </w:trPr>
        <w:tc>
          <w:tcPr>
            <w:tcW w:type="dxa" w:w="1575"/>
          </w:tcPr>
          <w:p>
            <w:r>
              <w:rPr>
                <w:sz w:val="18"/>
                <w:szCs w:val="18"/>
              </w:rPr>
              <w:t xml:space="preserve">2. Diseño</w:t>
            </w:r>
          </w:p>
        </w:tc>
        <w:tc>
          <w:tcPr>
            <w:tcW w:type="dxa" w:w="4575"/>
          </w:tcPr>
          <w:p>
            <w:r>
              <w:rPr>
                <w:sz w:val="18"/>
                <w:szCs w:val="18"/>
              </w:rPr>
              <w:t xml:space="preserve">Casos de uso, diagramas de actividades, diagrama de dominio</w:t>
            </w:r>
          </w:p>
        </w:tc>
        <w:tc>
          <w:tcPr>
            <w:tcW w:type="dxa" w:w="2175"/>
          </w:tcPr>
          <w:p>
            <w:r>
              <w:rPr>
                <w:sz w:val="18"/>
                <w:szCs w:val="18"/>
              </w:rPr>
              <w:t xml:space="preserve">Documentación de diagramas</w:t>
            </w:r>
          </w:p>
        </w:tc>
        <w:tc>
          <w:tcPr>
            <w:tcW w:type="dxa" w:w="675"/>
          </w:tcPr>
          <w:p>
            <w:r>
              <w:rPr>
                <w:sz w:val="18"/>
                <w:szCs w:val="18"/>
              </w:rPr>
              <w:t xml:space="preserve">Completo</w:t>
            </w:r>
          </w:p>
        </w:tc>
      </w:tr>
      <w:tr>
        <w:trPr>
          <w:cantSplit/>
        </w:trPr>
        <w:tc>
          <w:tcPr>
            <w:tcW w:type="dxa" w:w="1575"/>
          </w:tcPr>
          <w:p>
            <w:r>
              <w:rPr>
                <w:sz w:val="18"/>
                <w:szCs w:val="18"/>
              </w:rPr>
              <w:t xml:space="preserve">3. Modelado de datos</w:t>
            </w:r>
          </w:p>
        </w:tc>
        <w:tc>
          <w:tcPr>
            <w:tcW w:type="dxa" w:w="4575"/>
          </w:tcPr>
          <w:p>
            <w:r>
              <w:rPr>
                <w:sz w:val="18"/>
                <w:szCs w:val="18"/>
              </w:rPr>
              <w:t xml:space="preserve">Modelo de dominio y diseño de base de datos en PostgreSQL</w:t>
            </w:r>
          </w:p>
        </w:tc>
        <w:tc>
          <w:tcPr>
            <w:tcW w:type="dxa" w:w="2175"/>
          </w:tcPr>
          <w:p>
            <w:r>
              <w:rPr>
                <w:sz w:val="18"/>
                <w:szCs w:val="18"/>
              </w:rPr>
              <w:t xml:space="preserve">Modelo ER / dominio</w:t>
            </w:r>
          </w:p>
        </w:tc>
        <w:tc>
          <w:tcPr>
            <w:tcW w:type="dxa" w:w="675"/>
          </w:tcPr>
          <w:p>
            <w:r>
              <w:rPr>
                <w:sz w:val="18"/>
                <w:szCs w:val="18"/>
              </w:rPr>
              <w:t xml:space="preserve">En curso</w:t>
            </w:r>
          </w:p>
        </w:tc>
      </w:tr>
      <w:tr>
        <w:trPr>
          <w:cantSplit/>
        </w:trPr>
        <w:tc>
          <w:tcPr>
            <w:tcW w:type="dxa" w:w="1575"/>
          </w:tcPr>
          <w:p>
            <w:r>
              <w:rPr>
                <w:sz w:val="18"/>
                <w:szCs w:val="18"/>
              </w:rPr>
              <w:t xml:space="preserve">4. Planificación</w:t>
            </w:r>
          </w:p>
        </w:tc>
        <w:tc>
          <w:tcPr>
            <w:tcW w:type="dxa" w:w="4575"/>
          </w:tcPr>
          <w:p>
            <w:r>
              <w:rPr>
                <w:sz w:val="18"/>
                <w:szCs w:val="18"/>
              </w:rPr>
              <w:t xml:space="preserve">Plan de trabajo y metodología</w:t>
            </w:r>
          </w:p>
        </w:tc>
        <w:tc>
          <w:tcPr>
            <w:tcW w:type="dxa" w:w="2175"/>
          </w:tcPr>
          <w:p>
            <w:r>
              <w:rPr>
                <w:sz w:val="18"/>
                <w:szCs w:val="18"/>
              </w:rPr>
              <w:t xml:space="preserve">Plan de trabajo</w:t>
            </w:r>
          </w:p>
        </w:tc>
        <w:tc>
          <w:tcPr>
            <w:tcW w:type="dxa" w:w="675"/>
          </w:tcPr>
          <w:p>
            <w:r>
              <w:rPr>
                <w:sz w:val="18"/>
                <w:szCs w:val="18"/>
              </w:rPr>
              <w:t xml:space="preserve">Completo</w:t>
            </w:r>
          </w:p>
        </w:tc>
      </w:tr>
      <w:tr>
        <w:trPr>
          <w:cantSplit/>
        </w:trPr>
        <w:tc>
          <w:tcPr>
            <w:tcW w:type="dxa" w:w="1575"/>
          </w:tcPr>
          <w:p>
            <w:r>
              <w:rPr>
                <w:sz w:val="18"/>
                <w:szCs w:val="18"/>
              </w:rPr>
              <w:t xml:space="preserve">5. Desarrollo</w:t>
            </w:r>
          </w:p>
        </w:tc>
        <w:tc>
          <w:tcPr>
            <w:tcW w:type="dxa" w:w="4575"/>
          </w:tcPr>
          <w:p>
            <w:r>
              <w:rPr>
                <w:sz w:val="18"/>
                <w:szCs w:val="18"/>
              </w:rPr>
              <w:t xml:space="preserve">Implementación de los ocho módulos funcionales y la API (RF8)</w:t>
            </w:r>
          </w:p>
        </w:tc>
        <w:tc>
          <w:tcPr>
            <w:tcW w:type="dxa" w:w="2175"/>
          </w:tcPr>
          <w:p>
            <w:r>
              <w:rPr>
                <w:sz w:val="18"/>
                <w:szCs w:val="18"/>
              </w:rPr>
              <w:t xml:space="preserve">Aplicación web ALMEXA</w:t>
            </w:r>
          </w:p>
        </w:tc>
        <w:tc>
          <w:tcPr>
            <w:tcW w:type="dxa" w:w="675"/>
          </w:tcPr>
          <w:p>
            <w:r>
              <w:rPr>
                <w:sz w:val="18"/>
                <w:szCs w:val="18"/>
              </w:rPr>
              <w:t xml:space="preserve">Pendiente</w:t>
            </w:r>
          </w:p>
        </w:tc>
      </w:tr>
      <w:tr>
        <w:trPr>
          <w:cantSplit/>
        </w:trPr>
        <w:tc>
          <w:tcPr>
            <w:tcW w:type="dxa" w:w="1575"/>
          </w:tcPr>
          <w:p>
            <w:r>
              <w:rPr>
                <w:sz w:val="18"/>
                <w:szCs w:val="18"/>
              </w:rPr>
              <w:t xml:space="preserve">6. Gestión de riesgos</w:t>
            </w:r>
          </w:p>
        </w:tc>
        <w:tc>
          <w:tcPr>
            <w:tcW w:type="dxa" w:w="4575"/>
          </w:tcPr>
          <w:p>
            <w:r>
              <w:rPr>
                <w:sz w:val="18"/>
                <w:szCs w:val="18"/>
              </w:rPr>
              <w:t xml:space="preserve">Elaboración de la matriz de riesgos con respuesta</w:t>
            </w:r>
          </w:p>
        </w:tc>
        <w:tc>
          <w:tcPr>
            <w:tcW w:type="dxa" w:w="2175"/>
          </w:tcPr>
          <w:p>
            <w:r>
              <w:rPr>
                <w:sz w:val="18"/>
                <w:szCs w:val="18"/>
              </w:rPr>
              <w:t xml:space="preserve">Matriz de riesgos</w:t>
            </w:r>
          </w:p>
        </w:tc>
        <w:tc>
          <w:tcPr>
            <w:tcW w:type="dxa" w:w="675"/>
          </w:tcPr>
          <w:p>
            <w:r>
              <w:rPr>
                <w:sz w:val="18"/>
                <w:szCs w:val="18"/>
              </w:rPr>
              <w:t xml:space="preserve">Completo</w:t>
            </w:r>
          </w:p>
        </w:tc>
      </w:tr>
      <w:tr>
        <w:trPr>
          <w:cantSplit/>
        </w:trPr>
        <w:tc>
          <w:tcPr>
            <w:tcW w:type="dxa" w:w="1575"/>
          </w:tcPr>
          <w:p>
            <w:r>
              <w:rPr>
                <w:sz w:val="18"/>
                <w:szCs w:val="18"/>
              </w:rPr>
              <w:t xml:space="preserve">7. Documentación</w:t>
            </w:r>
          </w:p>
        </w:tc>
        <w:tc>
          <w:tcPr>
            <w:tcW w:type="dxa" w:w="4575"/>
          </w:tcPr>
          <w:p>
            <w:r>
              <w:rPr>
                <w:sz w:val="18"/>
                <w:szCs w:val="18"/>
              </w:rPr>
              <w:t xml:space="preserve">Corrección de documentos y correlación con el SRS</w:t>
            </w:r>
          </w:p>
        </w:tc>
        <w:tc>
          <w:tcPr>
            <w:tcW w:type="dxa" w:w="2175"/>
          </w:tcPr>
          <w:p>
            <w:r>
              <w:rPr>
                <w:sz w:val="18"/>
                <w:szCs w:val="18"/>
              </w:rPr>
              <w:t xml:space="preserve">Doc. corregidas + correlación</w:t>
            </w:r>
          </w:p>
        </w:tc>
        <w:tc>
          <w:tcPr>
            <w:tcW w:type="dxa" w:w="675"/>
          </w:tcPr>
          <w:p>
            <w:r>
              <w:rPr>
                <w:sz w:val="18"/>
                <w:szCs w:val="18"/>
              </w:rPr>
              <w:t xml:space="preserve">En curso</w:t>
            </w:r>
          </w:p>
        </w:tc>
      </w:tr>
    </w:tbl>
    <w:p>
      <w:pPr>
        <w:spacing w:after="100" w:before="250"/>
      </w:pPr>
      <w:r>
        <w:rPr>
          <w:b/>
          <w:bCs/>
          <w:color w:val="06283D"/>
          <w:sz w:val="22"/>
          <w:szCs w:val="22"/>
        </w:rPr>
        <w:t xml:space="preserve">5. Cronograma estimado (referencial)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900"/>
        <w:gridCol w:w="3600"/>
      </w:tblGrid>
      <w:tr>
        <w:trPr>
          <w:cantSplit/>
          <w:tblHeader/>
        </w:trPr>
        <w:tc>
          <w:tcPr>
            <w:shd w:fill="06283D" w:val="clear"/>
            <w:tcW w:type="dxa" w:w="4500"/>
          </w:tcPr>
          <w:p>
            <w:r>
              <w:rPr>
                <w:b/>
                <w:bCs/>
                <w:color w:val="FFFFFF"/>
                <w:sz w:val="18"/>
                <w:szCs w:val="18"/>
              </w:rPr>
              <w:t xml:space="preserve">Etapa</w:t>
            </w:r>
          </w:p>
        </w:tc>
        <w:tc>
          <w:tcPr>
            <w:shd w:fill="06283D" w:val="clear"/>
            <w:tcW w:type="dxa" w:w="900"/>
          </w:tcPr>
          <w:p>
            <w:r>
              <w:rPr>
                <w:b/>
                <w:bCs/>
                <w:color w:val="FFFFFF"/>
                <w:sz w:val="18"/>
                <w:szCs w:val="18"/>
              </w:rPr>
              <w:t xml:space="preserve">Semana</w:t>
            </w:r>
          </w:p>
        </w:tc>
        <w:tc>
          <w:tcPr>
            <w:shd w:fill="06283D" w:val="clear"/>
            <w:tcW w:type="dxa" w:w="3600"/>
          </w:tcPr>
          <w:p>
            <w:r>
              <w:rPr>
                <w:b/>
                <w:bCs/>
                <w:color w:val="FFFFFF"/>
                <w:sz w:val="18"/>
                <w:szCs w:val="18"/>
              </w:rPr>
              <w:t xml:space="preserve">Responsable general</w:t>
            </w:r>
          </w:p>
        </w:tc>
      </w:tr>
      <w:tr>
        <w:trPr>
          <w:cantSplit/>
        </w:trPr>
        <w:tc>
          <w:tcPr>
            <w:tcW w:type="dxa" w:w="4500"/>
          </w:tcPr>
          <w:p>
            <w:r>
              <w:rPr>
                <w:sz w:val="18"/>
                <w:szCs w:val="18"/>
              </w:rPr>
              <w:t xml:space="preserve">Análisis y SRS</w:t>
            </w:r>
          </w:p>
        </w:tc>
        <w:tc>
          <w:tcPr>
            <w:tcW w:type="dxa" w:w="900"/>
          </w:tcPr>
          <w:p>
            <w:r>
              <w:rPr>
                <w:sz w:val="18"/>
                <w:szCs w:val="18"/>
              </w:rPr>
              <w:t xml:space="preserve">1–2</w:t>
            </w:r>
          </w:p>
        </w:tc>
        <w:tc>
          <w:tcPr>
            <w:tcW w:type="dxa" w:w="3600"/>
          </w:tcPr>
          <w:p>
            <w:r>
              <w:rPr>
                <w:sz w:val="18"/>
                <w:szCs w:val="18"/>
              </w:rPr>
              <w:t xml:space="preserve">Analista</w:t>
            </w:r>
          </w:p>
        </w:tc>
      </w:tr>
      <w:tr>
        <w:trPr>
          <w:cantSplit/>
        </w:trPr>
        <w:tc>
          <w:tcPr>
            <w:tcW w:type="dxa" w:w="4500"/>
          </w:tcPr>
          <w:p>
            <w:r>
              <w:rPr>
                <w:sz w:val="18"/>
                <w:szCs w:val="18"/>
              </w:rPr>
              <w:t xml:space="preserve">Diseño de diagramas</w:t>
            </w:r>
          </w:p>
        </w:tc>
        <w:tc>
          <w:tcPr>
            <w:tcW w:type="dxa" w:w="900"/>
          </w:tcPr>
          <w:p>
            <w:r>
              <w:rPr>
                <w:sz w:val="18"/>
                <w:szCs w:val="18"/>
              </w:rPr>
              <w:t xml:space="preserve">3–5</w:t>
            </w:r>
          </w:p>
        </w:tc>
        <w:tc>
          <w:tcPr>
            <w:tcW w:type="dxa" w:w="3600"/>
          </w:tcPr>
          <w:p>
            <w:r>
              <w:rPr>
                <w:sz w:val="18"/>
                <w:szCs w:val="18"/>
              </w:rPr>
              <w:t xml:space="preserve">Analista / Desarrollador</w:t>
            </w:r>
          </w:p>
        </w:tc>
      </w:tr>
      <w:tr>
        <w:trPr>
          <w:cantSplit/>
        </w:trPr>
        <w:tc>
          <w:tcPr>
            <w:tcW w:type="dxa" w:w="4500"/>
          </w:tcPr>
          <w:p>
            <w:r>
              <w:rPr>
                <w:sz w:val="18"/>
                <w:szCs w:val="18"/>
              </w:rPr>
              <w:t xml:space="preserve">Modelado de datos (PostgreSQL)</w:t>
            </w:r>
          </w:p>
        </w:tc>
        <w:tc>
          <w:tcPr>
            <w:tcW w:type="dxa" w:w="900"/>
          </w:tcPr>
          <w:p>
            <w:r>
              <w:rPr>
                <w:sz w:val="18"/>
                <w:szCs w:val="18"/>
              </w:rPr>
              <w:t xml:space="preserve">5–6</w:t>
            </w:r>
          </w:p>
        </w:tc>
        <w:tc>
          <w:tcPr>
            <w:tcW w:type="dxa" w:w="3600"/>
          </w:tcPr>
          <w:p>
            <w:r>
              <w:rPr>
                <w:sz w:val="18"/>
                <w:szCs w:val="18"/>
              </w:rPr>
              <w:t xml:space="preserve">Desarrollador de BD</w:t>
            </w:r>
          </w:p>
        </w:tc>
      </w:tr>
      <w:tr>
        <w:trPr>
          <w:cantSplit/>
        </w:trPr>
        <w:tc>
          <w:tcPr>
            <w:tcW w:type="dxa" w:w="4500"/>
          </w:tcPr>
          <w:p>
            <w:r>
              <w:rPr>
                <w:sz w:val="18"/>
                <w:szCs w:val="18"/>
              </w:rPr>
              <w:t xml:space="preserve">Desarrollo de módulos RF1–RF8</w:t>
            </w:r>
          </w:p>
        </w:tc>
        <w:tc>
          <w:tcPr>
            <w:tcW w:type="dxa" w:w="900"/>
          </w:tcPr>
          <w:p>
            <w:r>
              <w:rPr>
                <w:sz w:val="18"/>
                <w:szCs w:val="18"/>
              </w:rPr>
              <w:t xml:space="preserve">6–12</w:t>
            </w:r>
          </w:p>
        </w:tc>
        <w:tc>
          <w:tcPr>
            <w:tcW w:type="dxa" w:w="3600"/>
          </w:tcPr>
          <w:p>
            <w:r>
              <w:rPr>
                <w:sz w:val="18"/>
                <w:szCs w:val="18"/>
              </w:rPr>
              <w:t xml:space="preserve">Desarrolladores</w:t>
            </w:r>
          </w:p>
        </w:tc>
      </w:tr>
      <w:tr>
        <w:trPr>
          <w:cantSplit/>
        </w:trPr>
        <w:tc>
          <w:tcPr>
            <w:tcW w:type="dxa" w:w="4500"/>
          </w:tcPr>
          <w:p>
            <w:r>
              <w:rPr>
                <w:sz w:val="18"/>
                <w:szCs w:val="18"/>
              </w:rPr>
              <w:t xml:space="preserve">Integración de la API (RF8)</w:t>
            </w:r>
          </w:p>
        </w:tc>
        <w:tc>
          <w:tcPr>
            <w:tcW w:type="dxa" w:w="900"/>
          </w:tcPr>
          <w:p>
            <w:r>
              <w:rPr>
                <w:sz w:val="18"/>
                <w:szCs w:val="18"/>
              </w:rPr>
              <w:t xml:space="preserve">11–13</w:t>
            </w:r>
          </w:p>
        </w:tc>
        <w:tc>
          <w:tcPr>
            <w:tcW w:type="dxa" w:w="3600"/>
          </w:tcPr>
          <w:p>
            <w:r>
              <w:rPr>
                <w:sz w:val="18"/>
                <w:szCs w:val="18"/>
              </w:rPr>
              <w:t xml:space="preserve">Desarrollador backend</w:t>
            </w:r>
          </w:p>
        </w:tc>
      </w:tr>
      <w:tr>
        <w:trPr>
          <w:cantSplit/>
        </w:trPr>
        <w:tc>
          <w:tcPr>
            <w:tcW w:type="dxa" w:w="4500"/>
          </w:tcPr>
          <w:p>
            <w:r>
              <w:rPr>
                <w:sz w:val="18"/>
                <w:szCs w:val="18"/>
              </w:rPr>
              <w:t xml:space="preserve">Pruebas y validación vs SRS</w:t>
            </w:r>
          </w:p>
        </w:tc>
        <w:tc>
          <w:tcPr>
            <w:tcW w:type="dxa" w:w="900"/>
          </w:tcPr>
          <w:p>
            <w:r>
              <w:rPr>
                <w:sz w:val="18"/>
                <w:szCs w:val="18"/>
              </w:rPr>
              <w:t xml:space="preserve">12–14</w:t>
            </w:r>
          </w:p>
        </w:tc>
        <w:tc>
          <w:tcPr>
            <w:tcW w:type="dxa" w:w="3600"/>
          </w:tcPr>
          <w:p>
            <w:r>
              <w:rPr>
                <w:sz w:val="18"/>
                <w:szCs w:val="18"/>
              </w:rPr>
              <w:t xml:space="preserve">QA</w:t>
            </w:r>
          </w:p>
        </w:tc>
      </w:tr>
      <w:tr>
        <w:trPr>
          <w:cantSplit/>
        </w:trPr>
        <w:tc>
          <w:tcPr>
            <w:tcW w:type="dxa" w:w="4500"/>
          </w:tcPr>
          <w:p>
            <w:r>
              <w:rPr>
                <w:sz w:val="18"/>
                <w:szCs w:val="18"/>
              </w:rPr>
              <w:t xml:space="preserve">Entrega y documentación final</w:t>
            </w:r>
          </w:p>
        </w:tc>
        <w:tc>
          <w:tcPr>
            <w:tcW w:type="dxa" w:w="900"/>
          </w:tcPr>
          <w:p>
            <w:r>
              <w:rPr>
                <w:sz w:val="18"/>
                <w:szCs w:val="18"/>
              </w:rPr>
              <w:t xml:space="preserve">14–16</w:t>
            </w:r>
          </w:p>
        </w:tc>
        <w:tc>
          <w:tcPr>
            <w:tcW w:type="dxa" w:w="3600"/>
          </w:tcPr>
          <w:p>
            <w:r>
              <w:rPr>
                <w:sz w:val="18"/>
                <w:szCs w:val="18"/>
              </w:rPr>
              <w:t xml:space="preserve">Equipo de proyecto</w:t>
            </w:r>
          </w:p>
        </w:tc>
      </w:tr>
    </w:tbl>
    <w:p>
      <w:pPr>
        <w:spacing w:after="100" w:before="250"/>
      </w:pPr>
      <w:r>
        <w:rPr>
          <w:b/>
          <w:bCs/>
          <w:color w:val="06283D"/>
          <w:sz w:val="22"/>
          <w:szCs w:val="22"/>
        </w:rPr>
        <w:t xml:space="preserve">6. Nota de versión y correlación con el SRS</w:t>
      </w:r>
    </w:p>
    <w:p>
      <w:pPr>
        <w:spacing w:after="90"/>
      </w:pPr>
      <w:r>
        <w:rPr>
          <w:sz w:val="20"/>
          <w:szCs w:val="20"/>
        </w:rPr>
        <w:t xml:space="preserve">Esta versión sustituye la referencia previa al motor MySQL por PostgreSQL, alineando el plan con el SRS. Se añade la fase de gestión de riesgos y de documentación/correlación para garantizar que cada entregable se derive de los requisitos del SRS y que la documentación del proyecto permanezca coherente entre sí.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ALMEXA (versión corregida)</dc:title>
  <dc:creator>Grupo ALMEXA - SENA CIES</dc:creator>
  <dc:description>Plan de trabajo corregido, alineado al SRS (PostgreSQL)</dc:description>
  <cp:lastModifiedBy>Un-named</cp:lastModifiedBy>
  <cp:revision>1</cp:revision>
  <dcterms:created xsi:type="dcterms:W3CDTF">2026-08-31T15:34:08.208Z</dcterms:created>
  <dcterms:modified xsi:type="dcterms:W3CDTF">2026-08-31T15:34:08.212Z</dcterms:modified>
</cp:coreProperties>
</file>

<file path=docProps/custom.xml><?xml version="1.0" encoding="utf-8"?>
<Properties xmlns="http://schemas.openxmlformats.org/officeDocument/2006/custom-properties" xmlns:vt="http://schemas.openxmlformats.org/officeDocument/2006/docPropsVTypes"/>
</file>