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6283D"/>
          <w:sz w:val="26"/>
          <w:szCs w:val="26"/>
        </w:rPr>
        <w:t xml:space="preserve">INFORME DE INGENIERÍA Y VALIDACIÓN DE REQUISITOS</w:t>
      </w:r>
    </w:p>
    <w:p>
      <w:pPr>
        <w:spacing w:after="40"/>
        <w:jc w:val="center"/>
      </w:pPr>
      <w:r>
        <w:t xml:space="preserve">Proyecto ALMEXA - Sistema de Gestión de Inventario y Bodega</w:t>
      </w:r>
    </w:p>
    <w:p>
      <w:pPr>
        <w:spacing w:after="80"/>
        <w:jc w:val="center"/>
      </w:pPr>
      <w:r>
        <w:t xml:space="preserve">VERSIÓN CORREGIDA — ALINEADA CON EL SRS (Kevin SRS-Sistema de Inventario)</w:t>
      </w:r>
    </w:p>
    <w:p>
      <w:pPr>
        <w:spacing w:after="60"/>
        <w:jc w:val="center"/>
      </w:pPr>
      <w:r>
        <w:t xml:space="preserve">Programa ADSO - Ficha 3407799 - CIES, SENA</w:t>
      </w:r>
    </w:p>
    <w:p>
      <w:pPr>
        <w:spacing w:after="200"/>
        <w:jc w:val="center"/>
      </w:pPr>
      <w:r>
        <w:t xml:space="preserve">Grupo 1: Juan José Narváez González · Beimar Alejandro Rocha Suarez · Kevin Santiago Vega Perez</w:t>
      </w:r>
    </w:p>
    <w:p>
      <w:pPr>
        <w:spacing w:after="100" w:before="250"/>
      </w:pPr>
      <w:r>
        <w:rPr>
          <w:b/>
          <w:bCs/>
          <w:color w:val="06283D"/>
          <w:sz w:val="22"/>
          <w:szCs w:val="22"/>
        </w:rPr>
        <w:t xml:space="preserve">1. Introducción</w:t>
      </w:r>
    </w:p>
    <w:p>
      <w:pPr>
        <w:spacing w:after="90"/>
      </w:pPr>
      <w:r>
        <w:rPr>
          <w:sz w:val="20"/>
          <w:szCs w:val="20"/>
        </w:rPr>
        <w:t xml:space="preserve">El presente informe documenta la ingeniería del sistema y la validación de los requisitos definidos en el SRS. Tal como se ejecutó en el proyecto, el desarrollo se enmarca en una arquitectura de software por capas, con PostgreSQL como motor de base de datos (decisión definitiva del SRS) y una validación sistemática de los ocho módulos funcionales (RF1–RF8) y de los requisitos no funcionales (RNF1–RNF7).</w:t>
      </w:r>
    </w:p>
    <w:p>
      <w:pPr>
        <w:spacing w:after="100" w:before="250"/>
      </w:pPr>
      <w:r>
        <w:rPr>
          <w:b/>
          <w:bCs/>
          <w:color w:val="06283D"/>
          <w:sz w:val="22"/>
          <w:szCs w:val="22"/>
        </w:rPr>
        <w:t xml:space="preserve">2. Metodología de validación</w:t>
      </w:r>
    </w:p>
    <w:p>
      <w:pPr>
        <w:pStyle w:val="ListParagraph"/>
        <w:numPr>
          <w:ilvl w:val="0"/>
          <w:numId w:val="1"/>
        </w:numPr>
        <w:spacing w:after="50"/>
      </w:pPr>
      <w:r>
        <w:rPr>
          <w:sz w:val="20"/>
          <w:szCs w:val="20"/>
        </w:rPr>
        <w:t xml:space="preserve">Trazabilidad requisito ↔ entregable: cada artículo (RF/RNF) se contrastó con los artefactos (casos de uso, diagramas de actividades, diagrama de dominio, prototipo).</w:t>
      </w:r>
    </w:p>
    <w:p>
      <w:pPr>
        <w:pStyle w:val="ListParagraph"/>
        <w:numPr>
          <w:ilvl w:val="0"/>
          <w:numId w:val="1"/>
        </w:numPr>
        <w:spacing w:after="50"/>
      </w:pPr>
      <w:r>
        <w:rPr>
          <w:sz w:val="20"/>
          <w:szCs w:val="20"/>
        </w:rPr>
        <w:t xml:space="preserve">Verificación de actores: se verificó que los actores de los diagramas coincidan con los roles formales (Administrador, Bodeguero, Técnico, Consultor).</w:t>
      </w:r>
    </w:p>
    <w:p>
      <w:pPr>
        <w:pStyle w:val="ListParagraph"/>
        <w:numPr>
          <w:ilvl w:val="0"/>
          <w:numId w:val="1"/>
        </w:numPr>
        <w:spacing w:after="50"/>
      </w:pPr>
      <w:r>
        <w:rPr>
          <w:sz w:val="20"/>
          <w:szCs w:val="20"/>
        </w:rPr>
        <w:t xml:space="preserve">Verificación de numeración: se alineó la numeración de los requisitos del módulo de inventario (ERF5.1–5.11).</w:t>
      </w:r>
    </w:p>
    <w:p>
      <w:pPr>
        <w:pStyle w:val="ListParagraph"/>
        <w:numPr>
          <w:ilvl w:val="0"/>
          <w:numId w:val="1"/>
        </w:numPr>
        <w:spacing w:after="50"/>
      </w:pPr>
      <w:r>
        <w:rPr>
          <w:sz w:val="20"/>
          <w:szCs w:val="20"/>
        </w:rPr>
        <w:t xml:space="preserve">Verificación de datos: se verificó el motor de base de datos (PostgreSQL) y los atributos del dominio.</w:t>
      </w:r>
    </w:p>
    <w:p>
      <w:pPr>
        <w:spacing w:after="100" w:before="250"/>
      </w:pPr>
      <w:r>
        <w:rPr>
          <w:b/>
          <w:bCs/>
          <w:color w:val="06283D"/>
          <w:sz w:val="22"/>
          <w:szCs w:val="22"/>
        </w:rPr>
        <w:t xml:space="preserve">3. Matriz de validación de requisitos funcionales (RF1–RF8)</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759"/>
        <w:gridCol w:w="744"/>
        <w:gridCol w:w="1353"/>
        <w:gridCol w:w="4444"/>
      </w:tblGrid>
      <w:tr>
        <w:trPr>
          <w:cantSplit/>
          <w:tblHeader/>
        </w:trPr>
        <w:tc>
          <w:tcPr>
            <w:shd w:fill="06283D" w:val="clear"/>
            <w:tcW w:type="dxa" w:w="700"/>
          </w:tcPr>
          <w:p>
            <w:r>
              <w:rPr>
                <w:b/>
                <w:bCs/>
                <w:color w:val="FFFFFF"/>
                <w:sz w:val="18"/>
                <w:szCs w:val="18"/>
              </w:rPr>
              <w:t xml:space="preserve">Módulo</w:t>
            </w:r>
          </w:p>
        </w:tc>
        <w:tc>
          <w:tcPr>
            <w:shd w:fill="06283D" w:val="clear"/>
            <w:tcW w:type="dxa" w:w="1759"/>
          </w:tcPr>
          <w:p>
            <w:r>
              <w:rPr>
                <w:b/>
                <w:bCs/>
                <w:color w:val="FFFFFF"/>
                <w:sz w:val="18"/>
                <w:szCs w:val="18"/>
              </w:rPr>
              <w:t xml:space="preserve">Descripción</w:t>
            </w:r>
          </w:p>
        </w:tc>
        <w:tc>
          <w:tcPr>
            <w:shd w:fill="06283D" w:val="clear"/>
            <w:tcW w:type="dxa" w:w="744"/>
          </w:tcPr>
          <w:p>
            <w:r>
              <w:rPr>
                <w:b/>
                <w:bCs/>
                <w:color w:val="FFFFFF"/>
                <w:sz w:val="18"/>
                <w:szCs w:val="18"/>
              </w:rPr>
              <w:t xml:space="preserve">ERF</w:t>
            </w:r>
          </w:p>
        </w:tc>
        <w:tc>
          <w:tcPr>
            <w:shd w:fill="06283D" w:val="clear"/>
            <w:tcW w:type="dxa" w:w="1353"/>
          </w:tcPr>
          <w:p>
            <w:r>
              <w:rPr>
                <w:b/>
                <w:bCs/>
                <w:color w:val="FFFFFF"/>
                <w:sz w:val="18"/>
                <w:szCs w:val="18"/>
              </w:rPr>
              <w:t xml:space="preserve">Estado de validación</w:t>
            </w:r>
          </w:p>
        </w:tc>
        <w:tc>
          <w:tcPr>
            <w:shd w:fill="06283D" w:val="clear"/>
            <w:tcW w:type="dxa" w:w="4444"/>
          </w:tcPr>
          <w:p>
            <w:r>
              <w:rPr>
                <w:b/>
                <w:bCs/>
                <w:color w:val="FFFFFF"/>
                <w:sz w:val="18"/>
                <w:szCs w:val="18"/>
              </w:rPr>
              <w:t xml:space="preserve">Evidencia</w:t>
            </w:r>
          </w:p>
        </w:tc>
      </w:tr>
      <w:tr>
        <w:trPr>
          <w:cantSplit/>
        </w:trPr>
        <w:tc>
          <w:tcPr>
            <w:tcW w:type="dxa" w:w="700"/>
          </w:tcPr>
          <w:p>
            <w:r>
              <w:rPr>
                <w:sz w:val="18"/>
                <w:szCs w:val="18"/>
              </w:rPr>
              <w:t xml:space="preserve">RF1</w:t>
            </w:r>
          </w:p>
        </w:tc>
        <w:tc>
          <w:tcPr>
            <w:tcW w:type="dxa" w:w="1759"/>
          </w:tcPr>
          <w:p>
            <w:r>
              <w:rPr>
                <w:sz w:val="18"/>
                <w:szCs w:val="18"/>
              </w:rPr>
              <w:t xml:space="preserve">Gestión de Usuarios</w:t>
            </w:r>
          </w:p>
        </w:tc>
        <w:tc>
          <w:tcPr>
            <w:tcW w:type="dxa" w:w="744"/>
          </w:tcPr>
          <w:p>
            <w:r>
              <w:rPr>
                <w:sz w:val="18"/>
                <w:szCs w:val="18"/>
              </w:rPr>
              <w:t xml:space="preserve">ERF1.1–1.6</w:t>
            </w:r>
          </w:p>
        </w:tc>
        <w:tc>
          <w:tcPr>
            <w:tcW w:type="dxa" w:w="1353"/>
          </w:tcPr>
          <w:p>
            <w:r>
              <w:rPr>
                <w:sz w:val="18"/>
                <w:szCs w:val="18"/>
              </w:rPr>
              <w:t xml:space="preserve">Validado</w:t>
            </w:r>
          </w:p>
        </w:tc>
        <w:tc>
          <w:tcPr>
            <w:tcW w:type="dxa" w:w="4444"/>
          </w:tcPr>
          <w:p>
            <w:r>
              <w:rPr>
                <w:sz w:val="18"/>
                <w:szCs w:val="18"/>
              </w:rPr>
              <w:t xml:space="preserve">CU-01, DA-01, prototipo</w:t>
            </w:r>
          </w:p>
        </w:tc>
      </w:tr>
      <w:tr>
        <w:trPr>
          <w:cantSplit/>
        </w:trPr>
        <w:tc>
          <w:tcPr>
            <w:tcW w:type="dxa" w:w="700"/>
          </w:tcPr>
          <w:p>
            <w:r>
              <w:rPr>
                <w:sz w:val="18"/>
                <w:szCs w:val="18"/>
              </w:rPr>
              <w:t xml:space="preserve">RF2</w:t>
            </w:r>
          </w:p>
        </w:tc>
        <w:tc>
          <w:tcPr>
            <w:tcW w:type="dxa" w:w="1759"/>
          </w:tcPr>
          <w:p>
            <w:r>
              <w:rPr>
                <w:sz w:val="18"/>
                <w:szCs w:val="18"/>
              </w:rPr>
              <w:t xml:space="preserve">Roles y Permisos</w:t>
            </w:r>
          </w:p>
        </w:tc>
        <w:tc>
          <w:tcPr>
            <w:tcW w:type="dxa" w:w="744"/>
          </w:tcPr>
          <w:p>
            <w:r>
              <w:rPr>
                <w:sz w:val="18"/>
                <w:szCs w:val="18"/>
              </w:rPr>
              <w:t xml:space="preserve">ERF2.1–2.4</w:t>
            </w:r>
          </w:p>
        </w:tc>
        <w:tc>
          <w:tcPr>
            <w:tcW w:type="dxa" w:w="1353"/>
          </w:tcPr>
          <w:p>
            <w:r>
              <w:rPr>
                <w:sz w:val="18"/>
                <w:szCs w:val="18"/>
              </w:rPr>
              <w:t xml:space="preserve">Validado</w:t>
            </w:r>
          </w:p>
        </w:tc>
        <w:tc>
          <w:tcPr>
            <w:tcW w:type="dxa" w:w="4444"/>
          </w:tcPr>
          <w:p>
            <w:r>
              <w:rPr>
                <w:sz w:val="18"/>
                <w:szCs w:val="18"/>
              </w:rPr>
              <w:t xml:space="preserve">CU-02, DA-02</w:t>
            </w:r>
          </w:p>
        </w:tc>
      </w:tr>
      <w:tr>
        <w:trPr>
          <w:cantSplit/>
        </w:trPr>
        <w:tc>
          <w:tcPr>
            <w:tcW w:type="dxa" w:w="700"/>
          </w:tcPr>
          <w:p>
            <w:r>
              <w:rPr>
                <w:sz w:val="18"/>
                <w:szCs w:val="18"/>
              </w:rPr>
              <w:t xml:space="preserve">RF3</w:t>
            </w:r>
          </w:p>
        </w:tc>
        <w:tc>
          <w:tcPr>
            <w:tcW w:type="dxa" w:w="1759"/>
          </w:tcPr>
          <w:p>
            <w:r>
              <w:rPr>
                <w:sz w:val="18"/>
                <w:szCs w:val="18"/>
              </w:rPr>
              <w:t xml:space="preserve">Proveedores</w:t>
            </w:r>
          </w:p>
        </w:tc>
        <w:tc>
          <w:tcPr>
            <w:tcW w:type="dxa" w:w="744"/>
          </w:tcPr>
          <w:p>
            <w:r>
              <w:rPr>
                <w:sz w:val="18"/>
                <w:szCs w:val="18"/>
              </w:rPr>
              <w:t xml:space="preserve">ERF3.1–3.5</w:t>
            </w:r>
          </w:p>
        </w:tc>
        <w:tc>
          <w:tcPr>
            <w:tcW w:type="dxa" w:w="1353"/>
          </w:tcPr>
          <w:p>
            <w:r>
              <w:rPr>
                <w:sz w:val="18"/>
                <w:szCs w:val="18"/>
              </w:rPr>
              <w:t xml:space="preserve">Validado</w:t>
            </w:r>
          </w:p>
        </w:tc>
        <w:tc>
          <w:tcPr>
            <w:tcW w:type="dxa" w:w="4444"/>
          </w:tcPr>
          <w:p>
            <w:r>
              <w:rPr>
                <w:sz w:val="18"/>
                <w:szCs w:val="18"/>
              </w:rPr>
              <w:t xml:space="preserve">CU-03, DA-03 (actor Administrador/Consultor)</w:t>
            </w:r>
          </w:p>
        </w:tc>
      </w:tr>
      <w:tr>
        <w:trPr>
          <w:cantSplit/>
        </w:trPr>
        <w:tc>
          <w:tcPr>
            <w:tcW w:type="dxa" w:w="700"/>
          </w:tcPr>
          <w:p>
            <w:r>
              <w:rPr>
                <w:sz w:val="18"/>
                <w:szCs w:val="18"/>
              </w:rPr>
              <w:t xml:space="preserve">RF4</w:t>
            </w:r>
          </w:p>
        </w:tc>
        <w:tc>
          <w:tcPr>
            <w:tcW w:type="dxa" w:w="1759"/>
          </w:tcPr>
          <w:p>
            <w:r>
              <w:rPr>
                <w:sz w:val="18"/>
                <w:szCs w:val="18"/>
              </w:rPr>
              <w:t xml:space="preserve">Rutas y Transporte</w:t>
            </w:r>
          </w:p>
        </w:tc>
        <w:tc>
          <w:tcPr>
            <w:tcW w:type="dxa" w:w="744"/>
          </w:tcPr>
          <w:p>
            <w:r>
              <w:rPr>
                <w:sz w:val="18"/>
                <w:szCs w:val="18"/>
              </w:rPr>
              <w:t xml:space="preserve">ERF4.1–4.6</w:t>
            </w:r>
          </w:p>
        </w:tc>
        <w:tc>
          <w:tcPr>
            <w:tcW w:type="dxa" w:w="1353"/>
          </w:tcPr>
          <w:p>
            <w:r>
              <w:rPr>
                <w:sz w:val="18"/>
                <w:szCs w:val="18"/>
              </w:rPr>
              <w:t xml:space="preserve">Validado</w:t>
            </w:r>
          </w:p>
        </w:tc>
        <w:tc>
          <w:tcPr>
            <w:tcW w:type="dxa" w:w="4444"/>
          </w:tcPr>
          <w:p>
            <w:r>
              <w:rPr>
                <w:sz w:val="18"/>
                <w:szCs w:val="18"/>
              </w:rPr>
              <w:t xml:space="preserve">CU-04 (incluye CU-04.4 modificar ruta), DA-04 (actor Técnico)</w:t>
            </w:r>
          </w:p>
        </w:tc>
      </w:tr>
      <w:tr>
        <w:trPr>
          <w:cantSplit/>
        </w:trPr>
        <w:tc>
          <w:tcPr>
            <w:tcW w:type="dxa" w:w="700"/>
          </w:tcPr>
          <w:p>
            <w:r>
              <w:rPr>
                <w:sz w:val="18"/>
                <w:szCs w:val="18"/>
              </w:rPr>
              <w:t xml:space="preserve">RF5</w:t>
            </w:r>
          </w:p>
        </w:tc>
        <w:tc>
          <w:tcPr>
            <w:tcW w:type="dxa" w:w="1759"/>
          </w:tcPr>
          <w:p>
            <w:r>
              <w:rPr>
                <w:sz w:val="18"/>
                <w:szCs w:val="18"/>
              </w:rPr>
              <w:t xml:space="preserve">Inventario y Productos</w:t>
            </w:r>
          </w:p>
        </w:tc>
        <w:tc>
          <w:tcPr>
            <w:tcW w:type="dxa" w:w="744"/>
          </w:tcPr>
          <w:p>
            <w:r>
              <w:rPr>
                <w:sz w:val="18"/>
                <w:szCs w:val="18"/>
              </w:rPr>
              <w:t xml:space="preserve">ERF5.1–5.11</w:t>
            </w:r>
          </w:p>
        </w:tc>
        <w:tc>
          <w:tcPr>
            <w:tcW w:type="dxa" w:w="1353"/>
          </w:tcPr>
          <w:p>
            <w:r>
              <w:rPr>
                <w:sz w:val="18"/>
                <w:szCs w:val="18"/>
              </w:rPr>
              <w:t xml:space="preserve">Validado</w:t>
            </w:r>
          </w:p>
        </w:tc>
        <w:tc>
          <w:tcPr>
            <w:tcW w:type="dxa" w:w="4444"/>
          </w:tcPr>
          <w:p>
            <w:r>
              <w:rPr>
                <w:sz w:val="18"/>
                <w:szCs w:val="18"/>
              </w:rPr>
              <w:t xml:space="preserve">CU-05 (ajuste manual ERF5.9 y panel ERF5.11), DA-05</w:t>
            </w:r>
          </w:p>
        </w:tc>
      </w:tr>
      <w:tr>
        <w:trPr>
          <w:cantSplit/>
        </w:trPr>
        <w:tc>
          <w:tcPr>
            <w:tcW w:type="dxa" w:w="700"/>
          </w:tcPr>
          <w:p>
            <w:r>
              <w:rPr>
                <w:sz w:val="18"/>
                <w:szCs w:val="18"/>
              </w:rPr>
              <w:t xml:space="preserve">RF6</w:t>
            </w:r>
          </w:p>
        </w:tc>
        <w:tc>
          <w:tcPr>
            <w:tcW w:type="dxa" w:w="1759"/>
          </w:tcPr>
          <w:p>
            <w:r>
              <w:rPr>
                <w:sz w:val="18"/>
                <w:szCs w:val="18"/>
              </w:rPr>
              <w:t xml:space="preserve">Espacios y Bodega</w:t>
            </w:r>
          </w:p>
        </w:tc>
        <w:tc>
          <w:tcPr>
            <w:tcW w:type="dxa" w:w="744"/>
          </w:tcPr>
          <w:p>
            <w:r>
              <w:rPr>
                <w:sz w:val="18"/>
                <w:szCs w:val="18"/>
              </w:rPr>
              <w:t xml:space="preserve">ERF6.1–6.6</w:t>
            </w:r>
          </w:p>
        </w:tc>
        <w:tc>
          <w:tcPr>
            <w:tcW w:type="dxa" w:w="1353"/>
          </w:tcPr>
          <w:p>
            <w:r>
              <w:rPr>
                <w:sz w:val="18"/>
                <w:szCs w:val="18"/>
              </w:rPr>
              <w:t xml:space="preserve">Validado</w:t>
            </w:r>
          </w:p>
        </w:tc>
        <w:tc>
          <w:tcPr>
            <w:tcW w:type="dxa" w:w="4444"/>
          </w:tcPr>
          <w:p>
            <w:r>
              <w:rPr>
                <w:sz w:val="18"/>
                <w:szCs w:val="18"/>
              </w:rPr>
              <w:t xml:space="preserve">CU-06, DA-06 (actor Bodeguero/Administrador)</w:t>
            </w:r>
          </w:p>
        </w:tc>
      </w:tr>
      <w:tr>
        <w:trPr>
          <w:cantSplit/>
        </w:trPr>
        <w:tc>
          <w:tcPr>
            <w:tcW w:type="dxa" w:w="700"/>
          </w:tcPr>
          <w:p>
            <w:r>
              <w:rPr>
                <w:sz w:val="18"/>
                <w:szCs w:val="18"/>
              </w:rPr>
              <w:t xml:space="preserve">RF7</w:t>
            </w:r>
          </w:p>
        </w:tc>
        <w:tc>
          <w:tcPr>
            <w:tcW w:type="dxa" w:w="1759"/>
          </w:tcPr>
          <w:p>
            <w:r>
              <w:rPr>
                <w:sz w:val="18"/>
                <w:szCs w:val="18"/>
              </w:rPr>
              <w:t xml:space="preserve">Reportes e Informes</w:t>
            </w:r>
          </w:p>
        </w:tc>
        <w:tc>
          <w:tcPr>
            <w:tcW w:type="dxa" w:w="744"/>
          </w:tcPr>
          <w:p>
            <w:r>
              <w:rPr>
                <w:sz w:val="18"/>
                <w:szCs w:val="18"/>
              </w:rPr>
              <w:t xml:space="preserve">ERF7.1–7.11</w:t>
            </w:r>
          </w:p>
        </w:tc>
        <w:tc>
          <w:tcPr>
            <w:tcW w:type="dxa" w:w="1353"/>
          </w:tcPr>
          <w:p>
            <w:r>
              <w:rPr>
                <w:sz w:val="18"/>
                <w:szCs w:val="18"/>
              </w:rPr>
              <w:t xml:space="preserve">Validado</w:t>
            </w:r>
          </w:p>
        </w:tc>
        <w:tc>
          <w:tcPr>
            <w:tcW w:type="dxa" w:w="4444"/>
          </w:tcPr>
          <w:p>
            <w:r>
              <w:rPr>
                <w:sz w:val="18"/>
                <w:szCs w:val="18"/>
              </w:rPr>
              <w:t xml:space="preserve">CU-07, DA-07 (Administrador y Consultor), exportar PDF/Excel (ERF7.10)</w:t>
            </w:r>
          </w:p>
        </w:tc>
      </w:tr>
      <w:tr>
        <w:trPr>
          <w:cantSplit/>
        </w:trPr>
        <w:tc>
          <w:tcPr>
            <w:tcW w:type="dxa" w:w="700"/>
          </w:tcPr>
          <w:p>
            <w:r>
              <w:rPr>
                <w:sz w:val="18"/>
                <w:szCs w:val="18"/>
              </w:rPr>
              <w:t xml:space="preserve">RF8</w:t>
            </w:r>
          </w:p>
        </w:tc>
        <w:tc>
          <w:tcPr>
            <w:tcW w:type="dxa" w:w="1759"/>
          </w:tcPr>
          <w:p>
            <w:r>
              <w:rPr>
                <w:sz w:val="18"/>
                <w:szCs w:val="18"/>
              </w:rPr>
              <w:t xml:space="preserve">API de Integración Externa</w:t>
            </w:r>
          </w:p>
        </w:tc>
        <w:tc>
          <w:tcPr>
            <w:tcW w:type="dxa" w:w="744"/>
          </w:tcPr>
          <w:p>
            <w:r>
              <w:rPr>
                <w:sz w:val="18"/>
                <w:szCs w:val="18"/>
              </w:rPr>
              <w:t xml:space="preserve">ERF8.1–8.4</w:t>
            </w:r>
          </w:p>
        </w:tc>
        <w:tc>
          <w:tcPr>
            <w:tcW w:type="dxa" w:w="1353"/>
          </w:tcPr>
          <w:p>
            <w:r>
              <w:rPr>
                <w:sz w:val="18"/>
                <w:szCs w:val="18"/>
              </w:rPr>
              <w:t xml:space="preserve">Validado</w:t>
            </w:r>
          </w:p>
        </w:tc>
        <w:tc>
          <w:tcPr>
            <w:tcW w:type="dxa" w:w="4444"/>
          </w:tcPr>
          <w:p>
            <w:r>
              <w:rPr>
                <w:sz w:val="18"/>
                <w:szCs w:val="18"/>
              </w:rPr>
              <w:t xml:space="preserve">CU-08, DA-08, OpenAPI</w:t>
            </w:r>
          </w:p>
        </w:tc>
      </w:tr>
    </w:tbl>
    <w:p>
      <w:pPr>
        <w:spacing w:after="100" w:before="250"/>
      </w:pPr>
      <w:r>
        <w:rPr>
          <w:b/>
          <w:bCs/>
          <w:color w:val="06283D"/>
          <w:sz w:val="22"/>
          <w:szCs w:val="22"/>
        </w:rPr>
        <w:t xml:space="preserve">4. Matriz de validación de requisitos no funcionales (RNF1–RNF7)</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906"/>
        <w:gridCol w:w="700"/>
        <w:gridCol w:w="6694"/>
      </w:tblGrid>
      <w:tr>
        <w:trPr>
          <w:cantSplit/>
          <w:tblHeader/>
        </w:trPr>
        <w:tc>
          <w:tcPr>
            <w:shd w:fill="06283D" w:val="clear"/>
            <w:tcW w:type="dxa" w:w="700"/>
          </w:tcPr>
          <w:p>
            <w:r>
              <w:rPr>
                <w:b/>
                <w:bCs/>
                <w:color w:val="FFFFFF"/>
                <w:sz w:val="18"/>
                <w:szCs w:val="18"/>
              </w:rPr>
              <w:t xml:space="preserve">RNF</w:t>
            </w:r>
          </w:p>
        </w:tc>
        <w:tc>
          <w:tcPr>
            <w:shd w:fill="06283D" w:val="clear"/>
            <w:tcW w:type="dxa" w:w="906"/>
          </w:tcPr>
          <w:p>
            <w:r>
              <w:rPr>
                <w:b/>
                <w:bCs/>
                <w:color w:val="FFFFFF"/>
                <w:sz w:val="18"/>
                <w:szCs w:val="18"/>
              </w:rPr>
              <w:t xml:space="preserve">Categoría</w:t>
            </w:r>
          </w:p>
        </w:tc>
        <w:tc>
          <w:tcPr>
            <w:shd w:fill="06283D" w:val="clear"/>
            <w:tcW w:type="dxa" w:w="700"/>
          </w:tcPr>
          <w:p>
            <w:r>
              <w:rPr>
                <w:b/>
                <w:bCs/>
                <w:color w:val="FFFFFF"/>
                <w:sz w:val="18"/>
                <w:szCs w:val="18"/>
              </w:rPr>
              <w:t xml:space="preserve">Estado</w:t>
            </w:r>
          </w:p>
        </w:tc>
        <w:tc>
          <w:tcPr>
            <w:shd w:fill="06283D" w:val="clear"/>
            <w:tcW w:type="dxa" w:w="6694"/>
          </w:tcPr>
          <w:p>
            <w:r>
              <w:rPr>
                <w:b/>
                <w:bCs/>
                <w:color w:val="FFFFFF"/>
                <w:sz w:val="18"/>
                <w:szCs w:val="18"/>
              </w:rPr>
              <w:t xml:space="preserve">Observación</w:t>
            </w:r>
          </w:p>
        </w:tc>
      </w:tr>
      <w:tr>
        <w:trPr>
          <w:cantSplit/>
        </w:trPr>
        <w:tc>
          <w:tcPr>
            <w:tcW w:type="dxa" w:w="700"/>
          </w:tcPr>
          <w:p>
            <w:r>
              <w:rPr>
                <w:sz w:val="18"/>
                <w:szCs w:val="18"/>
              </w:rPr>
              <w:t xml:space="preserve">RNF1</w:t>
            </w:r>
          </w:p>
        </w:tc>
        <w:tc>
          <w:tcPr>
            <w:tcW w:type="dxa" w:w="906"/>
          </w:tcPr>
          <w:p>
            <w:r>
              <w:rPr>
                <w:sz w:val="18"/>
                <w:szCs w:val="18"/>
              </w:rPr>
              <w:t xml:space="preserve">Usabilidad</w:t>
            </w:r>
          </w:p>
        </w:tc>
        <w:tc>
          <w:tcPr>
            <w:tcW w:type="dxa" w:w="700"/>
          </w:tcPr>
          <w:p>
            <w:r>
              <w:rPr>
                <w:sz w:val="18"/>
                <w:szCs w:val="18"/>
              </w:rPr>
              <w:t xml:space="preserve">Parcial</w:t>
            </w:r>
          </w:p>
        </w:tc>
        <w:tc>
          <w:tcPr>
            <w:tcW w:type="dxa" w:w="6694"/>
          </w:tcPr>
          <w:p>
            <w:r>
              <w:rPr>
                <w:sz w:val="18"/>
                <w:szCs w:val="18"/>
              </w:rPr>
              <w:t xml:space="preserve">Interfaz limpia (ERNF1.1) y navegación en 2 clics (ERNF1.2); pendiente prueba ERNF1.3 (3 min) con usuarios reales.</w:t>
            </w:r>
          </w:p>
        </w:tc>
      </w:tr>
      <w:tr>
        <w:trPr>
          <w:cantSplit/>
        </w:trPr>
        <w:tc>
          <w:tcPr>
            <w:tcW w:type="dxa" w:w="700"/>
          </w:tcPr>
          <w:p>
            <w:r>
              <w:rPr>
                <w:sz w:val="18"/>
                <w:szCs w:val="18"/>
              </w:rPr>
              <w:t xml:space="preserve">RNF2</w:t>
            </w:r>
          </w:p>
        </w:tc>
        <w:tc>
          <w:tcPr>
            <w:tcW w:type="dxa" w:w="906"/>
          </w:tcPr>
          <w:p>
            <w:r>
              <w:rPr>
                <w:sz w:val="18"/>
                <w:szCs w:val="18"/>
              </w:rPr>
              <w:t xml:space="preserve">Compatibilidad</w:t>
            </w:r>
          </w:p>
        </w:tc>
        <w:tc>
          <w:tcPr>
            <w:tcW w:type="dxa" w:w="700"/>
          </w:tcPr>
          <w:p>
            <w:r>
              <w:rPr>
                <w:sz w:val="18"/>
                <w:szCs w:val="18"/>
              </w:rPr>
              <w:t xml:space="preserve">Parcial</w:t>
            </w:r>
          </w:p>
        </w:tc>
        <w:tc>
          <w:tcPr>
            <w:tcW w:type="dxa" w:w="6694"/>
          </w:tcPr>
          <w:p>
            <w:r>
              <w:rPr>
                <w:sz w:val="18"/>
                <w:szCs w:val="18"/>
              </w:rPr>
              <w:t xml:space="preserve">Diseño responsivo (RNF2.1); validación en navegadores pendiente de pruebas finales.</w:t>
            </w:r>
          </w:p>
        </w:tc>
      </w:tr>
      <w:tr>
        <w:trPr>
          <w:cantSplit/>
        </w:trPr>
        <w:tc>
          <w:tcPr>
            <w:tcW w:type="dxa" w:w="700"/>
          </w:tcPr>
          <w:p>
            <w:r>
              <w:rPr>
                <w:sz w:val="18"/>
                <w:szCs w:val="18"/>
              </w:rPr>
              <w:t xml:space="preserve">RNF3</w:t>
            </w:r>
          </w:p>
        </w:tc>
        <w:tc>
          <w:tcPr>
            <w:tcW w:type="dxa" w:w="906"/>
          </w:tcPr>
          <w:p>
            <w:r>
              <w:rPr>
                <w:sz w:val="18"/>
                <w:szCs w:val="18"/>
              </w:rPr>
              <w:t xml:space="preserve">Rendimiento</w:t>
            </w:r>
          </w:p>
        </w:tc>
        <w:tc>
          <w:tcPr>
            <w:tcW w:type="dxa" w:w="700"/>
          </w:tcPr>
          <w:p>
            <w:r>
              <w:rPr>
                <w:sz w:val="18"/>
                <w:szCs w:val="18"/>
              </w:rPr>
              <w:t xml:space="preserve">Parcial</w:t>
            </w:r>
          </w:p>
        </w:tc>
        <w:tc>
          <w:tcPr>
            <w:tcW w:type="dxa" w:w="6694"/>
          </w:tcPr>
          <w:p>
            <w:r>
              <w:rPr>
                <w:sz w:val="18"/>
                <w:szCs w:val="18"/>
              </w:rPr>
              <w:t xml:space="preserve">Objetivo: CRUD &lt;1s y búsquedas &lt;2s con 50.000 registros; pendiente prueba de carga (riesgo T1).</w:t>
            </w:r>
          </w:p>
        </w:tc>
      </w:tr>
      <w:tr>
        <w:trPr>
          <w:cantSplit/>
        </w:trPr>
        <w:tc>
          <w:tcPr>
            <w:tcW w:type="dxa" w:w="700"/>
          </w:tcPr>
          <w:p>
            <w:r>
              <w:rPr>
                <w:sz w:val="18"/>
                <w:szCs w:val="18"/>
              </w:rPr>
              <w:t xml:space="preserve">RNF4</w:t>
            </w:r>
          </w:p>
        </w:tc>
        <w:tc>
          <w:tcPr>
            <w:tcW w:type="dxa" w:w="906"/>
          </w:tcPr>
          <w:p>
            <w:r>
              <w:rPr>
                <w:sz w:val="18"/>
                <w:szCs w:val="18"/>
              </w:rPr>
              <w:t xml:space="preserve">Confiabilidad</w:t>
            </w:r>
          </w:p>
        </w:tc>
        <w:tc>
          <w:tcPr>
            <w:tcW w:type="dxa" w:w="700"/>
          </w:tcPr>
          <w:p>
            <w:r>
              <w:rPr>
                <w:sz w:val="18"/>
                <w:szCs w:val="18"/>
              </w:rPr>
              <w:t xml:space="preserve">Parcial</w:t>
            </w:r>
          </w:p>
        </w:tc>
        <w:tc>
          <w:tcPr>
            <w:tcW w:type="dxa" w:w="6694"/>
          </w:tcPr>
          <w:p>
            <w:r>
              <w:rPr>
                <w:sz w:val="18"/>
                <w:szCs w:val="18"/>
              </w:rPr>
              <w:t xml:space="preserve">Transacciones y ajustes registrados; pendiente prueba de resiliencia.</w:t>
            </w:r>
          </w:p>
        </w:tc>
      </w:tr>
      <w:tr>
        <w:trPr>
          <w:cantSplit/>
        </w:trPr>
        <w:tc>
          <w:tcPr>
            <w:tcW w:type="dxa" w:w="700"/>
          </w:tcPr>
          <w:p>
            <w:r>
              <w:rPr>
                <w:sz w:val="18"/>
                <w:szCs w:val="18"/>
              </w:rPr>
              <w:t xml:space="preserve">RNF5</w:t>
            </w:r>
          </w:p>
        </w:tc>
        <w:tc>
          <w:tcPr>
            <w:tcW w:type="dxa" w:w="906"/>
          </w:tcPr>
          <w:p>
            <w:r>
              <w:rPr>
                <w:sz w:val="18"/>
                <w:szCs w:val="18"/>
              </w:rPr>
              <w:t xml:space="preserve">Seguridad</w:t>
            </w:r>
          </w:p>
        </w:tc>
        <w:tc>
          <w:tcPr>
            <w:tcW w:type="dxa" w:w="700"/>
          </w:tcPr>
          <w:p>
            <w:r>
              <w:rPr>
                <w:sz w:val="18"/>
                <w:szCs w:val="18"/>
              </w:rPr>
              <w:t xml:space="preserve">Parcial</w:t>
            </w:r>
          </w:p>
        </w:tc>
        <w:tc>
          <w:tcPr>
            <w:tcW w:type="dxa" w:w="6694"/>
          </w:tcPr>
          <w:p>
            <w:r>
              <w:rPr>
                <w:sz w:val="18"/>
                <w:szCs w:val="18"/>
              </w:rPr>
              <w:t xml:space="preserve">Hash de contraseñas (ERNF5.2), control por rol, token API y bitácora (ERF2.4); pendiente auditoría de seguridad.</w:t>
            </w:r>
          </w:p>
        </w:tc>
      </w:tr>
      <w:tr>
        <w:trPr>
          <w:cantSplit/>
        </w:trPr>
        <w:tc>
          <w:tcPr>
            <w:tcW w:type="dxa" w:w="700"/>
          </w:tcPr>
          <w:p>
            <w:r>
              <w:rPr>
                <w:sz w:val="18"/>
                <w:szCs w:val="18"/>
              </w:rPr>
              <w:t xml:space="preserve">RNF6</w:t>
            </w:r>
          </w:p>
        </w:tc>
        <w:tc>
          <w:tcPr>
            <w:tcW w:type="dxa" w:w="906"/>
          </w:tcPr>
          <w:p>
            <w:r>
              <w:rPr>
                <w:sz w:val="18"/>
                <w:szCs w:val="18"/>
              </w:rPr>
              <w:t xml:space="preserve">Escalabilidad</w:t>
            </w:r>
          </w:p>
        </w:tc>
        <w:tc>
          <w:tcPr>
            <w:tcW w:type="dxa" w:w="700"/>
          </w:tcPr>
          <w:p>
            <w:r>
              <w:rPr>
                <w:sz w:val="18"/>
                <w:szCs w:val="18"/>
              </w:rPr>
              <w:t xml:space="preserve">Parcial</w:t>
            </w:r>
          </w:p>
        </w:tc>
        <w:tc>
          <w:tcPr>
            <w:tcW w:type="dxa" w:w="6694"/>
          </w:tcPr>
          <w:p>
            <w:r>
              <w:rPr>
                <w:sz w:val="18"/>
                <w:szCs w:val="18"/>
              </w:rPr>
              <w:t xml:space="preserve">Arquitectura por capas y API desacoplada (RF8).</w:t>
            </w:r>
          </w:p>
        </w:tc>
      </w:tr>
      <w:tr>
        <w:trPr>
          <w:cantSplit/>
        </w:trPr>
        <w:tc>
          <w:tcPr>
            <w:tcW w:type="dxa" w:w="700"/>
          </w:tcPr>
          <w:p>
            <w:r>
              <w:rPr>
                <w:sz w:val="18"/>
                <w:szCs w:val="18"/>
              </w:rPr>
              <w:t xml:space="preserve">RNF7</w:t>
            </w:r>
          </w:p>
        </w:tc>
        <w:tc>
          <w:tcPr>
            <w:tcW w:type="dxa" w:w="906"/>
          </w:tcPr>
          <w:p>
            <w:r>
              <w:rPr>
                <w:sz w:val="18"/>
                <w:szCs w:val="18"/>
              </w:rPr>
              <w:t xml:space="preserve">Mantenibilidad</w:t>
            </w:r>
          </w:p>
        </w:tc>
        <w:tc>
          <w:tcPr>
            <w:tcW w:type="dxa" w:w="700"/>
          </w:tcPr>
          <w:p>
            <w:r>
              <w:rPr>
                <w:sz w:val="18"/>
                <w:szCs w:val="18"/>
              </w:rPr>
              <w:t xml:space="preserve">Parcial</w:t>
            </w:r>
          </w:p>
        </w:tc>
        <w:tc>
          <w:tcPr>
            <w:tcW w:type="dxa" w:w="6694"/>
          </w:tcPr>
          <w:p>
            <w:r>
              <w:rPr>
                <w:sz w:val="18"/>
                <w:szCs w:val="18"/>
              </w:rPr>
              <w:t xml:space="preserve">Arquitectura por capas y documentación técnica; pendiente README final.</w:t>
            </w:r>
          </w:p>
        </w:tc>
      </w:tr>
    </w:tbl>
    <w:p>
      <w:pPr>
        <w:spacing w:after="100" w:before="250"/>
      </w:pPr>
      <w:r>
        <w:rPr>
          <w:b/>
          <w:bCs/>
          <w:color w:val="06283D"/>
          <w:sz w:val="22"/>
          <w:szCs w:val="22"/>
        </w:rPr>
        <w:t xml:space="preserve">5. Correcciones aplicadas en esta versión</w:t>
      </w:r>
    </w:p>
    <w:p>
      <w:pPr>
        <w:pStyle w:val="ListParagraph"/>
        <w:numPr>
          <w:ilvl w:val="0"/>
          <w:numId w:val="1"/>
        </w:numPr>
        <w:spacing w:after="50"/>
      </w:pPr>
      <w:r>
        <w:rPr>
          <w:sz w:val="20"/>
          <w:szCs w:val="20"/>
        </w:rPr>
        <w:t xml:space="preserve">Se sustituyó la referencia al motor MySQL por PostgreSQL, motor de base de datos definitivo del SRS.</w:t>
      </w:r>
    </w:p>
    <w:p>
      <w:pPr>
        <w:pStyle w:val="ListParagraph"/>
        <w:numPr>
          <w:ilvl w:val="0"/>
          <w:numId w:val="1"/>
        </w:numPr>
        <w:spacing w:after="50"/>
      </w:pPr>
      <w:r>
        <w:rPr>
          <w:sz w:val="20"/>
          <w:szCs w:val="20"/>
        </w:rPr>
        <w:t xml:space="preserve">Los actores se alinearon a los roles formales (Administrador, Bodeguero, Técnico, Consultor y Sistema Externo), eliminando cargos improcedentes (Encargado de Compras/Logística/Bodega).</w:t>
      </w:r>
    </w:p>
    <w:p>
      <w:pPr>
        <w:pStyle w:val="ListParagraph"/>
        <w:numPr>
          <w:ilvl w:val="0"/>
          <w:numId w:val="1"/>
        </w:numPr>
        <w:spacing w:after="50"/>
      </w:pPr>
      <w:r>
        <w:rPr>
          <w:sz w:val="20"/>
          <w:szCs w:val="20"/>
        </w:rPr>
        <w:t xml:space="preserve">CU-04.4 se corrigió (etiqueta dañada en el.drawio) a 'Modificar Ruta', y se renumeraron CU-05.10 (actualizar stock en tiempo real) y CU-05.11 (panel de estado).</w:t>
      </w:r>
    </w:p>
    <w:p>
      <w:pPr>
        <w:pStyle w:val="ListParagraph"/>
        <w:numPr>
          <w:ilvl w:val="0"/>
          <w:numId w:val="1"/>
        </w:numPr>
        <w:spacing w:after="50"/>
      </w:pPr>
      <w:r>
        <w:rPr>
          <w:sz w:val="20"/>
          <w:szCs w:val="20"/>
        </w:rPr>
        <w:t xml:space="preserve">Se eliminó del alcance del SRS el requisito ERF2.5 (materiales favoritos), y sus referencias se retiraron (RF2 queda con ERF2.1–ERF2.4).</w:t>
      </w:r>
    </w:p>
    <w:p>
      <w:pPr>
        <w:pStyle w:val="ListParagraph"/>
        <w:numPr>
          <w:ilvl w:val="0"/>
          <w:numId w:val="1"/>
        </w:numPr>
        <w:spacing w:after="50"/>
      </w:pPr>
      <w:r>
        <w:rPr>
          <w:sz w:val="20"/>
          <w:szCs w:val="20"/>
        </w:rPr>
        <w:t xml:space="preserve">Se añadió ERF5.9 (ajuste manual de inventario) en RF5.</w:t>
      </w:r>
    </w:p>
    <w:p>
      <w:pPr>
        <w:pStyle w:val="ListParagraph"/>
        <w:numPr>
          <w:ilvl w:val="0"/>
          <w:numId w:val="1"/>
        </w:numPr>
        <w:spacing w:after="50"/>
      </w:pPr>
      <w:r>
        <w:rPr>
          <w:sz w:val="20"/>
          <w:szCs w:val="20"/>
        </w:rPr>
        <w:t xml:space="preserve">Se añadieron los atributos de dominio descripción, precio (Producto) y justificación del ajuste (MovimientoInventario).</w:t>
      </w:r>
    </w:p>
    <w:p>
      <w:pPr>
        <w:spacing w:after="100" w:before="250"/>
      </w:pPr>
      <w:r>
        <w:rPr>
          <w:b/>
          <w:bCs/>
          <w:color w:val="06283D"/>
          <w:sz w:val="22"/>
          <w:szCs w:val="22"/>
        </w:rPr>
        <w:t xml:space="preserve">6. Conclusiones</w:t>
      </w:r>
    </w:p>
    <w:p>
      <w:pPr>
        <w:spacing w:after="90"/>
      </w:pPr>
      <w:r>
        <w:rPr>
          <w:sz w:val="20"/>
          <w:szCs w:val="20"/>
        </w:rPr>
        <w:t xml:space="preserve">La validación confirma la coherencia entre los artefactos y el SRS tras la aplicación de las correcciones documentales. El sistema cumple estructural y funcionalmente con los ocho módulos definidos. Quedan pendientes las validaciones empíricas de los requisitos medibles (RNF1, RNF2, RNF3, RNF5) mediante pruebas de usuario y de carga al completarse la implementación en el prototipo.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Ingeniería y Validación de Requisitos ALMEXA (versión corregida)</dc:title>
  <dc:creator>Grupo 1 ALMEXA - SENA CIES</dc:creator>
  <dc:description>Versión corregida del informe de ingeniería y validación, alineada al SRS</dc:description>
  <cp:lastModifiedBy>Un-named</cp:lastModifiedBy>
  <cp:revision>1</cp:revision>
  <dcterms:created xsi:type="dcterms:W3CDTF">2026-08-31T16:15:13.640Z</dcterms:created>
  <dcterms:modified xsi:type="dcterms:W3CDTF">2026-08-31T16:15:13.647Z</dcterms:modified>
</cp:coreProperties>
</file>

<file path=docProps/custom.xml><?xml version="1.0" encoding="utf-8"?>
<Properties xmlns="http://schemas.openxmlformats.org/officeDocument/2006/custom-properties" xmlns:vt="http://schemas.openxmlformats.org/officeDocument/2006/docPropsVTypes"/>
</file>