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jc w:val="center"/>
      </w:pPr>
      <w:r>
        <w:rPr>
          <w:rFonts w:ascii="Arial" w:hAnsi="Arial"/>
          <w:b/>
          <w:sz w:val="26"/>
        </w:rPr>
        <w:t>CORPORACIÓN UNIVERSITARIA MINUTO DE DIOS</w:t>
      </w:r>
    </w:p>
    <w:p>
      <w:pPr>
        <w:spacing w:after="160"/>
        <w:jc w:val="center"/>
      </w:pPr>
      <w:r>
        <w:rPr>
          <w:rFonts w:ascii="Arial" w:hAnsi="Arial"/>
          <w:sz w:val="22"/>
        </w:rPr>
        <w:t>Ingeniería de Sistemas</w:t>
      </w:r>
    </w:p>
    <w:p>
      <w:pPr>
        <w:spacing w:after="680"/>
        <w:jc w:val="center"/>
      </w:pPr>
      <w:r>
        <w:rPr>
          <w:rFonts w:ascii="Arial" w:hAnsi="Arial"/>
          <w:sz w:val="22"/>
        </w:rPr>
        <w:t>Semillero de Investigación Sophia</w:t>
      </w:r>
    </w:p>
    <w:p>
      <w:pPr>
        <w:pStyle w:val="Title"/>
        <w:jc w:val="center"/>
      </w:pPr>
      <w:r>
        <w:t>Desarrollo y evaluación de una arquitectura híbrida basada en XGBoost y modelos de lenguaje para apoyar decisiones de trading y gestión de riesgo en mercados volátiles</w:t>
      </w:r>
    </w:p>
    <w:p>
      <w:pPr>
        <w:spacing w:after="560"/>
        <w:jc w:val="center"/>
      </w:pPr>
      <w:r>
        <w:rPr>
          <w:rFonts w:ascii="Arial" w:hAnsi="Arial"/>
          <w:b/>
          <w:sz w:val="24"/>
        </w:rPr>
        <w:t>Propuesta de investigación reformulada</w:t>
      </w:r>
    </w:p>
    <w:p>
      <w:pPr>
        <w:spacing w:after="200"/>
        <w:jc w:val="center"/>
      </w:pPr>
      <w:r>
        <w:rPr>
          <w:rFonts w:ascii="Arial" w:hAnsi="Arial"/>
          <w:sz w:val="22"/>
        </w:rPr>
        <w:t>Dorian Joseph Esguerra Perilla</w:t>
        <w:br/>
        <w:t>Código estudiantil 831244</w:t>
      </w:r>
    </w:p>
    <w:p>
      <w:pPr>
        <w:spacing w:after="200"/>
        <w:jc w:val="center"/>
      </w:pPr>
      <w:r>
        <w:rPr>
          <w:rFonts w:ascii="Arial" w:hAnsi="Arial"/>
          <w:sz w:val="22"/>
        </w:rPr>
        <w:t>Kevin Daniel Arango Algarra</w:t>
        <w:br/>
        <w:t>Código estudiantil 751148</w:t>
      </w:r>
    </w:p>
    <w:p>
      <w:pPr>
        <w:spacing w:after="200"/>
        <w:jc w:val="center"/>
      </w:pPr>
      <w:r>
        <w:rPr>
          <w:rFonts w:ascii="Arial" w:hAnsi="Arial"/>
          <w:sz w:val="22"/>
        </w:rPr>
        <w:t>Director Carlos Armando López Solano MSc</w:t>
      </w:r>
    </w:p>
    <w:p>
      <w:pPr>
        <w:spacing w:before="520"/>
        <w:jc w:val="center"/>
      </w:pPr>
      <w:r>
        <w:t>Bogotá 2026</w:t>
      </w:r>
    </w:p>
    <w:p>
      <w:r>
        <w:br w:type="page"/>
      </w:r>
    </w:p>
    <w:p>
      <w:pPr>
        <w:pStyle w:val="Heading1"/>
        <w:keepNext/>
      </w:pPr>
      <w:r>
        <w:t>Identificación de la propuesta</w:t>
      </w:r>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237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Campo</w:t>
            </w:r>
          </w:p>
        </w:tc>
        <w:tc>
          <w:tcPr>
            <w:tcW w:type="dxa" w:w="684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Información</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Programa</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Ingeniería de Sistemas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Área</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Inteligencia artificial y ciencia de datos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Línea</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Innovaciones sociales y productivas</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Proponentes</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Dorian Joseph Esguerra Perilla y Kevin Daniel Arango Algarra</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Director</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Carlos Armando López Solano MSc</w:t>
            </w:r>
          </w:p>
        </w:tc>
      </w:tr>
      <w:tr>
        <w:tc>
          <w:tcPr>
            <w:tcW w:type="dxa" w:w="237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Producto principal</w:t>
            </w:r>
          </w:p>
        </w:tc>
        <w:tc>
          <w:tcPr>
            <w:tcW w:type="dxa" w:w="684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Prototipo experimental reproducible y evaluación comparativa</w:t>
            </w:r>
          </w:p>
        </w:tc>
      </w:tr>
    </w:tbl>
    <w:p>
      <w:pPr>
        <w:spacing w:after="40"/>
      </w:pPr>
    </w:p>
    <w:p>
      <w:pPr>
        <w:pStyle w:val="Heading1"/>
        <w:keepNext/>
      </w:pPr>
      <w:r>
        <w:t>Resumen de la propuesta</w:t>
      </w:r>
    </w:p>
    <w:p>
      <w:pPr>
        <w:ind w:firstLine="369"/>
        <w:jc w:val="both"/>
      </w:pPr>
      <w:r>
        <w:t>Esta investigación propone desarrollar y evaluar una arquitectura híbrida para apoyar decisiones de trading en mercados volátiles. El sistema combinará un modelo XGBoost entrenado con datos históricos de mercado, un componente de análisis de sentimiento aplicado a titulares financieros y un módulo determinista de gestión de riesgo. La investigación no parte de una tasa de acierto esperada ni busca demostrar rentabilidad garantizada. Su propósito es medir, mediante un protocolo reproducible, si cada componente agrega valor frente a líneas base sencillas y frente al modelo exclusivamente cuantitativo.</w:t>
      </w:r>
    </w:p>
    <w:p>
      <w:pPr>
        <w:ind w:firstLine="369"/>
        <w:jc w:val="both"/>
      </w:pPr>
      <w:r>
        <w:t>La evaluación utilizará separación temporal, validación walk-forward y backtesting con costos de transacción y slippage. Se reportarán métricas de clasificación, calibración probabilística y desempeño financiero. El resultado será un prototipo orientado a investigación y simulación. La ejecución con dinero real, la conexión con brokers y la detección de información no pública quedan fuera del alcance.</w:t>
      </w:r>
    </w:p>
    <w:p>
      <w:pPr>
        <w:pStyle w:val="Heading1"/>
        <w:keepNext/>
      </w:pPr>
      <w:r>
        <w:t>Antecedentes y justificación</w:t>
      </w:r>
    </w:p>
    <w:p>
      <w:pPr>
        <w:ind w:firstLine="369"/>
        <w:jc w:val="both"/>
      </w:pPr>
      <w:r>
        <w:t>Los inversores minoristas toman decisiones en entornos con alta incertidumbre, cambios de régimen y abundancia de información. Los modelos de aprendizaje automático pueden capturar relaciones no lineales entre variables de mercado, pero su utilidad depende de una evaluación fuera de muestra y de controles contra el sobreajuste. XGBoost ofrece un enfoque adecuado para construir una línea base cuantitativa porque combina árboles de decisión, regularización y capacidad para representar interacciones no lineales.</w:t>
      </w:r>
    </w:p>
    <w:p>
      <w:pPr>
        <w:ind w:firstLine="369"/>
        <w:jc w:val="both"/>
      </w:pPr>
      <w:r>
        <w:t>Las noticias financieras contienen información contextual que no siempre está representada en las series OHLCV. Los modelos de lenguaje permiten transformar titulares en variables de sentimiento; sin embargo, sus resultados deben tratarse como evidencia auxiliar y no como una probabilidad de éxito. La investigación evaluará el aporte incremental del sentimiento mediante experimentos de ablación, en vez de asumir que su incorporación mejora el desempeño.</w:t>
      </w:r>
    </w:p>
    <w:p>
      <w:pPr>
        <w:ind w:firstLine="369"/>
        <w:jc w:val="both"/>
      </w:pPr>
      <w:r>
        <w:t>La contribución práctica consiste en integrar datos, modelo, contexto textual y gestión de riesgo dentro de un flujo auditable. La contribución académica consiste en comparar configuraciones controladas bajo el mismo conjunto de datos, horizonte y costos, con énfasis en reproducibilidad y análisis de limitaciones.</w:t>
      </w:r>
    </w:p>
    <w:p>
      <w:pPr>
        <w:pStyle w:val="Heading1"/>
        <w:keepNext/>
      </w:pPr>
      <w:r>
        <w:t>Planteamiento del problema</w:t>
      </w:r>
    </w:p>
    <w:p>
      <w:pPr>
        <w:ind w:firstLine="369"/>
        <w:jc w:val="both"/>
      </w:pPr>
      <w:r>
        <w:t>Una señal predictiva puede presentar precisión aceptable y aun así producir una estrategia poco rentable por efecto de costos, desbalance de clases, probabilidades mal calibradas o pérdidas concentradas. A la vez, agregar noticias o modelos de lenguaje puede aumentar la complejidad sin aportar mejora fuera de muestra. El problema de investigación es determinar si una arquitectura híbrida ofrece un beneficio medible frente a alternativas más simples cuando se evalúa con separación temporal y métricas financieras.</w:t>
      </w:r>
    </w:p>
    <w:p>
      <w:pPr>
        <w:pStyle w:val="Heading2"/>
        <w:keepNext/>
      </w:pPr>
      <w:r>
        <w:t>Pregunta de investigación</w:t>
      </w:r>
    </w:p>
    <w:p>
      <w:pPr>
        <w:ind w:firstLine="369"/>
        <w:jc w:val="both"/>
      </w:pPr>
      <w:r>
        <w:t>¿En qué medida la integración de un modelo XGBoost, una señal de sentimiento derivada de titulares financieros y una política determinista de gestión de riesgo mejora el desempeño fuera de muestra frente a un modelo exclusivamente cuantitativo y frente a estrategias de referencia en mercados volátiles?</w:t>
      </w:r>
    </w:p>
    <w:p>
      <w:pPr>
        <w:pStyle w:val="Heading1"/>
        <w:keepNext/>
      </w:pPr>
      <w:r>
        <w:t>Objetivos</w:t>
      </w:r>
    </w:p>
    <w:p>
      <w:pPr>
        <w:pStyle w:val="Heading2"/>
        <w:keepNext/>
      </w:pPr>
      <w:r>
        <w:t>Objetivo general</w:t>
      </w:r>
    </w:p>
    <w:p>
      <w:pPr>
        <w:ind w:firstLine="369"/>
        <w:jc w:val="both"/>
      </w:pPr>
      <w:r>
        <w:t>Desarrollar y evaluar una arquitectura híbrida basada en XGBoost, análisis de sentimiento y gestión probabilística de riesgo para apoyar decisiones de trading en mercados volátiles mediante experimentos reproducibles y backtesting temporal.</w:t>
      </w:r>
    </w:p>
    <w:p>
      <w:pPr>
        <w:pStyle w:val="Heading2"/>
        <w:keepNext/>
      </w:pPr>
      <w:r>
        <w:t>Objetivos específicos</w:t>
      </w:r>
    </w:p>
    <w:p>
      <w:pPr>
        <w:pStyle w:val="ListBullet"/>
        <w:spacing w:after="80"/>
      </w:pPr>
      <w:r>
        <w:t>Construir un pipeline reproducible para obtener, validar y transformar datos históricos OHLCV.</w:t>
      </w:r>
    </w:p>
    <w:p>
      <w:pPr>
        <w:pStyle w:val="ListBullet"/>
        <w:spacing w:after="80"/>
      </w:pPr>
      <w:r>
        <w:t>Diseñar características técnicas sin utilizar información futura y entrenar un modelo XGBoost como línea base cuantitativa.</w:t>
      </w:r>
    </w:p>
    <w:p>
      <w:pPr>
        <w:pStyle w:val="ListBullet"/>
        <w:spacing w:after="80"/>
      </w:pPr>
      <w:r>
        <w:t>Transformar titulares financieros en una señal de sentimiento con salida estructurada y trazable.</w:t>
      </w:r>
    </w:p>
    <w:p>
      <w:pPr>
        <w:pStyle w:val="ListBullet"/>
        <w:spacing w:after="80"/>
      </w:pPr>
      <w:r>
        <w:t>Diseñar un árbitro determinista que combine probabilidad calibrada, sentimiento y límites de riesgo para decidir operar, no operar o abstenerse.</w:t>
      </w:r>
    </w:p>
    <w:p>
      <w:pPr>
        <w:pStyle w:val="ListBullet"/>
        <w:spacing w:after="80"/>
      </w:pPr>
      <w:r>
        <w:t>Implementar backtesting walk-forward con costos de transacción, slippage y reglas explícitas de entrada y salida.</w:t>
      </w:r>
    </w:p>
    <w:p>
      <w:pPr>
        <w:pStyle w:val="ListBullet"/>
        <w:spacing w:after="80"/>
      </w:pPr>
      <w:r>
        <w:t>Comparar configuraciones mediante métricas de clasificación, calibración y desempeño financiero, e identificar el aporte incremental de cada componente.</w:t>
      </w:r>
    </w:p>
    <w:p>
      <w:pPr>
        <w:pStyle w:val="Heading1"/>
        <w:keepNext/>
      </w:pPr>
      <w:r>
        <w:t>Hipótesis</w:t>
      </w:r>
    </w:p>
    <w:p>
      <w:pPr>
        <w:ind w:firstLine="369"/>
        <w:jc w:val="both"/>
      </w:pPr>
      <w:r>
        <w:t>Hipótesis de investigación H1. La arquitectura híbrida produce una mejora fuera de muestra en al menos una métrica financiera ajustada por riesgo, sin empeorar de forma material el drawdown máximo, frente al modelo exclusivamente cuantitativo.</w:t>
      </w:r>
    </w:p>
    <w:p>
      <w:pPr>
        <w:ind w:firstLine="369"/>
        <w:jc w:val="both"/>
      </w:pPr>
      <w:r>
        <w:t>Hipótesis nula H0. La incorporación del sentimiento y del árbitro de riesgo no produce una mejora consistente frente al modelo cuantitativo bajo el mismo periodo, costos y reglas de evaluación.</w:t>
      </w:r>
    </w:p>
    <w:p>
      <w:pPr>
        <w:ind w:firstLine="369"/>
        <w:jc w:val="both"/>
      </w:pPr>
      <w:r>
        <w:t>Las hipótesis se analizarán sobre múltiples ventanas temporales. No se establecerá una tasa de acierto como resultado obligatorio. La interpretación considerará estabilidad, magnitud del efecto y sensibilidad a costos.</w:t>
      </w:r>
    </w:p>
    <w:p>
      <w:pPr>
        <w:pStyle w:val="Heading1"/>
        <w:keepNext/>
      </w:pPr>
      <w:r>
        <w:t>Alcance y delimitaciones</w:t>
      </w:r>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453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Incluido</w:t>
            </w:r>
          </w:p>
        </w:tc>
        <w:tc>
          <w:tcPr>
            <w:tcW w:type="dxa" w:w="468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Fuera del alcance</w:t>
            </w:r>
          </w:p>
        </w:tc>
      </w:tr>
      <w:tr>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Datos OHLCV e indicadores técnicos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Ejecución de órdenes con dinero real</w:t>
            </w:r>
          </w:p>
        </w:tc>
      </w:tr>
      <w:tr>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XGBoost y calibración probabilística</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Garantías de rentabilidad o recomendaciones personalizadas</w:t>
            </w:r>
          </w:p>
        </w:tc>
      </w:tr>
      <w:tr>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Sentimiento de titulares financieros</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Detección de información no pública o insider trading</w:t>
            </w:r>
          </w:p>
        </w:tc>
      </w:tr>
      <w:tr>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Backtesting y paper trading</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Alta frecuencia y arbitraje de latencia</w:t>
            </w:r>
          </w:p>
        </w:tc>
      </w:tr>
      <w:tr>
        <w:tc>
          <w:tcPr>
            <w:tcW w:type="dxa" w:w="453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Gestión de riesgo determinista</w:t>
            </w:r>
          </w:p>
        </w:tc>
        <w:tc>
          <w:tcPr>
            <w:tcW w:type="dxa" w:w="468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Optimización de portafolios institucionales</w:t>
            </w:r>
          </w:p>
        </w:tc>
      </w:tr>
    </w:tbl>
    <w:p>
      <w:pPr>
        <w:spacing w:after="40"/>
      </w:pPr>
    </w:p>
    <w:p>
      <w:pPr>
        <w:pStyle w:val="Heading1"/>
        <w:keepNext/>
      </w:pPr>
      <w:r>
        <w:t>Metodología</w:t>
      </w:r>
    </w:p>
    <w:p>
      <w:pPr>
        <w:ind w:firstLine="369"/>
        <w:jc w:val="both"/>
      </w:pPr>
      <w:r>
        <w:t>La investigación será aplicada, cuantitativa, experimental y comparativa. La unidad de análisis será una señal generada para un activo y horizonte definidos. Los experimentos conservarán el orden temporal de los datos. Los hiperparámetros y umbrales se ajustarán únicamente con información previa al periodo evaluado.</w:t>
      </w:r>
    </w:p>
    <w:p>
      <w:r>
        <w:br w:type="page"/>
      </w:r>
    </w:p>
    <w:p>
      <w:pPr>
        <w:pStyle w:val="Heading2"/>
        <w:keepNext/>
      </w:pPr>
      <w:r>
        <w:t>Diseño experimental</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1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Configuración</w:t>
            </w:r>
          </w:p>
        </w:tc>
        <w:tc>
          <w:tcPr>
            <w:tcW w:type="dxa" w:w="367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Componentes</w:t>
            </w:r>
          </w:p>
        </w:tc>
        <w:tc>
          <w:tcPr>
            <w:tcW w:type="dxa" w:w="4320"/>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Propósito</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B0</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Buy and hold</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Referencia de mercado</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B1</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Regla técnica simple</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Referencia no basada en aprendizaje automático</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M1</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XGBoost</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Línea base cuantitativa</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M2</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XGBoost más sentimiento</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Medir aporte del contexto textual</w:t>
            </w:r>
          </w:p>
        </w:tc>
      </w:tr>
      <w:tr>
        <w:tc>
          <w:tcPr>
            <w:tcW w:type="dxa" w:w="11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M3</w:t>
            </w:r>
          </w:p>
        </w:tc>
        <w:tc>
          <w:tcPr>
            <w:tcW w:type="dxa" w:w="367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XGBoost más sentimiento más árbitro</w:t>
            </w:r>
          </w:p>
        </w:tc>
        <w:tc>
          <w:tcPr>
            <w:tcW w:type="dxa" w:w="4320"/>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Medir aporte de la gestión de riesgo</w:t>
            </w:r>
          </w:p>
        </w:tc>
      </w:tr>
    </w:tbl>
    <w:p>
      <w:pPr>
        <w:spacing w:after="40"/>
      </w:pPr>
    </w:p>
    <w:p>
      <w:pPr>
        <w:pStyle w:val="Heading2"/>
        <w:keepNext/>
      </w:pPr>
      <w:r>
        <w:t>Variables y métricas</w:t>
      </w:r>
    </w:p>
    <w:tbl>
      <w:tblPr>
        <w:tblStyle w:val="TableGrid"/>
        <w:tblW w:type="auto" w:w="0"/>
        <w:jc w:val="center"/>
        <w:tblLayout w:type="fixed"/>
        <w:tblLook w:firstColumn="1" w:firstRow="1" w:lastColumn="0" w:lastRow="0" w:noHBand="0" w:noVBand="1" w:val="04A0"/>
      </w:tblPr>
      <w:tblGrid>
        <w:gridCol w:w="4752"/>
        <w:gridCol w:w="4752"/>
      </w:tblGrid>
      <w:tr>
        <w:trPr>
          <w:tblHeader w:val="true"/>
        </w:trPr>
        <w:tc>
          <w:tcPr>
            <w:tcW w:type="dxa" w:w="223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Dimensión</w:t>
            </w:r>
          </w:p>
        </w:tc>
        <w:tc>
          <w:tcPr>
            <w:tcW w:type="dxa" w:w="691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9"/>
              </w:rPr>
              <w:t>Métricas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Clasificación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Accuracy, precision, recall, F1 y matriz de confusión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Probabilidad</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Brier score, curva de calibración y log loss</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Rentabilidad</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Retorno total, retorno anualizado y retorno por operación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Riesgo</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Volatilidad, máximo drawdown, Sharpe y Sortino</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9"/>
              </w:rPr>
              <w:t>Operación</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9"/>
              </w:rPr>
              <w:t>Win rate, profit factor, número de operaciones y exposición</w:t>
            </w:r>
          </w:p>
        </w:tc>
      </w:tr>
      <w:tr>
        <w:tc>
          <w:tcPr>
            <w:tcW w:type="dxa" w:w="223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9"/>
              </w:rPr>
              <w:t>Robustez</w:t>
            </w:r>
          </w:p>
        </w:tc>
        <w:tc>
          <w:tcPr>
            <w:tcW w:type="dxa" w:w="691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9"/>
              </w:rPr>
              <w:t>Sensibilidad a costos, ventanas, activos y umbrales</w:t>
            </w:r>
          </w:p>
        </w:tc>
      </w:tr>
    </w:tbl>
    <w:p>
      <w:pPr>
        <w:spacing w:after="40"/>
      </w:pPr>
    </w:p>
    <w:p>
      <w:pPr>
        <w:pStyle w:val="Heading2"/>
        <w:keepNext/>
      </w:pPr>
      <w:r>
        <w:t>Procedimiento</w:t>
      </w:r>
    </w:p>
    <w:p>
      <w:pPr>
        <w:pStyle w:val="ListNumber"/>
        <w:spacing w:after="80"/>
      </w:pPr>
      <w:r>
        <w:t>Definir activos, frecuencia, horizonte de predicción y periodo de observación.</w:t>
      </w:r>
    </w:p>
    <w:p>
      <w:pPr>
        <w:pStyle w:val="ListNumber"/>
        <w:spacing w:after="80"/>
      </w:pPr>
      <w:r>
        <w:t>Descargar y validar datos; normalizar fechas, zonas horarias, duplicados y valores faltantes.</w:t>
      </w:r>
    </w:p>
    <w:p>
      <w:pPr>
        <w:pStyle w:val="ListNumber"/>
        <w:spacing w:after="80"/>
      </w:pPr>
      <w:r>
        <w:t>Construir características técnicas y la variable objetivo sin etiquetar observaciones cuyo futuro sea desconocido.</w:t>
      </w:r>
    </w:p>
    <w:p>
      <w:pPr>
        <w:pStyle w:val="ListNumber"/>
        <w:spacing w:after="80"/>
      </w:pPr>
      <w:r>
        <w:t>Aplicar división temporal y validación walk-forward.</w:t>
      </w:r>
    </w:p>
    <w:p>
      <w:pPr>
        <w:pStyle w:val="ListNumber"/>
        <w:spacing w:after="80"/>
      </w:pPr>
      <w:r>
        <w:t>Entrenar, calibrar y evaluar XGBoost.</w:t>
      </w:r>
    </w:p>
    <w:p>
      <w:pPr>
        <w:pStyle w:val="ListNumber"/>
        <w:spacing w:after="80"/>
      </w:pPr>
      <w:r>
        <w:t>Procesar titulares disponibles antes de cada decisión y conservar fuente, fecha y resultado del análisis.</w:t>
      </w:r>
    </w:p>
    <w:p>
      <w:pPr>
        <w:pStyle w:val="ListNumber"/>
        <w:spacing w:after="80"/>
      </w:pPr>
      <w:r>
        <w:t>Ejecutar las configuraciones B0, B1, M1, M2 y M3 bajo costos equivalentes.</w:t>
      </w:r>
    </w:p>
    <w:p>
      <w:pPr>
        <w:pStyle w:val="ListNumber"/>
        <w:spacing w:after="80"/>
      </w:pPr>
      <w:r>
        <w:t>Analizar resultados, estabilidad, limitaciones y amenazas a la validez.</w:t>
      </w:r>
    </w:p>
    <w:p>
      <w:pPr>
        <w:pStyle w:val="Heading2"/>
        <w:keepNext/>
      </w:pPr>
      <w:r>
        <w:t>Gestión de riesgo</w:t>
      </w:r>
    </w:p>
    <w:p>
      <w:pPr>
        <w:ind w:firstLine="369"/>
        <w:jc w:val="both"/>
      </w:pPr>
      <w:r>
        <w:t>El tamaño de posición se calculará con una variante fraccional del criterio de Kelly. La probabilidad utilizada deberá estar calibrada y la asignación estará restringida por límites de exposición, pérdida por operación y drawdown. El componente textual podrá reducir o vetar una operación, pero no aumentar por sí solo el riesgo por encima de los límites cuantitativos.</w:t>
      </w:r>
    </w:p>
    <w:p>
      <w:pPr>
        <w:pStyle w:val="Heading1"/>
        <w:keepNext/>
      </w:pPr>
      <w:r>
        <w:t>Resultados esperados y entregables</w:t>
      </w:r>
    </w:p>
    <w:p>
      <w:pPr>
        <w:pStyle w:val="ListBullet"/>
        <w:spacing w:after="80"/>
      </w:pPr>
      <w:r>
        <w:t>Repositorio reproducible con configuración, código y pruebas automatizadas.</w:t>
      </w:r>
    </w:p>
    <w:p>
      <w:pPr>
        <w:pStyle w:val="ListBullet"/>
        <w:spacing w:after="80"/>
      </w:pPr>
      <w:r>
        <w:t>Dataset procesado con diccionario de variables y registro de procedencia.</w:t>
      </w:r>
    </w:p>
    <w:p>
      <w:pPr>
        <w:pStyle w:val="ListBullet"/>
        <w:spacing w:after="80"/>
      </w:pPr>
      <w:r>
        <w:t>Modelo base, modelo híbrido y política de riesgo versionados.</w:t>
      </w:r>
    </w:p>
    <w:p>
      <w:pPr>
        <w:pStyle w:val="ListBullet"/>
        <w:spacing w:after="80"/>
      </w:pPr>
      <w:r>
        <w:t>Motor de backtesting con costos y validación walk-forward.</w:t>
      </w:r>
    </w:p>
    <w:p>
      <w:pPr>
        <w:pStyle w:val="ListBullet"/>
        <w:spacing w:after="80"/>
      </w:pPr>
      <w:r>
        <w:t>Informe comparativo con métricas, curvas de capital y análisis de sensibilidad.</w:t>
      </w:r>
    </w:p>
    <w:p>
      <w:pPr>
        <w:pStyle w:val="ListBullet"/>
        <w:spacing w:after="80"/>
      </w:pPr>
      <w:r>
        <w:t>Prototipo de consulta de experimentos y resultados, sin conexión a un broker real.</w:t>
      </w:r>
    </w:p>
    <w:p>
      <w:pPr>
        <w:pStyle w:val="Heading1"/>
        <w:keepNext/>
      </w:pPr>
      <w:r>
        <w:t>Cronograma</w:t>
      </w:r>
    </w:p>
    <w:tbl>
      <w:tblPr>
        <w:tblStyle w:val="TableGrid"/>
        <w:tblW w:type="auto" w:w="0"/>
        <w:jc w:val="center"/>
        <w:tblLayout w:type="fixed"/>
        <w:tblLook w:firstColumn="1" w:firstRow="1" w:lastColumn="0" w:lastRow="0" w:noHBand="0" w:noVBand="1" w:val="04A0"/>
      </w:tblPr>
      <w:tblGrid>
        <w:gridCol w:w="3168"/>
        <w:gridCol w:w="3168"/>
        <w:gridCol w:w="3168"/>
      </w:tblGrid>
      <w:tr>
        <w:trPr>
          <w:tblHeader w:val="true"/>
        </w:trPr>
        <w:tc>
          <w:tcPr>
            <w:tcW w:type="dxa" w:w="1656"/>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Periodo</w:t>
            </w:r>
          </w:p>
        </w:tc>
        <w:tc>
          <w:tcPr>
            <w:tcW w:type="dxa" w:w="4608"/>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Actividad principal</w:t>
            </w:r>
          </w:p>
        </w:tc>
        <w:tc>
          <w:tcPr>
            <w:tcW w:type="dxa" w:w="2952"/>
            <w:vAlign w:val="center"/>
            <w:shd w:fill="1F4E7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jc w:val="center"/>
            </w:pPr>
            <w:r>
              <w:rPr>
                <w:rFonts w:ascii="Arial" w:hAnsi="Arial"/>
                <w:b/>
                <w:color w:val="FFFFFF"/>
                <w:sz w:val="18"/>
              </w:rPr>
              <w:t>Entregable</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1 y 2</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Revisión, alcance y protocolo experimental</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Diseño de investigación aprobado</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3 y 4</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Pipeline y control de calidad de datos</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Dataset reproducible</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5 y 6</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Features y modelo XGBoost</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Línea base cuantitativa</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7 y 8</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Backtesting y validación walk-forward</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Motor de evaluación</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9 y 10</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Sentimiento y trazabilidad de noticias</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Modelo híbrido M2</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11 y 12</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Árbitro y gestión de riesgo</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Configuración M3</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13 y 14</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Experimentos, ablaciones y sensibilidad</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Resultados comparativos</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center"/>
            </w:pPr>
            <w:r>
              <w:rPr>
                <w:rFonts w:ascii="Arial" w:hAnsi="Arial"/>
                <w:sz w:val="18"/>
              </w:rPr>
              <w:t>Meses 15 y 16</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Paper trading y post-mortem</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shd w:fill="EEF4F8"/>
          </w:tcPr>
          <w:p>
            <w:pPr>
              <w:spacing w:after="0" w:line="252" w:lineRule="auto"/>
              <w:jc w:val="left"/>
            </w:pPr>
            <w:r>
              <w:rPr>
                <w:rFonts w:ascii="Arial" w:hAnsi="Arial"/>
                <w:sz w:val="18"/>
              </w:rPr>
              <w:t>Validación operativa simulada</w:t>
            </w:r>
          </w:p>
        </w:tc>
      </w:tr>
      <w:tr>
        <w:tc>
          <w:tcPr>
            <w:tcW w:type="dxa" w:w="1656"/>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center"/>
            </w:pPr>
            <w:r>
              <w:rPr>
                <w:rFonts w:ascii="Arial" w:hAnsi="Arial"/>
                <w:sz w:val="18"/>
              </w:rPr>
              <w:t>Meses 17 y 18</w:t>
            </w:r>
          </w:p>
        </w:tc>
        <w:tc>
          <w:tcPr>
            <w:tcW w:type="dxa" w:w="4608"/>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Análisis, redacción y sustentación</w:t>
            </w:r>
          </w:p>
        </w:tc>
        <w:tc>
          <w:tcPr>
            <w:tcW w:type="dxa" w:w="2952"/>
            <w:vAlign w:val="center"/>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tcPr>
          <w:p>
            <w:pPr>
              <w:spacing w:after="0" w:line="252" w:lineRule="auto"/>
              <w:jc w:val="left"/>
            </w:pPr>
            <w:r>
              <w:rPr>
                <w:rFonts w:ascii="Arial" w:hAnsi="Arial"/>
                <w:sz w:val="18"/>
              </w:rPr>
              <w:t>Documento final</w:t>
            </w:r>
          </w:p>
        </w:tc>
      </w:tr>
    </w:tbl>
    <w:p>
      <w:pPr>
        <w:spacing w:after="40"/>
      </w:pPr>
    </w:p>
    <w:p>
      <w:pPr>
        <w:pStyle w:val="Heading1"/>
        <w:keepNext/>
      </w:pPr>
      <w:r>
        <w:t>Consideraciones éticas y de seguridad</w:t>
      </w:r>
    </w:p>
    <w:p>
      <w:pPr>
        <w:ind w:firstLine="369"/>
        <w:jc w:val="both"/>
      </w:pPr>
      <w:r>
        <w:t>El sistema se presentará como herramienta experimental y no como asesor financiero. Los resultados históricos no se interpretarán como garantía de desempeño futuro. La investigación documentará fallos, sesgos, cobertura limitada de noticias y dependencia de proveedores externos. No se procesará información privada ni se afirmará acceso a información privilegiada. Cualquier fase de paper trading permanecerá separada de cuentas con dinero real.</w:t>
      </w:r>
    </w:p>
    <w:p>
      <w:pPr>
        <w:pStyle w:val="Heading1"/>
        <w:keepNext/>
      </w:pPr>
      <w:r>
        <w:t>Limitaciones previstas</w:t>
      </w:r>
    </w:p>
    <w:p>
      <w:pPr>
        <w:pStyle w:val="ListBullet"/>
        <w:spacing w:after="80"/>
      </w:pPr>
      <w:r>
        <w:t>Cambios de régimen que reducen la estabilidad de patrones históricos.</w:t>
      </w:r>
    </w:p>
    <w:p>
      <w:pPr>
        <w:pStyle w:val="ListBullet"/>
        <w:spacing w:after="80"/>
      </w:pPr>
      <w:r>
        <w:t>Disponibilidad y calidad variables de titulares financieros.</w:t>
      </w:r>
    </w:p>
    <w:p>
      <w:pPr>
        <w:pStyle w:val="ListBullet"/>
        <w:spacing w:after="80"/>
      </w:pPr>
      <w:r>
        <w:t>Riesgo de sobreajuste por selección repetida de hiperparámetros.</w:t>
      </w:r>
    </w:p>
    <w:p>
      <w:pPr>
        <w:pStyle w:val="ListBullet"/>
        <w:spacing w:after="80"/>
      </w:pPr>
      <w:r>
        <w:t>Probabilidades del clasificador que requieren calibración fuera de muestra.</w:t>
      </w:r>
    </w:p>
    <w:p>
      <w:pPr>
        <w:pStyle w:val="ListBullet"/>
        <w:spacing w:after="80"/>
      </w:pPr>
      <w:r>
        <w:t>Resultados sensibles a costos, frecuencia, activo y horizonte de inversión.</w:t>
      </w:r>
    </w:p>
    <w:p>
      <w:pPr>
        <w:pStyle w:val="Heading1"/>
        <w:keepNext/>
      </w:pPr>
      <w:r>
        <w:t>Referencias bibliográficas</w:t>
      </w:r>
    </w:p>
    <w:p>
      <w:pPr>
        <w:spacing w:after="100"/>
        <w:ind w:left="425" w:hanging="425"/>
      </w:pPr>
      <w:r>
        <w:t>[1] T. Chen and C. Guestrin, XGBoost A Scalable Tree Boosting System, Proceedings of the 22nd ACM SIGKDD International Conference on Knowledge Discovery and Data Mining, pp. 785-794, 2016. DOI 10.1145/2939672.2939785.</w:t>
      </w:r>
    </w:p>
    <w:p>
      <w:pPr>
        <w:spacing w:after="100"/>
        <w:ind w:left="425" w:hanging="425"/>
      </w:pPr>
      <w:r>
        <w:t>[2] S. Gu, B. Kelly and D. Xiu, Empirical Asset Pricing via Machine Learning, The Review of Financial Studies, vol. 33, no. 5, pp. 2223-2273, 2020. DOI 10.1093/rfs/hhaa009.</w:t>
      </w:r>
    </w:p>
    <w:p>
      <w:pPr>
        <w:spacing w:after="100"/>
        <w:ind w:left="425" w:hanging="425"/>
      </w:pPr>
      <w:r>
        <w:t>[3] A. Lopez-Lira and Y. Tang, Can ChatGPT Forecast Stock Price Movements Return Predictability and Large Language Models, arXiv 2304.07619, 2023.</w:t>
      </w:r>
    </w:p>
    <w:p>
      <w:pPr>
        <w:spacing w:after="100"/>
        <w:ind w:left="425" w:hanging="425"/>
      </w:pPr>
      <w:r>
        <w:t>[4] D. Araci, FinBERT Financial Sentiment Analysis with Pre-trained Language Models, arXiv 1908.10063, 2019.</w:t>
      </w:r>
    </w:p>
    <w:p>
      <w:pPr>
        <w:spacing w:after="100"/>
        <w:ind w:left="425" w:hanging="425"/>
      </w:pPr>
      <w:r>
        <w:t>[5] C. Guo, G. Pleiss, Y. Sun and K. Q. Weinberger, On Calibration of Modern Neural Networks, Proceedings of Machine Learning Research, vol. 70, pp. 1321-1330, 2017.</w:t>
      </w:r>
    </w:p>
    <w:p>
      <w:pPr>
        <w:spacing w:after="100"/>
        <w:ind w:left="425" w:hanging="425"/>
      </w:pPr>
      <w:r>
        <w:t>[6] D. H. Bailey, J. M. Borwein, M. López de Prado and Q. J. Zhu, The Probability of Backtest Overfitting, Journal of Computational Finance, vol. 20, no. 4, 2017.</w:t>
      </w:r>
    </w:p>
    <w:p>
      <w:pPr>
        <w:spacing w:after="100"/>
        <w:ind w:left="425" w:hanging="425"/>
      </w:pPr>
      <w:r>
        <w:t>[7] J. L. Kelly Jr., A New Interpretation of Information Rate, Bell System Technical Journal, vol. 35, no. 4, pp. 917-926, 1956. DOI 10.1002/j.1538-7305.1956.tb03809.x.</w:t>
      </w:r>
    </w:p>
    <w:p>
      <w:pPr>
        <w:spacing w:after="100"/>
        <w:ind w:left="425" w:hanging="425"/>
      </w:pPr>
      <w:r>
        <w:t>[8] W. F. Sharpe, The Sharpe Ratio, The Journal of Portfolio Management, vol. 21, no. 1, pp. 49-58, 1994. DOI 10.3905/jpm.1994.409501.</w:t>
      </w:r>
    </w:p>
    <w:p>
      <w:pPr>
        <w:spacing w:after="100"/>
        <w:ind w:left="425" w:hanging="425"/>
      </w:pPr>
      <w:r>
        <w:t>[9] B. M. Barber, Y. T. Lee, Y. J. Liu and T. Odean, Just How Much Do Individual Investors Lose by Trading, The Review of Financial Studies, vol. 22, no. 2, pp. 609-632, 2009.</w:t>
      </w:r>
    </w:p>
    <w:p>
      <w:pPr>
        <w:spacing w:after="100"/>
        <w:ind w:left="425" w:hanging="425"/>
      </w:pPr>
      <w:r>
        <w:t>[10] B. M. Barber, X. Huang, T. Odean and C. Schwarz, Attention-Induced Trading and Returns Evidence from Robinhood Users, The Journal of Finance, vol. 77, no. 6, pp. 3141-3190, 2022.</w:t>
      </w:r>
    </w:p>
    <w:p>
      <w:pPr>
        <w:spacing w:after="100"/>
        <w:ind w:left="425" w:hanging="425"/>
      </w:pPr>
      <w:r>
        <w:t>[11] F. Pedregosa et al., Scikit-learn Machine Learning in Python, Journal of Machine Learning Research, vol. 12, pp. 2825-2830, 2011.</w:t>
      </w:r>
    </w:p>
    <w:p>
      <w:pPr>
        <w:spacing w:after="100"/>
        <w:ind w:left="425" w:hanging="425"/>
      </w:pPr>
      <w:r>
        <w:t>[12] P. Virtanen et al., SciPy 1.0 Fundamental Algorithms for Scientific Computing in Python, Nature Methods, vol. 17, pp. 261-272, 2020.</w:t>
      </w:r>
    </w:p>
    <w:sectPr w:rsidR="00FC693F" w:rsidRPr="0006063C" w:rsidSect="00034616">
      <w:footerReference w:type="default" r:id="rId9"/>
      <w:footerReference w:type="first" r:id="rId10"/>
      <w:pgSz w:w="12240" w:h="15840"/>
      <w:pgMar w:top="1224" w:right="1368" w:bottom="1152" w:left="1368" w:header="72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20"/>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Desarrollo y evaluación de una arquitectura híbrida basada en XGBoost y modelos de lenguaje para apoyar decisiones de trading y gestión de riesgo en mercados volátiles</dc:title>
  <dc:subject>Proyecto de grado Nostradamus V2</dc:subject>
  <dc:creator>Dorian Joseph Esguerra Perilla y Kevin Daniel Arango Algarra</dc:creator>
  <cp:keywords>XGBoost, modelos de lenguaje, trading algorítmico, backtesting, gestión de riesgo</cp:keywords>
  <dc:description>generated by python-docx</dc:description>
  <cp:lastModifiedBy/>
  <cp:revision>1</cp:revision>
  <dcterms:created xsi:type="dcterms:W3CDTF">2013-12-23T23:15:00Z</dcterms:created>
  <dcterms:modified xsi:type="dcterms:W3CDTF">2013-12-23T23:15:00Z</dcterms:modified>
  <cp:category/>
</cp:coreProperties>
</file>