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olor w:val="181614"/>
          <w:sz w:val="72"/>
          <w:szCs w:val="72"/>
        </w:rPr>
        <w:t xml:space="preserve">FIGHT</w:t>
      </w:r>
    </w:p>
    <w:p>
      <w:pPr>
        <w:spacing w:after="60" w:before="0"/>
        <w:jc w:val="center"/>
      </w:pPr>
      <w:r>
        <w:rPr>
          <w:rFonts w:ascii="Arial" w:cs="Arial" w:eastAsia="Arial" w:hAnsi="Arial"/>
          <w:b/>
          <w:bCs/>
          <w:color w:val="C8241A"/>
          <w:sz w:val="72"/>
          <w:szCs w:val="72"/>
        </w:rPr>
        <w:t xml:space="preserve">COFFEE</w:t>
      </w:r>
    </w:p>
    <w:p>
      <w:pPr>
        <w:spacing w:after="200" w:before="20"/>
        <w:jc w:val="center"/>
      </w:pPr>
      <w:r>
        <w:rPr>
          <w:rFonts w:ascii="Arial" w:cs="Arial" w:eastAsia="Arial" w:hAnsi="Arial"/>
          <w:color w:val="4a4540"/>
          <w:sz w:val="21"/>
          <w:szCs w:val="21"/>
        </w:rPr>
        <w:t xml:space="preserve">HYBRID COMBAT &amp; LIFESTYLE HUB</w:t>
      </w:r>
    </w:p>
    <w:p>
      <w:pPr>
        <w:pBdr>
          <w:bottom w:val="single" w:color="D8D4CC" w:sz="4"/>
        </w:pBdr>
        <w:spacing w:after="200" w:before="200"/>
      </w:pPr>
    </w:p>
    <w:p>
      <w:pPr>
        <w:spacing w:after="60" w:before="160"/>
        <w:jc w:val="center"/>
      </w:pPr>
      <w:r>
        <w:rPr>
          <w:rFonts w:ascii="Arial" w:cs="Arial" w:eastAsia="Arial" w:hAnsi="Arial"/>
          <w:b/>
          <w:bCs/>
          <w:color w:val="181614"/>
          <w:sz w:val="32"/>
          <w:szCs w:val="32"/>
        </w:rPr>
        <w:t xml:space="preserve">ANNEXE OPÉRATIONNELLE</w:t>
      </w:r>
    </w:p>
    <w:p>
      <w:pPr>
        <w:spacing w:after="60" w:before="40"/>
        <w:jc w:val="center"/>
      </w:pPr>
      <w:r>
        <w:rPr>
          <w:rFonts w:ascii="Arial" w:cs="Arial" w:eastAsia="Arial" w:hAnsi="Arial"/>
          <w:color w:val="4a4540"/>
          <w:sz w:val="21"/>
          <w:szCs w:val="21"/>
        </w:rPr>
        <w:t xml:space="preserve">Structure juridique · Plan RH · Bail commercial · Trésorerie mensuelle · Marketing</w:t>
      </w:r>
    </w:p>
    <w:p>
      <w:pPr>
        <w:spacing w:after="800" w:before="40"/>
        <w:jc w:val="center"/>
      </w:pPr>
      <w:r>
        <w:rPr>
          <w:rFonts w:ascii="Arial" w:cs="Arial" w:eastAsia="Arial" w:hAnsi="Arial"/>
          <w:color w:val="4a4540"/>
          <w:sz w:val="19"/>
          <w:szCs w:val="19"/>
        </w:rPr>
        <w:t xml:space="preserve">SAS FightCoffee — 2 associés 50/50 — Pleurtuit (35730)</w:t>
      </w:r>
    </w:p>
    <w:p>
      <w:pPr>
        <w:pBdr>
          <w:bottom w:val="single" w:color="D8D4CC" w:sz="4"/>
        </w:pBdr>
        <w:spacing w:after="200" w:before="200"/>
      </w:pPr>
    </w:p>
    <w:p>
      <w:pPr>
        <w:spacing w:after="40" w:before="140"/>
        <w:jc w:val="center"/>
      </w:pPr>
      <w:r>
        <w:rPr>
          <w:rFonts w:ascii="Arial" w:cs="Arial" w:eastAsia="Arial" w:hAnsi="Arial"/>
          <w:color w:val="4a4540"/>
          <w:sz w:val="17"/>
          <w:szCs w:val="17"/>
        </w:rPr>
        <w:t xml:space="preserve">Document confidentiel — Usage interne uniquement</w:t>
      </w:r>
    </w:p>
    <w:p>
      <w:r>
        <w:br w:type="page"/>
      </w:r>
    </w:p>
    <w:p>
      <w:pPr>
        <w:spacing w:after="60" w:before="80"/>
      </w:pPr>
      <w:r>
        <w:rPr>
          <w:rFonts w:ascii="Arial" w:cs="Arial" w:eastAsia="Arial" w:hAnsi="Arial"/>
          <w:b/>
          <w:bCs/>
          <w:color w:val="C8241A"/>
          <w:sz w:val="17"/>
          <w:szCs w:val="17"/>
        </w:rPr>
        <w:t xml:space="preserve">— SOMMAIRE</w:t>
      </w:r>
    </w:p>
    <w:p>
      <w:pPr>
        <w:pStyle w:val="Heading1"/>
        <w:spacing w:after="180" w:before="360"/>
      </w:pPr>
      <w:r>
        <w:rPr>
          <w:rFonts w:ascii="Arial" w:cs="Arial" w:eastAsia="Arial" w:hAnsi="Arial"/>
          <w:b/>
          <w:bCs/>
          <w:color w:val="181614"/>
          <w:sz w:val="36"/>
          <w:szCs w:val="36"/>
        </w:rPr>
        <w:t xml:space="preserve">TABLE DES MATIÈRES</w:t>
      </w:r>
    </w:p>
    <w:p>
      <w:pPr>
        <w:pBdr>
          <w:bottom w:val="single" w:color="D8D4CC" w:sz="4"/>
        </w:pBdr>
        <w:spacing w:after="200" w:before="200"/>
      </w:pPr>
    </w:p>
    <w:p>
      <w:pPr>
        <w:spacing w:after="80" w:before="80"/>
      </w:pPr>
      <w:r>
        <w:rPr>
          <w:rFonts w:ascii="Arial" w:cs="Arial" w:eastAsia="Arial" w:hAnsi="Arial"/>
          <w:b/>
          <w:bCs/>
          <w:color w:val="C8241A"/>
          <w:sz w:val="22"/>
          <w:szCs w:val="22"/>
        </w:rPr>
        <w:t xml:space="preserve">A.  </w:t>
      </w:r>
      <w:r>
        <w:rPr>
          <w:rFonts w:ascii="Arial" w:cs="Arial" w:eastAsia="Arial" w:hAnsi="Arial"/>
          <w:color w:val="181614"/>
          <w:sz w:val="22"/>
          <w:szCs w:val="22"/>
        </w:rPr>
        <w:t xml:space="preserve">Structure juridique — SAS &amp; Pacte d'associés</w:t>
      </w:r>
    </w:p>
    <w:p>
      <w:pPr>
        <w:spacing w:after="80" w:before="80"/>
      </w:pPr>
      <w:r>
        <w:rPr>
          <w:rFonts w:ascii="Arial" w:cs="Arial" w:eastAsia="Arial" w:hAnsi="Arial"/>
          <w:b/>
          <w:bCs/>
          <w:color w:val="C8241A"/>
          <w:sz w:val="22"/>
          <w:szCs w:val="22"/>
        </w:rPr>
        <w:t xml:space="preserve">B.  </w:t>
      </w:r>
      <w:r>
        <w:rPr>
          <w:rFonts w:ascii="Arial" w:cs="Arial" w:eastAsia="Arial" w:hAnsi="Arial"/>
          <w:color w:val="181614"/>
          <w:sz w:val="22"/>
          <w:szCs w:val="22"/>
        </w:rPr>
        <w:t xml:space="preserve">Fiscalité &amp; rémunération des fondateurs</w:t>
      </w:r>
    </w:p>
    <w:p>
      <w:pPr>
        <w:spacing w:after="80" w:before="80"/>
      </w:pPr>
      <w:r>
        <w:rPr>
          <w:rFonts w:ascii="Arial" w:cs="Arial" w:eastAsia="Arial" w:hAnsi="Arial"/>
          <w:b/>
          <w:bCs/>
          <w:color w:val="C8241A"/>
          <w:sz w:val="22"/>
          <w:szCs w:val="22"/>
        </w:rPr>
        <w:t xml:space="preserve">C.  </w:t>
      </w:r>
      <w:r>
        <w:rPr>
          <w:rFonts w:ascii="Arial" w:cs="Arial" w:eastAsia="Arial" w:hAnsi="Arial"/>
          <w:color w:val="181614"/>
          <w:sz w:val="22"/>
          <w:szCs w:val="22"/>
        </w:rPr>
        <w:t xml:space="preserve">Plan RH — Profils, certifications, coûts réels</w:t>
      </w:r>
    </w:p>
    <w:p>
      <w:pPr>
        <w:spacing w:after="80" w:before="80"/>
      </w:pPr>
      <w:r>
        <w:rPr>
          <w:rFonts w:ascii="Arial" w:cs="Arial" w:eastAsia="Arial" w:hAnsi="Arial"/>
          <w:b/>
          <w:bCs/>
          <w:color w:val="C8241A"/>
          <w:sz w:val="22"/>
          <w:szCs w:val="22"/>
        </w:rPr>
        <w:t xml:space="preserve">D.  </w:t>
      </w:r>
      <w:r>
        <w:rPr>
          <w:rFonts w:ascii="Arial" w:cs="Arial" w:eastAsia="Arial" w:hAnsi="Arial"/>
          <w:color w:val="181614"/>
          <w:sz w:val="22"/>
          <w:szCs w:val="22"/>
        </w:rPr>
        <w:t xml:space="preserve">Analyse locale &amp; simulation bail commercial</w:t>
      </w:r>
    </w:p>
    <w:p>
      <w:pPr>
        <w:spacing w:after="80" w:before="80"/>
      </w:pPr>
      <w:r>
        <w:rPr>
          <w:rFonts w:ascii="Arial" w:cs="Arial" w:eastAsia="Arial" w:hAnsi="Arial"/>
          <w:b/>
          <w:bCs/>
          <w:color w:val="C8241A"/>
          <w:sz w:val="22"/>
          <w:szCs w:val="22"/>
        </w:rPr>
        <w:t xml:space="preserve">E.  </w:t>
      </w:r>
      <w:r>
        <w:rPr>
          <w:rFonts w:ascii="Arial" w:cs="Arial" w:eastAsia="Arial" w:hAnsi="Arial"/>
          <w:color w:val="181614"/>
          <w:sz w:val="22"/>
          <w:szCs w:val="22"/>
        </w:rPr>
        <w:t xml:space="preserve">Trésorerie mensuelle An 1 (12 mois)</w:t>
      </w:r>
    </w:p>
    <w:p>
      <w:pPr>
        <w:spacing w:after="80" w:before="80"/>
      </w:pPr>
      <w:r>
        <w:rPr>
          <w:rFonts w:ascii="Arial" w:cs="Arial" w:eastAsia="Arial" w:hAnsi="Arial"/>
          <w:b/>
          <w:bCs/>
          <w:color w:val="C8241A"/>
          <w:sz w:val="22"/>
          <w:szCs w:val="22"/>
        </w:rPr>
        <w:t xml:space="preserve">F.  </w:t>
      </w:r>
      <w:r>
        <w:rPr>
          <w:rFonts w:ascii="Arial" w:cs="Arial" w:eastAsia="Arial" w:hAnsi="Arial"/>
          <w:color w:val="181614"/>
          <w:sz w:val="22"/>
          <w:szCs w:val="22"/>
        </w:rPr>
        <w:t xml:space="preserve">Saisonnalité &amp; plan marketing pré-lancement</w:t>
      </w:r>
    </w:p>
    <w:p>
      <w:r>
        <w:br w:type="page"/>
      </w:r>
    </w:p>
    <w:p>
      <w:pPr>
        <w:spacing w:after="60" w:before="80"/>
      </w:pPr>
      <w:r>
        <w:rPr>
          <w:rFonts w:ascii="Arial" w:cs="Arial" w:eastAsia="Arial" w:hAnsi="Arial"/>
          <w:b/>
          <w:bCs/>
          <w:color w:val="C8241A"/>
          <w:sz w:val="17"/>
          <w:szCs w:val="17"/>
        </w:rPr>
        <w:t xml:space="preserve">— A — STRUCTURE JURIDIQUE</w:t>
      </w:r>
    </w:p>
    <w:p>
      <w:pPr>
        <w:pStyle w:val="Heading1"/>
        <w:spacing w:after="180" w:before="360"/>
      </w:pPr>
      <w:r>
        <w:rPr>
          <w:rFonts w:ascii="Arial" w:cs="Arial" w:eastAsia="Arial" w:hAnsi="Arial"/>
          <w:b/>
          <w:bCs/>
          <w:color w:val="181614"/>
          <w:sz w:val="36"/>
          <w:szCs w:val="36"/>
        </w:rPr>
        <w:t xml:space="preserve">SAS — SOCIÉTÉ PAR ACTIONS SIMPLIFIÉE</w:t>
      </w:r>
    </w:p>
    <w:p>
      <w:pPr>
        <w:pBdr>
          <w:bottom w:val="single" w:color="D8D4CC" w:sz="4"/>
        </w:pBdr>
        <w:spacing w:after="200" w:before="200"/>
      </w:pPr>
    </w:p>
    <w:p>
      <w:pPr>
        <w:pStyle w:val="Heading2"/>
        <w:spacing w:after="140" w:before="280"/>
      </w:pPr>
      <w:r>
        <w:rPr>
          <w:rFonts w:ascii="Arial" w:cs="Arial" w:eastAsia="Arial" w:hAnsi="Arial"/>
          <w:b/>
          <w:bCs/>
          <w:color w:val="C8241A"/>
          <w:sz w:val="26"/>
          <w:szCs w:val="26"/>
        </w:rPr>
        <w:t xml:space="preserve">Pourquoi la SAS est le bon choix</w:t>
      </w:r>
    </w:p>
    <w:p>
      <w:pPr>
        <w:spacing w:after="80" w:before="80"/>
      </w:pPr>
      <w:r>
        <w:rPr>
          <w:rFonts w:ascii="Arial" w:cs="Arial" w:eastAsia="Arial" w:hAnsi="Arial"/>
          <w:color w:val="4a4540"/>
          <w:sz w:val="21"/>
          <w:szCs w:val="21"/>
        </w:rPr>
        <w:t xml:space="preserve">La SAS est la forme juridique la plus adaptée à FightCoffee pour trois raisons majeures : liberté contractuelle totale pour organiser le pouvoir entre deux fondateurs à 50/50, facilité d'entrée future d'investisseurs ou de partenaires au capital, et régime social du Président (assimilé salarié) offrant une meilleure protection sociale que le gérant de SARL.</w:t>
      </w:r>
    </w:p>
    <w:p>
      <w:pPr>
        <w:spacing w:after="80" w:before="80"/>
      </w:pPr>
      <w:r>
        <w:rPr>
          <w:rFonts w:ascii="Arial" w:cs="Arial" w:eastAsia="Arial" w:hAnsi="Arial"/>
          <w:color w:val="4a4540"/>
          <w:sz w:val="21"/>
          <w:szCs w:val="21"/>
        </w:rPr>
        <w:t xml:space="preserve">Le montage 50/50 est le plus délicat qui soit — il exige un pacte d'associés solide pour éviter les blocages décisionnels. Mais il est aussi le plus équilibré et le plus juste quand les deux fondateurs apportent des compétences complémentaires d'égale valeur.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CRITÈRE</w:t>
            </w:r>
          </w:p>
        </w:tc>
        <w:tc>
          <w:tcPr>
            <w:tcW w:type="dxa" w:w="3180"/>
            <w:tcBorders>
              <w:top w:val="single" w:color="D8D4CC" w:sz="1"/>
              <w:left w:val="single" w:color="D8D4CC" w:sz="1"/>
              <w:bottom w:val="single" w:color="D8D4CC" w:sz="1"/>
              <w:right w:val="single" w:color="D8D4CC" w:sz="1"/>
            </w:tcBorders>
            <w:shd w:fill="C8241A" w:val="clear"/>
            <w:tcMar>
              <w:top w:type="dxa" w:w="90"/>
              <w:left w:type="dxa" w:w="130"/>
              <w:bottom w:type="dxa" w:w="90"/>
              <w:right w:type="dxa" w:w="130"/>
            </w:tcMar>
          </w:tcPr>
          <w:p>
            <w:r>
              <w:rPr>
                <w:rFonts w:ascii="Arial" w:cs="Arial" w:eastAsia="Arial" w:hAnsi="Arial"/>
                <w:b/>
                <w:bCs/>
                <w:color w:val="FFFFFF"/>
                <w:sz w:val="18"/>
                <w:szCs w:val="18"/>
              </w:rPr>
              <w:t xml:space="preserve">SAS ★ RECOMMANDÉE</w:t>
            </w:r>
          </w:p>
        </w:tc>
        <w:tc>
          <w:tcPr>
            <w:tcW w:type="dxa" w:w="31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SARL</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Liberté statutaire</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Totale — tout est personnalisable</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Encadrée par la loi</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Dirigeant</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Président (régime assimilé salarié)</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Gérant (TNS — cotisations sociales moindres mais protection moindre)</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Protection sociale fondateur</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Sécurité sociale + retraite complémentaire</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RSI — moins protecteur, cotisations minimales même sans rémunération</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Entrée d'investisseurs</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Simple — émission d'actions, BSPCE, BSA</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Complexe — parts sociales, cession soumise à agrément</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Cession de titres</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Libre (sauf clause d'agrément)</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Agrément associés obligatoire</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Pacte d'associés</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Très courant et efficace</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Moins adapté</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Rémunération dirigeant</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Bulletin de salaire — déclaré à l'URSSAF</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Rémunération gérance — déclarée aux impôts</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IS / Dividendes</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IS 15% sur 0-42k€ puis 25% · dividendes soumis PFU 30%</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Identique SAS</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Coût de création</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~1 500–3 000€ avec avocat ou expert-comptable</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~800–1 500€</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Recommandé pour FightCoffee</w:t>
            </w:r>
          </w:p>
        </w:tc>
        <w:tc>
          <w:tcPr>
            <w:tcW w:type="dxa" w:w="31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 Oui — flexibilité, investisseurs, pacte 50/50</w:t>
            </w:r>
          </w:p>
        </w:tc>
        <w:tc>
          <w:tcPr>
            <w:tcW w:type="dxa" w:w="31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 Non — trop rigide pour ce montage</w:t>
            </w:r>
          </w:p>
        </w:tc>
      </w:tr>
    </w:tbl>
    <w:p>
      <w:pPr>
        <w:spacing w:after="0" w:before="120"/>
      </w:pPr>
    </w:p>
    <w:p>
      <w:pPr>
        <w:pStyle w:val="Heading2"/>
        <w:spacing w:after="140" w:before="280"/>
      </w:pPr>
      <w:r>
        <w:rPr>
          <w:rFonts w:ascii="Arial" w:cs="Arial" w:eastAsia="Arial" w:hAnsi="Arial"/>
          <w:b/>
          <w:bCs/>
          <w:color w:val="C8241A"/>
          <w:sz w:val="26"/>
          <w:szCs w:val="26"/>
        </w:rPr>
        <w:t xml:space="preserve">Étapes de création de la SAS</w:t>
      </w:r>
    </w:p>
    <w:p>
      <w:pPr>
        <w:spacing w:after="80" w:before="80"/>
      </w:pPr>
      <w:r>
        <w:rPr>
          <w:rFonts w:ascii="Arial" w:cs="Arial" w:eastAsia="Arial" w:hAnsi="Arial"/>
          <w:b/>
          <w:bCs/>
          <w:color w:val="181614"/>
          <w:sz w:val="21"/>
          <w:szCs w:val="21"/>
        </w:rPr>
        <w:t xml:space="preserve">1. Rédaction des statuts : </w:t>
      </w:r>
      <w:r>
        <w:rPr>
          <w:rFonts w:ascii="Arial" w:cs="Arial" w:eastAsia="Arial" w:hAnsi="Arial"/>
          <w:color w:val="4a4540"/>
          <w:sz w:val="21"/>
          <w:szCs w:val="21"/>
        </w:rPr>
        <w:t xml:space="preserve">Par un avocat spécialisé en droit des sociétés ou un expert-comptable. Coût : 1 500–3 000€. Prévoir 2–3 semaines. Les statuts fixent : objet social, capital, répartition des actions, pouvoirs du Président.</w:t>
      </w:r>
    </w:p>
    <w:p>
      <w:pPr>
        <w:spacing w:after="80" w:before="80"/>
      </w:pPr>
      <w:r>
        <w:rPr>
          <w:rFonts w:ascii="Arial" w:cs="Arial" w:eastAsia="Arial" w:hAnsi="Arial"/>
          <w:b/>
          <w:bCs/>
          <w:color w:val="181614"/>
          <w:sz w:val="21"/>
          <w:szCs w:val="21"/>
        </w:rPr>
        <w:t xml:space="preserve">2. Dépôt du capital : </w:t>
      </w:r>
      <w:r>
        <w:rPr>
          <w:rFonts w:ascii="Arial" w:cs="Arial" w:eastAsia="Arial" w:hAnsi="Arial"/>
          <w:color w:val="4a4540"/>
          <w:sz w:val="21"/>
          <w:szCs w:val="21"/>
        </w:rPr>
        <w:t xml:space="preserve">Sur un compte bloqué ouvert au nom de la SAS en formation. Minimum conseillé : 10 000€ (libération de 50% à la création, soit 5 000€, solde sur appel). Certaines banques demandent un business plan pour ouvrir le compte.</w:t>
      </w:r>
    </w:p>
    <w:p>
      <w:pPr>
        <w:spacing w:after="80" w:before="80"/>
      </w:pPr>
      <w:r>
        <w:rPr>
          <w:rFonts w:ascii="Arial" w:cs="Arial" w:eastAsia="Arial" w:hAnsi="Arial"/>
          <w:b/>
          <w:bCs/>
          <w:color w:val="181614"/>
          <w:sz w:val="21"/>
          <w:szCs w:val="21"/>
        </w:rPr>
        <w:t xml:space="preserve">3. Publication au JAL : </w:t>
      </w:r>
      <w:r>
        <w:rPr>
          <w:rFonts w:ascii="Arial" w:cs="Arial" w:eastAsia="Arial" w:hAnsi="Arial"/>
          <w:color w:val="4a4540"/>
          <w:sz w:val="21"/>
          <w:szCs w:val="21"/>
        </w:rPr>
        <w:t xml:space="preserve">Annonce légale dans un Journal d'Annonces Légales de Bretagne. Coût : 180–250€. Obligatoire avant immatriculation.</w:t>
      </w:r>
    </w:p>
    <w:p>
      <w:pPr>
        <w:spacing w:after="80" w:before="80"/>
      </w:pPr>
      <w:r>
        <w:rPr>
          <w:rFonts w:ascii="Arial" w:cs="Arial" w:eastAsia="Arial" w:hAnsi="Arial"/>
          <w:b/>
          <w:bCs/>
          <w:color w:val="181614"/>
          <w:sz w:val="21"/>
          <w:szCs w:val="21"/>
        </w:rPr>
        <w:t xml:space="preserve">4. Immatriculation au RCS : </w:t>
      </w:r>
      <w:r>
        <w:rPr>
          <w:rFonts w:ascii="Arial" w:cs="Arial" w:eastAsia="Arial" w:hAnsi="Arial"/>
          <w:color w:val="4a4540"/>
          <w:sz w:val="21"/>
          <w:szCs w:val="21"/>
        </w:rPr>
        <w:t xml:space="preserve">Via le Guichet Unique (inpi.fr) depuis 2023. Délai : 3–10 jours ouvrés. Coût : ~37€ de frais de greffe. Vous recevez votre Kbis.</w:t>
      </w:r>
    </w:p>
    <w:p>
      <w:pPr>
        <w:spacing w:after="80" w:before="80"/>
      </w:pPr>
      <w:r>
        <w:rPr>
          <w:rFonts w:ascii="Arial" w:cs="Arial" w:eastAsia="Arial" w:hAnsi="Arial"/>
          <w:b/>
          <w:bCs/>
          <w:color w:val="181614"/>
          <w:sz w:val="21"/>
          <w:szCs w:val="21"/>
        </w:rPr>
        <w:t xml:space="preserve">5. Ouverture compte professionnel : </w:t>
      </w:r>
      <w:r>
        <w:rPr>
          <w:rFonts w:ascii="Arial" w:cs="Arial" w:eastAsia="Arial" w:hAnsi="Arial"/>
          <w:color w:val="4a4540"/>
          <w:sz w:val="21"/>
          <w:szCs w:val="21"/>
        </w:rPr>
        <w:t xml:space="preserve">Dès réception du Kbis. Banque en ligne (Qonto, Shine, Revolut Business) ou banque traditionnelle. Prévoir 1–4 semaines selon la banque.</w:t>
      </w:r>
    </w:p>
    <w:p>
      <w:pPr>
        <w:spacing w:after="80" w:before="80"/>
      </w:pPr>
      <w:r>
        <w:rPr>
          <w:rFonts w:ascii="Arial" w:cs="Arial" w:eastAsia="Arial" w:hAnsi="Arial"/>
          <w:b/>
          <w:bCs/>
          <w:color w:val="181614"/>
          <w:sz w:val="21"/>
          <w:szCs w:val="21"/>
        </w:rPr>
        <w:t xml:space="preserve">6. Signature du pacte d'associés : </w:t>
      </w:r>
      <w:r>
        <w:rPr>
          <w:rFonts w:ascii="Arial" w:cs="Arial" w:eastAsia="Arial" w:hAnsi="Arial"/>
          <w:color w:val="4a4540"/>
          <w:sz w:val="21"/>
          <w:szCs w:val="21"/>
        </w:rPr>
        <w:t xml:space="preserve">Concomitamment aux statuts ou dans les jours qui suivent. Document distinct des statuts, confidentiel, signé par les deux associés.</w:t>
      </w:r>
    </w:p>
    <w:p>
      <w:pPr>
        <w:pBdr>
          <w:left w:val="single" w:color="C8241A" w:sz="12"/>
        </w:pBdr>
        <w:spacing w:after="120" w:before="120"/>
        <w:ind w:left="240"/>
      </w:pPr>
      <w:r>
        <w:rPr>
          <w:rFonts w:ascii="Arial" w:cs="Arial" w:eastAsia="Arial" w:hAnsi="Arial"/>
          <w:color w:val="C8241A"/>
          <w:sz w:val="21"/>
          <w:szCs w:val="21"/>
        </w:rPr>
        <w:t xml:space="preserve">⚠ La création sans avocat est possible mais risquée en cas de 50/50. Un pacte mal rédigé peut bloquer la société en cas de désaccord. Budget minimum recommandé : 2 500€ pour les deux documents.</w:t>
      </w:r>
    </w:p>
    <w:p>
      <w:pPr>
        <w:pBdr>
          <w:left w:val="single" w:color="9A7A2E" w:sz="12"/>
        </w:pBdr>
        <w:spacing w:after="120" w:before="120"/>
        <w:ind w:left="240"/>
      </w:pPr>
      <w:r>
        <w:rPr>
          <w:rFonts w:ascii="Arial" w:cs="Arial" w:eastAsia="Arial" w:hAnsi="Arial"/>
          <w:color w:val="9A7A2E"/>
          <w:sz w:val="21"/>
          <w:szCs w:val="21"/>
        </w:rPr>
        <w:t xml:space="preserve">→ Banques recommandées pour une SAS sport : Qonto (digital, simple), BNP Paribas (réseau local fort en Bretagne), Crédit Agricole Ille-et-Vilaine (actif sur le financement de projets sportifs).</w:t>
      </w:r>
    </w:p>
    <w:p>
      <w:r>
        <w:br w:type="page"/>
      </w:r>
    </w:p>
    <w:p>
      <w:pPr>
        <w:pStyle w:val="Heading2"/>
        <w:spacing w:after="140" w:before="280"/>
      </w:pPr>
      <w:r>
        <w:rPr>
          <w:rFonts w:ascii="Arial" w:cs="Arial" w:eastAsia="Arial" w:hAnsi="Arial"/>
          <w:b/>
          <w:bCs/>
          <w:color w:val="C8241A"/>
          <w:sz w:val="26"/>
          <w:szCs w:val="26"/>
        </w:rPr>
        <w:t xml:space="preserve">Pacte d'associés — Clauses essentielles 50/50</w:t>
      </w:r>
    </w:p>
    <w:p>
      <w:pPr>
        <w:spacing w:after="80" w:before="80"/>
      </w:pPr>
      <w:r>
        <w:rPr>
          <w:rFonts w:ascii="Arial" w:cs="Arial" w:eastAsia="Arial" w:hAnsi="Arial"/>
          <w:color w:val="4a4540"/>
          <w:sz w:val="21"/>
          <w:szCs w:val="21"/>
        </w:rPr>
        <w:t xml:space="preserve">Le pacte d'associés est le document le plus important de votre relation. Il anticipe tous les cas de figure conflictuels et définit les règles du jeu avant que les problèmes n'arrivent. En 50/50, la clause de deadlock est absolument critique.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CLAUSE</w:t>
            </w:r>
          </w:p>
        </w:tc>
        <w:tc>
          <w:tcPr>
            <w:tcW w:type="dxa" w:w="616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CONTENU RECOMMANDÉ POUR FIGHTCOFFEE 50/50</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Répartition du capital</w:t>
            </w:r>
          </w:p>
        </w:tc>
        <w:tc>
          <w:tcPr>
            <w:tcW w:type="dxa" w:w="6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50% / 50% entre les deux fondateurs. Capital minimum recommandé : 10 000 € (libéré à 50% à la création, solde sur appel).</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Valorisation des apports</w:t>
            </w:r>
          </w:p>
        </w:tc>
        <w:tc>
          <w:tcPr>
            <w:tcW w:type="dxa" w:w="6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Apport en numéraire (cash) + valorisation des apports en industrie (compétences, réseau, temps). Définir explicitement la valeur de chaque apport non monétaire.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Clause d'inaliénabilité</w:t>
            </w:r>
          </w:p>
        </w:tc>
        <w:tc>
          <w:tcPr>
            <w:tcW w:type="dxa" w:w="616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Interdiction de céder ses actions pendant 3 ans sans accord de l'autre associé. Protège contre une sortie prématurée.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Droit de préemption</w:t>
            </w:r>
          </w:p>
        </w:tc>
        <w:tc>
          <w:tcPr>
            <w:tcW w:type="dxa" w:w="6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En cas de cession, l'autre associé a un droit de rachat prioritaire aux mêmes conditions. Obligatoire en 50/50.</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Clause d'agrément</w:t>
            </w:r>
          </w:p>
        </w:tc>
        <w:tc>
          <w:tcPr>
            <w:tcW w:type="dxa" w:w="6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Toute entrée d'un tiers au capital doit être approuvée par les deux associés. Évite une dilution non désirée.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Drag-along (entraînement)</w:t>
            </w:r>
          </w:p>
        </w:tc>
        <w:tc>
          <w:tcPr>
            <w:tcW w:type="dxa" w:w="6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Si un tiers offre d'acheter 100% de la SAS, un associé peut forcer l'autre à vendre aussi aux mêmes conditions. Facilite les exits.</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Tag-along (co-sortie)</w:t>
            </w:r>
          </w:p>
        </w:tc>
        <w:tc>
          <w:tcPr>
            <w:tcW w:type="dxa" w:w="6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Si un associé cède ses parts, l'autre peut exiger d'être inclus dans la vente aux mêmes conditions. Protection symétrique.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Clause de deadlock</w:t>
            </w:r>
          </w:p>
        </w:tc>
        <w:tc>
          <w:tcPr>
            <w:tcW w:type="dxa" w:w="616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En cas de blocage décisionnel persistant (vote 50/50 impossible), procédure définie : médiation, rachat forcé, ou dissolution. CRITIQUE en 50/50.</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Gouvernance &amp; votes</w:t>
            </w:r>
          </w:p>
        </w:tc>
        <w:tc>
          <w:tcPr>
            <w:tcW w:type="dxa" w:w="6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Définir les décisions ordinaires (majorité simple) vs extraordinaires (unanimité). Ex : tout investissement &gt;20k€ = accord des deux associés.</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Rémunération des fondateurs</w:t>
            </w:r>
          </w:p>
        </w:tc>
        <w:tc>
          <w:tcPr>
            <w:tcW w:type="dxa" w:w="6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Fixer le principe de rémunération progressive : 0 ou SMIC les 6 premiers mois, révision selon atteinte des objectifs. Éviter les tensions.</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Non-concurrence</w:t>
            </w:r>
          </w:p>
        </w:tc>
        <w:tc>
          <w:tcPr>
            <w:tcW w:type="dxa" w:w="6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Chaque fondateur s'interdit d'exploiter un concept similaire dans un rayon de 50 km pendant 2 ans après sa sortie.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Confidentialité</w:t>
            </w:r>
          </w:p>
        </w:tc>
        <w:tc>
          <w:tcPr>
            <w:tcW w:type="dxa" w:w="6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Clause de confidentialité sur les données financières, les partenariats et la stratégie. Durée : 5 ans.</w:t>
            </w:r>
          </w:p>
        </w:tc>
      </w:tr>
    </w:tbl>
    <w:p>
      <w:pPr>
        <w:spacing w:after="0" w:before="120"/>
      </w:pPr>
    </w:p>
    <w:p>
      <w:pPr>
        <w:pBdr>
          <w:left w:val="single" w:color="C8241A" w:sz="12"/>
        </w:pBdr>
        <w:spacing w:after="120" w:before="120"/>
        <w:ind w:left="240"/>
      </w:pPr>
      <w:r>
        <w:rPr>
          <w:rFonts w:ascii="Arial" w:cs="Arial" w:eastAsia="Arial" w:hAnsi="Arial"/>
          <w:color w:val="C8241A"/>
          <w:sz w:val="21"/>
          <w:szCs w:val="21"/>
        </w:rPr>
        <w:t xml:space="preserve">⚠ Clause de deadlock : sans cette clause, un désaccord en 50/50 peut bloquer la société indéfiniment et forcer une dissolution judiciaire coûteuse. Définir impérativement la procédure (médiation → rachat forcé à une valeur prédéfinie → dissolution).</w:t>
      </w:r>
    </w:p>
    <w:p>
      <w:pPr>
        <w:pBdr>
          <w:left w:val="single" w:color="9A7A2E" w:sz="12"/>
        </w:pBdr>
        <w:spacing w:after="120" w:before="120"/>
        <w:ind w:left="240"/>
      </w:pPr>
      <w:r>
        <w:rPr>
          <w:rFonts w:ascii="Arial" w:cs="Arial" w:eastAsia="Arial" w:hAnsi="Arial"/>
          <w:color w:val="9A7A2E"/>
          <w:sz w:val="21"/>
          <w:szCs w:val="21"/>
        </w:rPr>
        <w:t xml:space="preserve">→ Recommandation : faire rédiger le pacte par un avocat spécialisé (Cabinet Fidal, Capstan ou avocat local en droit des affaires à Saint-Malo / Rennes). Budget : 1 000–2 000€ en plus des statuts.</w:t>
      </w:r>
    </w:p>
    <w:p>
      <w:r>
        <w:br w:type="page"/>
      </w:r>
    </w:p>
    <w:p>
      <w:pPr>
        <w:spacing w:after="60" w:before="80"/>
      </w:pPr>
      <w:r>
        <w:rPr>
          <w:rFonts w:ascii="Arial" w:cs="Arial" w:eastAsia="Arial" w:hAnsi="Arial"/>
          <w:b/>
          <w:bCs/>
          <w:color w:val="C8241A"/>
          <w:sz w:val="17"/>
          <w:szCs w:val="17"/>
        </w:rPr>
        <w:t xml:space="preserve">— B — FISCALITÉ &amp; RÉMUNÉRATION</w:t>
      </w:r>
    </w:p>
    <w:p>
      <w:pPr>
        <w:pStyle w:val="Heading1"/>
        <w:spacing w:after="180" w:before="360"/>
      </w:pPr>
      <w:r>
        <w:rPr>
          <w:rFonts w:ascii="Arial" w:cs="Arial" w:eastAsia="Arial" w:hAnsi="Arial"/>
          <w:b/>
          <w:bCs/>
          <w:color w:val="181614"/>
          <w:sz w:val="36"/>
          <w:szCs w:val="36"/>
        </w:rPr>
        <w:t xml:space="preserve">FISCALITÉ &amp; RÉMUNÉRATION DES FONDATEURS</w:t>
      </w:r>
    </w:p>
    <w:p>
      <w:pPr>
        <w:pBdr>
          <w:bottom w:val="single" w:color="D8D4CC" w:sz="4"/>
        </w:pBdr>
        <w:spacing w:after="200" w:before="200"/>
      </w:pPr>
    </w:p>
    <w:p>
      <w:pPr>
        <w:pStyle w:val="Heading2"/>
        <w:spacing w:after="140" w:before="280"/>
      </w:pPr>
      <w:r>
        <w:rPr>
          <w:rFonts w:ascii="Arial" w:cs="Arial" w:eastAsia="Arial" w:hAnsi="Arial"/>
          <w:b/>
          <w:bCs/>
          <w:color w:val="C8241A"/>
          <w:sz w:val="26"/>
          <w:szCs w:val="26"/>
        </w:rPr>
        <w:t xml:space="preserve">Fiscalité de la SAS FightCoffee</w:t>
      </w:r>
    </w:p>
    <w:p>
      <w:pPr>
        <w:spacing w:after="80" w:before="80"/>
      </w:pPr>
      <w:r>
        <w:rPr>
          <w:rFonts w:ascii="Arial" w:cs="Arial" w:eastAsia="Arial" w:hAnsi="Arial"/>
          <w:color w:val="4a4540"/>
          <w:sz w:val="21"/>
          <w:szCs w:val="21"/>
        </w:rPr>
        <w:t xml:space="preserve">La SAS est soumise de plein droit à l'Impôt sur les Sociétés (IS). Les bénéfices sont taxés au niveau de la société avant toute distribution. Les fondateurs ne sont imposés à titre personnel que sur leurs salaires (IR) et les dividendes qu'ils se versent (PFU 30%).</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PARAMÈTRE</w:t>
            </w:r>
          </w:p>
        </w:tc>
        <w:tc>
          <w:tcPr>
            <w:tcW w:type="dxa" w:w="27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DÉTAIL</w:t>
            </w:r>
          </w:p>
        </w:tc>
        <w:tc>
          <w:tcPr>
            <w:tcW w:type="dxa" w:w="27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IMPACT FIGHTCOFFEE</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IS taux réduit</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15% sur les 42 500 premiers € de bénéfice</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Applicable dès An 1 si bénéfice &lt; 42 500€ (prudent)</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IS taux normal</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25% au-delà de 42 500€ de bénéfice</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S'applique sur la majorité du résultat scénario cible</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Dividendes (PFU)</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Flat tax 30% (12,8% IR + 17,2% PS)</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Levier de rémunération après IS — à utiliser avec parcimonie</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Rémunération président</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Charges salariales ~75–80% du brut (cotisations patronales + salariales)</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Sur 3 000€ net/mois : coût total ~5 400€/mois pour la SAS</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ACRE (1ère année)</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Exonération partielle cotisations sociales pour les créateurs</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Économie estimée 2 000–4 000€ sur l'année si demande à la création</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TVA</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Régime réel normal (CA &gt; 91 900€ services). Déclarations mensuelles ou trimestrielles.</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Abonnements sport exonérés TVA si &lt; seuil ou statut non lucratif. Coffee &amp; boutique soumis à TVA 20%.</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Exonération sport</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Les cours de sport peuvent être exonérés de TVA sous conditions (agrément préfectoral ou association)</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À étudier avec expert-comptable — peut générer 15–20k€/an d'économie</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CFE (Cotisation Foncière)</w:t>
            </w:r>
          </w:p>
        </w:tc>
        <w:tc>
          <w:tcPr>
            <w:tcW w:type="dxa" w:w="27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Taxe locale due dès la 1ère année (exonération première année possible)</w:t>
            </w:r>
          </w:p>
        </w:tc>
        <w:tc>
          <w:tcPr>
            <w:tcW w:type="dxa" w:w="27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Prévoir 1 500–3 000€/an selon commune et surface</w:t>
            </w:r>
          </w:p>
        </w:tc>
      </w:tr>
    </w:tbl>
    <w:p>
      <w:pPr>
        <w:spacing w:after="0" w:before="120"/>
      </w:pPr>
    </w:p>
    <w:p>
      <w:pPr>
        <w:pBdr>
          <w:left w:val="single" w:color="9A7A2E" w:sz="12"/>
        </w:pBdr>
        <w:spacing w:after="120" w:before="120"/>
        <w:ind w:left="240"/>
      </w:pPr>
      <w:r>
        <w:rPr>
          <w:rFonts w:ascii="Arial" w:cs="Arial" w:eastAsia="Arial" w:hAnsi="Arial"/>
          <w:color w:val="9A7A2E"/>
          <w:sz w:val="21"/>
          <w:szCs w:val="21"/>
        </w:rPr>
        <w:t xml:space="preserve">→ Action prioritaire : demander l'exonération de TVA sur les cours de sport auprès de la DRJSCS dès la création. Si accordée, économie de 10–20k€/an sur le CA sport. L'expert-comptable gère la demande.</w:t>
      </w:r>
    </w:p>
    <w:p>
      <w:pPr>
        <w:pBdr>
          <w:left w:val="single" w:color="C8241A" w:sz="12"/>
        </w:pBdr>
        <w:spacing w:after="120" w:before="120"/>
        <w:ind w:left="240"/>
      </w:pPr>
      <w:r>
        <w:rPr>
          <w:rFonts w:ascii="Arial" w:cs="Arial" w:eastAsia="Arial" w:hAnsi="Arial"/>
          <w:color w:val="C8241A"/>
          <w:sz w:val="21"/>
          <w:szCs w:val="21"/>
        </w:rPr>
        <w:t xml:space="preserve">⚠ La TVA sur les abonnements de salle de sport est un sujet complexe — certaines structures obtiennent une exonération partielle, d'autres pas. Ne pas supposer l'exonération dans le prévisionnel sans validation.</w:t>
      </w:r>
    </w:p>
    <w:p>
      <w:pPr>
        <w:pStyle w:val="Heading2"/>
        <w:spacing w:after="140" w:before="280"/>
      </w:pPr>
      <w:r>
        <w:rPr>
          <w:rFonts w:ascii="Arial" w:cs="Arial" w:eastAsia="Arial" w:hAnsi="Arial"/>
          <w:b/>
          <w:bCs/>
          <w:color w:val="C8241A"/>
          <w:sz w:val="26"/>
          <w:szCs w:val="26"/>
        </w:rPr>
        <w:t xml:space="preserve">Plan de rémunération des fondateurs</w:t>
      </w:r>
    </w:p>
    <w:p>
      <w:pPr>
        <w:spacing w:after="80" w:before="80"/>
      </w:pPr>
      <w:r>
        <w:rPr>
          <w:rFonts w:ascii="Arial" w:cs="Arial" w:eastAsia="Arial" w:hAnsi="Arial"/>
          <w:color w:val="4a4540"/>
          <w:sz w:val="21"/>
          <w:szCs w:val="21"/>
        </w:rPr>
        <w:t xml:space="preserve">La rémunération des fondateurs est un levier critique : trop élevée trop tôt, elle plombe la trésorerie et crée une charge fixe difficile à réduire. Trop basse trop longtemps, elle crée des tensions et des risques personnels. Le tableau ci-dessous fixe un plan progressif lié aux objectifs.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PÉRIODE</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SALAIRE NET/MOIS</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COÛT SAS/MOIS</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COÛT SAS/AN</w:t>
            </w:r>
          </w:p>
        </w:tc>
        <w:tc>
          <w:tcPr>
            <w:tcW w:type="dxa" w:w="192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CONDITION DÉCLENCHANTE</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M1 à M6 (lancement)</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0 – 800 €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 – 1 440 €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 – 17 280 €</w:t>
            </w:r>
          </w:p>
        </w:tc>
        <w:tc>
          <w:tcPr>
            <w:tcW w:type="dxa" w:w="19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Toujours — sacrifice fondateur</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M7 à M12 (montée en charge)</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181614"/>
                <w:sz w:val="20"/>
                <w:szCs w:val="20"/>
              </w:rPr>
              <w:t xml:space="preserve">1 200 – 1 800 €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2 160 – 3 240 €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25 920 – 38 880 €</w:t>
            </w:r>
          </w:p>
        </w:tc>
        <w:tc>
          <w:tcPr>
            <w:tcW w:type="dxa" w:w="19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&gt; 150 membres actifs</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An 2 (stabilisation)</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181614"/>
                <w:sz w:val="20"/>
                <w:szCs w:val="20"/>
              </w:rPr>
              <w:t xml:space="preserve">2 000 – 2 800 €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 – 5 040 €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43 200 – 60 480 €</w:t>
            </w:r>
          </w:p>
        </w:tc>
        <w:tc>
          <w:tcPr>
            <w:tcW w:type="dxa" w:w="19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&gt; 220 membres · tréso positive</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An 3 (croissance)</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181614"/>
                <w:sz w:val="20"/>
                <w:szCs w:val="20"/>
              </w:rPr>
              <w:t xml:space="preserve">3 000 – 4 000 €</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5 400 – 7 200 €</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64 800 – 86 400 €</w:t>
            </w:r>
          </w:p>
        </w:tc>
        <w:tc>
          <w:tcPr>
            <w:tcW w:type="dxa" w:w="19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&gt; 350 membres · marge nette &gt; 10%</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Dividendes (An 2+)</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181614"/>
                <w:sz w:val="20"/>
                <w:szCs w:val="20"/>
              </w:rPr>
              <w:t xml:space="preserve">Variable</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PFU 30% sur montant brut</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À décider en AG</w:t>
            </w:r>
          </w:p>
        </w:tc>
        <w:tc>
          <w:tcPr>
            <w:tcW w:type="dxa" w:w="19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Résultat net positif · décision unanime associés</w:t>
            </w:r>
          </w:p>
        </w:tc>
      </w:tr>
    </w:tbl>
    <w:p>
      <w:pPr>
        <w:spacing w:after="0" w:before="120"/>
      </w:pPr>
    </w:p>
    <w:p>
      <w:pPr>
        <w:spacing w:after="80" w:before="80"/>
      </w:pPr>
      <w:r>
        <w:rPr>
          <w:rFonts w:ascii="Arial" w:cs="Arial" w:eastAsia="Arial" w:hAnsi="Arial"/>
          <w:b/>
          <w:bCs/>
          <w:color w:val="181614"/>
          <w:sz w:val="21"/>
          <w:szCs w:val="21"/>
        </w:rPr>
        <w:t xml:space="preserve">Principe clé : </w:t>
      </w:r>
      <w:r>
        <w:rPr>
          <w:rFonts w:ascii="Arial" w:cs="Arial" w:eastAsia="Arial" w:hAnsi="Arial"/>
          <w:color w:val="4a4540"/>
          <w:sz w:val="21"/>
          <w:szCs w:val="21"/>
        </w:rPr>
        <w:t xml:space="preserve">Les deux fondateurs ont la même rémunération à chaque étape. Toute asymétrie doit être définie dans le pacte d'associés avec une justification documentée (ex : l'un des fondateurs a un autre revenu, l'autre n'en a pas).</w:t>
      </w:r>
    </w:p>
    <w:p>
      <w:pPr>
        <w:spacing w:after="80" w:before="80"/>
      </w:pPr>
      <w:r>
        <w:rPr>
          <w:rFonts w:ascii="Arial" w:cs="Arial" w:eastAsia="Arial" w:hAnsi="Arial"/>
          <w:b/>
          <w:bCs/>
          <w:color w:val="181614"/>
          <w:sz w:val="21"/>
          <w:szCs w:val="21"/>
        </w:rPr>
        <w:t xml:space="preserve">Frais professionnels : </w:t>
      </w:r>
      <w:r>
        <w:rPr>
          <w:rFonts w:ascii="Arial" w:cs="Arial" w:eastAsia="Arial" w:hAnsi="Arial"/>
          <w:color w:val="4a4540"/>
          <w:sz w:val="21"/>
          <w:szCs w:val="21"/>
        </w:rPr>
        <w:t xml:space="preserve">En complément du salaire, les fondateurs peuvent se faire rembourser les frais réels sur justificatifs : déplacements, repas professionnels, matériel. À tracer rigoureusement pour éviter tout risque de requalification.</w:t>
      </w:r>
    </w:p>
    <w:p>
      <w:pPr>
        <w:pBdr>
          <w:left w:val="single" w:color="C8241A" w:sz="12"/>
        </w:pBdr>
        <w:spacing w:after="120" w:before="120"/>
        <w:ind w:left="240"/>
      </w:pPr>
      <w:r>
        <w:rPr>
          <w:rFonts w:ascii="Arial" w:cs="Arial" w:eastAsia="Arial" w:hAnsi="Arial"/>
          <w:color w:val="C8241A"/>
          <w:sz w:val="21"/>
          <w:szCs w:val="21"/>
        </w:rPr>
        <w:t xml:space="preserve">⚠ Ne jamais se verser des dividendes avant qu'un expert-comptable ait validé que la SAS dispose de réserves distribuables suffisantes et que la trésorerie le permet. Une distribution excessive peut engager la responsabilité du Président.</w:t>
      </w:r>
    </w:p>
    <w:p>
      <w:r>
        <w:br w:type="page"/>
      </w:r>
    </w:p>
    <w:p>
      <w:pPr>
        <w:spacing w:after="60" w:before="80"/>
      </w:pPr>
      <w:r>
        <w:rPr>
          <w:rFonts w:ascii="Arial" w:cs="Arial" w:eastAsia="Arial" w:hAnsi="Arial"/>
          <w:b/>
          <w:bCs/>
          <w:color w:val="C8241A"/>
          <w:sz w:val="17"/>
          <w:szCs w:val="17"/>
        </w:rPr>
        <w:t xml:space="preserve">— C — PLAN RH</w:t>
      </w:r>
    </w:p>
    <w:p>
      <w:pPr>
        <w:pStyle w:val="Heading1"/>
        <w:spacing w:after="180" w:before="360"/>
      </w:pPr>
      <w:r>
        <w:rPr>
          <w:rFonts w:ascii="Arial" w:cs="Arial" w:eastAsia="Arial" w:hAnsi="Arial"/>
          <w:b/>
          <w:bCs/>
          <w:color w:val="181614"/>
          <w:sz w:val="36"/>
          <w:szCs w:val="36"/>
        </w:rPr>
        <w:t xml:space="preserve">PLAN RH — PROFILS, CERTIFICATIONS, COÛTS</w:t>
      </w:r>
    </w:p>
    <w:p>
      <w:pPr>
        <w:pBdr>
          <w:bottom w:val="single" w:color="D8D4CC" w:sz="4"/>
        </w:pBdr>
        <w:spacing w:after="200" w:before="200"/>
      </w:pPr>
    </w:p>
    <w:p>
      <w:pPr>
        <w:pStyle w:val="Heading2"/>
        <w:spacing w:after="140" w:before="280"/>
      </w:pPr>
      <w:r>
        <w:rPr>
          <w:rFonts w:ascii="Arial" w:cs="Arial" w:eastAsia="Arial" w:hAnsi="Arial"/>
          <w:b/>
          <w:bCs/>
          <w:color w:val="C8241A"/>
          <w:sz w:val="26"/>
          <w:szCs w:val="26"/>
        </w:rPr>
        <w:t xml:space="preserve">Tableau des recrutements</w:t>
      </w:r>
    </w:p>
    <w:p>
      <w:pPr>
        <w:spacing w:after="80" w:before="80"/>
      </w:pPr>
      <w:r>
        <w:rPr>
          <w:rFonts w:ascii="Arial" w:cs="Arial" w:eastAsia="Arial" w:hAnsi="Arial"/>
          <w:color w:val="4a4540"/>
          <w:sz w:val="21"/>
          <w:szCs w:val="21"/>
        </w:rPr>
        <w:t xml:space="preserve">Le plan RH est structuré en deux vagues : les recrutements J1 (indispensables à l'ouverture) et les recrutements de croissance (An 2). Le coût total employeur intègre les charges patronales estimées à ~45% du brut pour un salarié au régime général.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80"/>
        <w:gridCol w:w="1280"/>
        <w:gridCol w:w="1600"/>
      </w:tblGrid>
      <w:tr>
        <w:tc>
          <w:tcPr>
            <w:tcW w:type="dxa" w:w="24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POSTE</w:t>
            </w:r>
          </w:p>
        </w:tc>
        <w:tc>
          <w:tcPr>
            <w:tcW w:type="dxa" w:w="14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QUAND</w:t>
            </w:r>
          </w:p>
        </w:tc>
        <w:tc>
          <w:tcPr>
            <w:tcW w:type="dxa" w:w="14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CERTIF. REQUISE</w:t>
            </w:r>
          </w:p>
        </w:tc>
        <w:tc>
          <w:tcPr>
            <w:tcW w:type="dxa" w:w="12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BRUT/MOIS</w:t>
            </w:r>
          </w:p>
        </w:tc>
        <w:tc>
          <w:tcPr>
            <w:tcW w:type="dxa" w:w="12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COÛT SAS</w:t>
            </w:r>
          </w:p>
        </w:tc>
        <w:tc>
          <w:tcPr>
            <w:tcW w:type="dxa" w:w="16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PRIORITÉ</w:t>
            </w:r>
          </w:p>
        </w:tc>
      </w:tr>
      <w:tr>
        <w:tc>
          <w:tcPr>
            <w:tcW w:type="dxa" w:w="2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MMA / Luta Livre</w:t>
            </w:r>
          </w:p>
        </w:tc>
        <w:tc>
          <w:tcPr>
            <w:tcW w:type="dxa" w:w="1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J1 ouverture</w:t>
            </w:r>
          </w:p>
        </w:tc>
        <w:tc>
          <w:tcPr>
            <w:tcW w:type="dxa" w:w="1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BPJEPS AGFF ou CQP MMA</w:t>
            </w:r>
          </w:p>
        </w:tc>
        <w:tc>
          <w:tcPr>
            <w:tcW w:type="dxa" w:w="12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2 000–2 500€</w:t>
            </w:r>
          </w:p>
        </w:tc>
        <w:tc>
          <w:tcPr>
            <w:tcW w:type="dxa" w:w="12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3 600–4 500€</w:t>
            </w:r>
          </w:p>
        </w:tc>
        <w:tc>
          <w:tcPr>
            <w:tcW w:type="dxa" w:w="16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CRITIQUE</w:t>
            </w:r>
          </w:p>
        </w:tc>
      </w:tr>
      <w:tr>
        <w:tc>
          <w:tcPr>
            <w:tcW w:type="dxa" w:w="2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Boxe / Muay Thaï</w:t>
            </w:r>
          </w:p>
        </w:tc>
        <w:tc>
          <w:tcPr>
            <w:tcW w:type="dxa" w:w="1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J1 ouverture</w:t>
            </w:r>
          </w:p>
        </w:tc>
        <w:tc>
          <w:tcPr>
            <w:tcW w:type="dxa" w:w="1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BPJEPS AGFF mention B ou D</w:t>
            </w:r>
          </w:p>
        </w:tc>
        <w:tc>
          <w:tcPr>
            <w:tcW w:type="dxa" w:w="12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2 000–2 400€</w:t>
            </w:r>
          </w:p>
        </w:tc>
        <w:tc>
          <w:tcPr>
            <w:tcW w:type="dxa" w:w="12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3 600–4 320€</w:t>
            </w:r>
          </w:p>
        </w:tc>
        <w:tc>
          <w:tcPr>
            <w:tcW w:type="dxa" w:w="16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CRITIQUE</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Barista / Responsable coffee</w:t>
            </w:r>
          </w:p>
        </w:tc>
        <w:tc>
          <w:tcPr>
            <w:tcW w:type="dxa" w:w="1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J1 ouverture</w:t>
            </w:r>
          </w:p>
        </w:tc>
        <w:tc>
          <w:tcPr>
            <w:tcW w:type="dxa" w:w="1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CAP barista ou formation café spécialité</w:t>
            </w:r>
          </w:p>
        </w:tc>
        <w:tc>
          <w:tcPr>
            <w:tcW w:type="dxa" w:w="12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1 900–2 200€</w:t>
            </w:r>
          </w:p>
        </w:tc>
        <w:tc>
          <w:tcPr>
            <w:tcW w:type="dxa" w:w="12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c>
          <w:tcPr>
            <w:tcW w:type="dxa" w:w="16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9A7A2E"/>
                <w:sz w:val="20"/>
                <w:szCs w:val="20"/>
              </w:rPr>
              <w:t xml:space="preserve">HAUTE</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BJJ / Grappling</w:t>
            </w:r>
          </w:p>
        </w:tc>
        <w:tc>
          <w:tcPr>
            <w:tcW w:type="dxa" w:w="1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M3–M4</w:t>
            </w:r>
          </w:p>
        </w:tc>
        <w:tc>
          <w:tcPr>
            <w:tcW w:type="dxa" w:w="1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CQP DEJEPS ou diplôme fédéral FFJJB</w:t>
            </w:r>
          </w:p>
        </w:tc>
        <w:tc>
          <w:tcPr>
            <w:tcW w:type="dxa" w:w="12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2 000–2 400€</w:t>
            </w:r>
          </w:p>
        </w:tc>
        <w:tc>
          <w:tcPr>
            <w:tcW w:type="dxa" w:w="12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3 600–4 320€</w:t>
            </w:r>
          </w:p>
        </w:tc>
        <w:tc>
          <w:tcPr>
            <w:tcW w:type="dxa" w:w="16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9A7A2E"/>
                <w:sz w:val="20"/>
                <w:szCs w:val="20"/>
              </w:rPr>
              <w:t xml:space="preserve">HAUTE</w:t>
            </w:r>
          </w:p>
        </w:tc>
      </w:tr>
      <w:tr>
        <w:tc>
          <w:tcPr>
            <w:tcW w:type="dxa" w:w="2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Enfants / Ados</w:t>
            </w:r>
          </w:p>
        </w:tc>
        <w:tc>
          <w:tcPr>
            <w:tcW w:type="dxa" w:w="1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M3 (si cours kids dès M3)</w:t>
            </w:r>
          </w:p>
        </w:tc>
        <w:tc>
          <w:tcPr>
            <w:tcW w:type="dxa" w:w="1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BPJEPS AGFF + casier B3 vierge obligatoire</w:t>
            </w:r>
          </w:p>
        </w:tc>
        <w:tc>
          <w:tcPr>
            <w:tcW w:type="dxa" w:w="12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1 900–2 200€</w:t>
            </w:r>
          </w:p>
        </w:tc>
        <w:tc>
          <w:tcPr>
            <w:tcW w:type="dxa" w:w="12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c>
          <w:tcPr>
            <w:tcW w:type="dxa" w:w="16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9A7A2E"/>
                <w:sz w:val="20"/>
                <w:szCs w:val="20"/>
              </w:rPr>
              <w:t xml:space="preserve">HAUTE</w:t>
            </w:r>
          </w:p>
        </w:tc>
      </w:tr>
      <w:tr>
        <w:tc>
          <w:tcPr>
            <w:tcW w:type="dxa" w:w="2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Community Manager / Vendeur boutique</w:t>
            </w:r>
          </w:p>
        </w:tc>
        <w:tc>
          <w:tcPr>
            <w:tcW w:type="dxa" w:w="1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M2–M3</w:t>
            </w:r>
          </w:p>
        </w:tc>
        <w:tc>
          <w:tcPr>
            <w:tcW w:type="dxa" w:w="1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Aucune — expérience retail/réseaux</w:t>
            </w:r>
          </w:p>
        </w:tc>
        <w:tc>
          <w:tcPr>
            <w:tcW w:type="dxa" w:w="12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1 800–2 000€</w:t>
            </w:r>
          </w:p>
        </w:tc>
        <w:tc>
          <w:tcPr>
            <w:tcW w:type="dxa" w:w="12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3 240–3 600€</w:t>
            </w:r>
          </w:p>
        </w:tc>
        <w:tc>
          <w:tcPr>
            <w:tcW w:type="dxa" w:w="16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4a4540"/>
                <w:sz w:val="20"/>
                <w:szCs w:val="20"/>
              </w:rPr>
              <w:t xml:space="preserve">MOYENNE</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Responsable opérationnel</w:t>
            </w:r>
          </w:p>
        </w:tc>
        <w:tc>
          <w:tcPr>
            <w:tcW w:type="dxa" w:w="1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An 2</w:t>
            </w:r>
          </w:p>
        </w:tc>
        <w:tc>
          <w:tcPr>
            <w:tcW w:type="dxa" w:w="1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Expérience gestion salle ou restauration</w:t>
            </w:r>
          </w:p>
        </w:tc>
        <w:tc>
          <w:tcPr>
            <w:tcW w:type="dxa" w:w="12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2 400–3 000€</w:t>
            </w:r>
          </w:p>
        </w:tc>
        <w:tc>
          <w:tcPr>
            <w:tcW w:type="dxa" w:w="12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4 320–5 400€</w:t>
            </w:r>
          </w:p>
        </w:tc>
        <w:tc>
          <w:tcPr>
            <w:tcW w:type="dxa" w:w="16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4a4540"/>
                <w:sz w:val="20"/>
                <w:szCs w:val="20"/>
              </w:rPr>
              <w:t xml:space="preserve">AN 2</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supplémentaire</w:t>
            </w:r>
          </w:p>
        </w:tc>
        <w:tc>
          <w:tcPr>
            <w:tcW w:type="dxa" w:w="1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An 2 si &gt; 300 membres</w:t>
            </w:r>
          </w:p>
        </w:tc>
        <w:tc>
          <w:tcPr>
            <w:tcW w:type="dxa" w:w="1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BPJEPS selon discipline</w:t>
            </w:r>
          </w:p>
        </w:tc>
        <w:tc>
          <w:tcPr>
            <w:tcW w:type="dxa" w:w="12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2 000–2 400€</w:t>
            </w:r>
          </w:p>
        </w:tc>
        <w:tc>
          <w:tcPr>
            <w:tcW w:type="dxa" w:w="12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3 600–4 320€</w:t>
            </w:r>
          </w:p>
        </w:tc>
        <w:tc>
          <w:tcPr>
            <w:tcW w:type="dxa" w:w="16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4a4540"/>
                <w:sz w:val="20"/>
                <w:szCs w:val="20"/>
              </w:rPr>
              <w:t xml:space="preserve">AN 2</w:t>
            </w:r>
          </w:p>
        </w:tc>
      </w:tr>
    </w:tbl>
    <w:p>
      <w:pPr>
        <w:spacing w:after="0" w:before="120"/>
      </w:pPr>
    </w:p>
    <w:p>
      <w:pPr>
        <w:pBdr>
          <w:left w:val="single" w:color="C8241A" w:sz="12"/>
        </w:pBdr>
        <w:spacing w:after="120" w:before="120"/>
        <w:ind w:left="240"/>
      </w:pPr>
      <w:r>
        <w:rPr>
          <w:rFonts w:ascii="Arial" w:cs="Arial" w:eastAsia="Arial" w:hAnsi="Arial"/>
          <w:color w:val="C8241A"/>
          <w:sz w:val="21"/>
          <w:szCs w:val="21"/>
        </w:rPr>
        <w:t xml:space="preserve">⚠ Les encadrants de mineurs (cours enfants et ados) doivent obligatoirement présenter un extrait de casier judiciaire B3 vierge. Cette vérification est de la responsabilité légale du dirigeant. Un oubli expose à des sanctions pénales.</w:t>
      </w:r>
    </w:p>
    <w:p>
      <w:pPr>
        <w:pBdr>
          <w:left w:val="single" w:color="9A7A2E" w:sz="12"/>
        </w:pBdr>
        <w:spacing w:after="120" w:before="120"/>
        <w:ind w:left="240"/>
      </w:pPr>
      <w:r>
        <w:rPr>
          <w:rFonts w:ascii="Arial" w:cs="Arial" w:eastAsia="Arial" w:hAnsi="Arial"/>
          <w:color w:val="9A7A2E"/>
          <w:sz w:val="21"/>
          <w:szCs w:val="21"/>
        </w:rPr>
        <w:t xml:space="preserve">→ Pour les coachs combat, privilégier des profils déjà installés dans le bassin Saint-Malo (SMBJJ, SLAMM, clubs existants) qui ont un réseau local et une réputation. Un coach externe sans ancrage local aura du mal à attirer des élèves.</w:t>
      </w:r>
    </w:p>
    <w:p>
      <w:pPr>
        <w:pStyle w:val="Heading2"/>
        <w:spacing w:after="140" w:before="280"/>
      </w:pPr>
      <w:r>
        <w:rPr>
          <w:rFonts w:ascii="Arial" w:cs="Arial" w:eastAsia="Arial" w:hAnsi="Arial"/>
          <w:b/>
          <w:bCs/>
          <w:color w:val="C8241A"/>
          <w:sz w:val="26"/>
          <w:szCs w:val="26"/>
        </w:rPr>
        <w:t xml:space="preserve">Certifications obligatoires et recommandées</w:t>
      </w:r>
    </w:p>
    <w:p>
      <w:pPr>
        <w:spacing w:after="80" w:before="80"/>
      </w:pPr>
      <w:r>
        <w:rPr>
          <w:rFonts w:ascii="Arial" w:cs="Arial" w:eastAsia="Arial" w:hAnsi="Arial"/>
          <w:color w:val="4a4540"/>
          <w:sz w:val="21"/>
          <w:szCs w:val="21"/>
        </w:rPr>
        <w:t xml:space="preserve">L'encadrement d'activités physiques contre rémunération est réglementé en France. Tout coach doit être titulaire d'un diplôme homologué par l'État. Le tableau ci-dessous liste les diplômes pertinents pour FightCoffee.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DIPLÔME</w:t>
            </w:r>
          </w:p>
        </w:tc>
        <w:tc>
          <w:tcPr>
            <w:tcW w:type="dxa" w:w="22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DISCIPLINES COUVERTES</w:t>
            </w:r>
          </w:p>
        </w:tc>
        <w:tc>
          <w:tcPr>
            <w:tcW w:type="dxa" w:w="22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DURÉE FORMATION</w:t>
            </w:r>
          </w:p>
        </w:tc>
        <w:tc>
          <w:tcPr>
            <w:tcW w:type="dxa" w:w="216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COÛT APPROX.</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BPJEPS AGFF Mention A</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Haltérophilie, Musculation, Forme</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400–600h en alternance</w:t>
            </w:r>
          </w:p>
        </w:tc>
        <w:tc>
          <w:tcPr>
            <w:tcW w:type="dxa" w:w="2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2 000–5 000€</w:t>
            </w:r>
          </w:p>
        </w:tc>
      </w:tr>
      <w:tr>
        <w:tc>
          <w:tcPr>
            <w:tcW w:type="dxa" w:w="2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BPJEPS AGFF Mention B</w:t>
            </w:r>
          </w:p>
        </w:tc>
        <w:tc>
          <w:tcPr>
            <w:tcW w:type="dxa" w:w="2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Luttes, Judo, Sports de préhension</w:t>
            </w:r>
          </w:p>
        </w:tc>
        <w:tc>
          <w:tcPr>
            <w:tcW w:type="dxa" w:w="2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400–600h</w:t>
            </w:r>
          </w:p>
        </w:tc>
        <w:tc>
          <w:tcPr>
            <w:tcW w:type="dxa" w:w="216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2 000–5 000€</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BPJEPS AGFF Mention D</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Boxe anglaise, Savate, Muay Thaï</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400–600h</w:t>
            </w:r>
          </w:p>
        </w:tc>
        <w:tc>
          <w:tcPr>
            <w:tcW w:type="dxa" w:w="2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2 000–5 000€</w:t>
            </w:r>
          </w:p>
        </w:tc>
      </w:tr>
      <w:tr>
        <w:tc>
          <w:tcPr>
            <w:tcW w:type="dxa" w:w="28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CQP Instructeur MMA (FMMAF)</w:t>
            </w:r>
          </w:p>
        </w:tc>
        <w:tc>
          <w:tcPr>
            <w:tcW w:type="dxa" w:w="22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MMA complet</w:t>
            </w:r>
          </w:p>
        </w:tc>
        <w:tc>
          <w:tcPr>
            <w:tcW w:type="dxa" w:w="22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Formation fédérale ~100h</w:t>
            </w:r>
          </w:p>
        </w:tc>
        <w:tc>
          <w:tcPr>
            <w:tcW w:type="dxa" w:w="21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800–1 500€</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CQP Instructeur BJJ (FFJJB)</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Brazilian Jiu-Jitsu</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Formation fédérale ~80h</w:t>
            </w:r>
          </w:p>
        </w:tc>
        <w:tc>
          <w:tcPr>
            <w:tcW w:type="dxa" w:w="2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600–1 200€</w:t>
            </w:r>
          </w:p>
        </w:tc>
      </w:tr>
      <w:tr>
        <w:tc>
          <w:tcPr>
            <w:tcW w:type="dxa" w:w="28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DEJEPS Performance sportive</w:t>
            </w:r>
          </w:p>
        </w:tc>
        <w:tc>
          <w:tcPr>
            <w:tcW w:type="dxa" w:w="2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Entraîneur niveau 2 — compétition</w:t>
            </w:r>
          </w:p>
        </w:tc>
        <w:tc>
          <w:tcPr>
            <w:tcW w:type="dxa" w:w="2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900h minimum</w:t>
            </w:r>
          </w:p>
        </w:tc>
        <w:tc>
          <w:tcPr>
            <w:tcW w:type="dxa" w:w="216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4 000–8 000€</w:t>
            </w:r>
          </w:p>
        </w:tc>
      </w:tr>
      <w:tr>
        <w:tc>
          <w:tcPr>
            <w:tcW w:type="dxa" w:w="28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Attestation Casier B3 vierge</w:t>
            </w:r>
          </w:p>
        </w:tc>
        <w:tc>
          <w:tcPr>
            <w:tcW w:type="dxa" w:w="22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Obligatoire TOUS les encadrants mineurs</w:t>
            </w:r>
          </w:p>
        </w:tc>
        <w:tc>
          <w:tcPr>
            <w:tcW w:type="dxa" w:w="22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Gratuit — demande en ligne</w:t>
            </w:r>
          </w:p>
        </w:tc>
        <w:tc>
          <w:tcPr>
            <w:tcW w:type="dxa" w:w="216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0€</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Formation Gestes qui Sauvent</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SST ou PSC1 recommandé</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7h — obligatoire si &gt; X pratiquants</w:t>
            </w:r>
          </w:p>
        </w:tc>
        <w:tc>
          <w:tcPr>
            <w:tcW w:type="dxa" w:w="21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60–120€/personne</w:t>
            </w:r>
          </w:p>
        </w:tc>
      </w:tr>
    </w:tbl>
    <w:p>
      <w:pPr>
        <w:spacing w:after="0" w:before="120"/>
      </w:pPr>
    </w:p>
    <w:p>
      <w:pPr>
        <w:spacing w:after="80" w:before="80"/>
      </w:pPr>
      <w:r>
        <w:rPr>
          <w:rFonts w:ascii="Arial" w:cs="Arial" w:eastAsia="Arial" w:hAnsi="Arial"/>
          <w:b/>
          <w:bCs/>
          <w:color w:val="181614"/>
          <w:sz w:val="21"/>
          <w:szCs w:val="21"/>
        </w:rPr>
        <w:t xml:space="preserve">BPJEPS vs CQP : </w:t>
      </w:r>
      <w:r>
        <w:rPr>
          <w:rFonts w:ascii="Arial" w:cs="Arial" w:eastAsia="Arial" w:hAnsi="Arial"/>
          <w:color w:val="4a4540"/>
          <w:sz w:val="21"/>
          <w:szCs w:val="21"/>
        </w:rPr>
        <w:t xml:space="preserve">Le BPJEPS est le diplôme d'État de référence (niveau 4, BAC). Le CQP est un Certificat de Qualification Professionnelle délivré par la fédération — il autorise l'encadrement mais est moins reconnu pour un emploi salarié. Privilégier BPJEPS pour les coachs permanents.</w:t>
      </w:r>
    </w:p>
    <w:p>
      <w:pPr>
        <w:spacing w:after="80" w:before="80"/>
      </w:pPr>
      <w:r>
        <w:rPr>
          <w:rFonts w:ascii="Arial" w:cs="Arial" w:eastAsia="Arial" w:hAnsi="Arial"/>
          <w:b/>
          <w:bCs/>
          <w:color w:val="181614"/>
          <w:sz w:val="21"/>
          <w:szCs w:val="21"/>
        </w:rPr>
        <w:t xml:space="preserve">Formation continue : </w:t>
      </w:r>
      <w:r>
        <w:rPr>
          <w:rFonts w:ascii="Arial" w:cs="Arial" w:eastAsia="Arial" w:hAnsi="Arial"/>
          <w:color w:val="4a4540"/>
          <w:sz w:val="21"/>
          <w:szCs w:val="21"/>
        </w:rPr>
        <w:t xml:space="preserve">Prévoir un budget formation de 500–1 000€ par coach et par an pour les recyclages, nouveaux modules et stages de perfectionnement. Finançable via l'OPCO Afdas (OPCO du sport et des loisirs).</w:t>
      </w:r>
    </w:p>
    <w:p>
      <w:pPr>
        <w:spacing w:after="80" w:before="80"/>
      </w:pPr>
      <w:r>
        <w:rPr>
          <w:rFonts w:ascii="Arial" w:cs="Arial" w:eastAsia="Arial" w:hAnsi="Arial"/>
          <w:b/>
          <w:bCs/>
          <w:color w:val="181614"/>
          <w:sz w:val="21"/>
          <w:szCs w:val="21"/>
        </w:rPr>
        <w:t xml:space="preserve">OPCO Afdas : </w:t>
      </w:r>
      <w:r>
        <w:rPr>
          <w:rFonts w:ascii="Arial" w:cs="Arial" w:eastAsia="Arial" w:hAnsi="Arial"/>
          <w:color w:val="4a4540"/>
          <w:sz w:val="21"/>
          <w:szCs w:val="21"/>
        </w:rPr>
        <w:t xml:space="preserve">L'OPCO compétent pour les salles de sport est Afdas. Il prend en charge tout ou partie des formations des salariés. Adhésion obligatoire dès le premier salarié. Contact : afdas.com</w:t>
      </w:r>
    </w:p>
    <w:p>
      <w:pPr>
        <w:pStyle w:val="Heading2"/>
        <w:spacing w:after="140" w:before="280"/>
      </w:pPr>
      <w:r>
        <w:rPr>
          <w:rFonts w:ascii="Arial" w:cs="Arial" w:eastAsia="Arial" w:hAnsi="Arial"/>
          <w:b/>
          <w:bCs/>
          <w:color w:val="C8241A"/>
          <w:sz w:val="26"/>
          <w:szCs w:val="26"/>
        </w:rPr>
        <w:t xml:space="preserve">Masse salariale prévisionnelle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ÉQUIPE</w:t>
            </w:r>
          </w:p>
        </w:tc>
        <w:tc>
          <w:tcPr>
            <w:tcW w:type="dxa" w:w="212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M1–M6 /MOIS</w:t>
            </w:r>
          </w:p>
        </w:tc>
        <w:tc>
          <w:tcPr>
            <w:tcW w:type="dxa" w:w="212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M7–M12 /MOIS</w:t>
            </w:r>
          </w:p>
        </w:tc>
        <w:tc>
          <w:tcPr>
            <w:tcW w:type="dxa" w:w="212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AN 2 /MOIS</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2 coachs J1 (MMA + Boxe)</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7 200–9 000€</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7 200–9 000€</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7 200–9 000€</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1 barista</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c>
          <w:tcPr>
            <w:tcW w:type="dxa" w:w="21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1 coach enfants (M3+)</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3 420–3 960€</w:t>
            </w:r>
          </w:p>
        </w:tc>
      </w:tr>
      <w:tr>
        <w:tc>
          <w:tcPr>
            <w:tcW w:type="dxa" w:w="30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Community manager (M3+)</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3 240–3 600€</w:t>
            </w:r>
          </w:p>
        </w:tc>
        <w:tc>
          <w:tcPr>
            <w:tcW w:type="dxa" w:w="21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3 240–3 600€</w:t>
            </w:r>
          </w:p>
        </w:tc>
      </w:tr>
      <w:tr>
        <w:tc>
          <w:tcPr>
            <w:tcW w:type="dxa" w:w="30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Coach BJJ (M4+)</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3 600–4 320€</w:t>
            </w:r>
          </w:p>
        </w:tc>
      </w:tr>
      <w:tr>
        <w:tc>
          <w:tcPr>
            <w:tcW w:type="dxa" w:w="30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Resp. opérationnel (An 2)</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w:t>
            </w:r>
          </w:p>
        </w:tc>
        <w:tc>
          <w:tcPr>
            <w:tcW w:type="dxa" w:w="21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4 320–5 400€</w:t>
            </w:r>
          </w:p>
        </w:tc>
      </w:tr>
      <w:tr>
        <w:tc>
          <w:tcPr>
            <w:tcW w:type="dxa" w:w="30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Fondateurs (progression)</w:t>
            </w:r>
          </w:p>
        </w:tc>
        <w:tc>
          <w:tcPr>
            <w:tcW w:type="dxa" w:w="21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0–2 880€</w:t>
            </w:r>
          </w:p>
        </w:tc>
        <w:tc>
          <w:tcPr>
            <w:tcW w:type="dxa" w:w="21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4 320–6 480€</w:t>
            </w:r>
          </w:p>
        </w:tc>
        <w:tc>
          <w:tcPr>
            <w:tcW w:type="dxa" w:w="21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7 200–10 080€</w:t>
            </w:r>
          </w:p>
        </w:tc>
      </w:tr>
      <w:tr>
        <w:tc>
          <w:tcPr>
            <w:tcW w:type="dxa" w:w="300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left"/>
            </w:pPr>
            <w:r>
              <w:rPr>
                <w:rFonts w:ascii="Arial" w:cs="Arial" w:eastAsia="Arial" w:hAnsi="Arial"/>
                <w:b/>
                <w:bCs/>
                <w:color w:val="FFFFFF"/>
                <w:sz w:val="20"/>
                <w:szCs w:val="20"/>
              </w:rPr>
              <w:t xml:space="preserve">TOTAL MASSE SALARIALE</w:t>
            </w:r>
          </w:p>
        </w:tc>
        <w:tc>
          <w:tcPr>
            <w:tcW w:type="dxa" w:w="212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center"/>
            </w:pPr>
            <w:r>
              <w:rPr>
                <w:rFonts w:ascii="Arial" w:cs="Arial" w:eastAsia="Arial" w:hAnsi="Arial"/>
                <w:b/>
                <w:bCs/>
                <w:color w:val="F5ECE9"/>
                <w:sz w:val="20"/>
                <w:szCs w:val="20"/>
              </w:rPr>
              <w:t xml:space="preserve">10 620–15 840€</w:t>
            </w:r>
          </w:p>
        </w:tc>
        <w:tc>
          <w:tcPr>
            <w:tcW w:type="dxa" w:w="212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center"/>
            </w:pPr>
            <w:r>
              <w:rPr>
                <w:rFonts w:ascii="Arial" w:cs="Arial" w:eastAsia="Arial" w:hAnsi="Arial"/>
                <w:b/>
                <w:bCs/>
                <w:color w:val="F5ECE9"/>
                <w:sz w:val="20"/>
                <w:szCs w:val="20"/>
              </w:rPr>
              <w:t xml:space="preserve">21 600–27 000€</w:t>
            </w:r>
          </w:p>
        </w:tc>
        <w:tc>
          <w:tcPr>
            <w:tcW w:type="dxa" w:w="212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center"/>
            </w:pPr>
            <w:r>
              <w:rPr>
                <w:rFonts w:ascii="Arial" w:cs="Arial" w:eastAsia="Arial" w:hAnsi="Arial"/>
                <w:b/>
                <w:bCs/>
                <w:color w:val="F5ECE9"/>
                <w:sz w:val="20"/>
                <w:szCs w:val="20"/>
              </w:rPr>
              <w:t xml:space="preserve">32 400–40 320€</w:t>
            </w:r>
          </w:p>
        </w:tc>
      </w:tr>
    </w:tbl>
    <w:p>
      <w:r>
        <w:br w:type="page"/>
      </w:r>
    </w:p>
    <w:p>
      <w:pPr>
        <w:spacing w:after="60" w:before="80"/>
      </w:pPr>
      <w:r>
        <w:rPr>
          <w:rFonts w:ascii="Arial" w:cs="Arial" w:eastAsia="Arial" w:hAnsi="Arial"/>
          <w:b/>
          <w:bCs/>
          <w:color w:val="C8241A"/>
          <w:sz w:val="17"/>
          <w:szCs w:val="17"/>
        </w:rPr>
        <w:t xml:space="preserve">— D — ANALYSE LOCALE &amp; BAIL</w:t>
      </w:r>
    </w:p>
    <w:p>
      <w:pPr>
        <w:pStyle w:val="Heading1"/>
        <w:spacing w:after="180" w:before="360"/>
      </w:pPr>
      <w:r>
        <w:rPr>
          <w:rFonts w:ascii="Arial" w:cs="Arial" w:eastAsia="Arial" w:hAnsi="Arial"/>
          <w:b/>
          <w:bCs/>
          <w:color w:val="181614"/>
          <w:sz w:val="36"/>
          <w:szCs w:val="36"/>
        </w:rPr>
        <w:t xml:space="preserve">BAIL COMMERCIAL — SIMULATION &amp; NÉGOCIATION</w:t>
      </w:r>
    </w:p>
    <w:p>
      <w:pPr>
        <w:pBdr>
          <w:bottom w:val="single" w:color="D8D4CC" w:sz="4"/>
        </w:pBdr>
        <w:spacing w:after="200" w:before="200"/>
      </w:pPr>
    </w:p>
    <w:p>
      <w:pPr>
        <w:pStyle w:val="Heading2"/>
        <w:spacing w:after="140" w:before="280"/>
      </w:pPr>
      <w:r>
        <w:rPr>
          <w:rFonts w:ascii="Arial" w:cs="Arial" w:eastAsia="Arial" w:hAnsi="Arial"/>
          <w:b/>
          <w:bCs/>
          <w:color w:val="C8241A"/>
          <w:sz w:val="26"/>
          <w:szCs w:val="26"/>
        </w:rPr>
        <w:t xml:space="preserve">Marché immobilier commercial à Pleurtuit</w:t>
      </w:r>
    </w:p>
    <w:p>
      <w:pPr>
        <w:spacing w:after="80" w:before="80"/>
      </w:pPr>
      <w:r>
        <w:rPr>
          <w:rFonts w:ascii="Arial" w:cs="Arial" w:eastAsia="Arial" w:hAnsi="Arial"/>
          <w:color w:val="4a4540"/>
          <w:sz w:val="21"/>
          <w:szCs w:val="21"/>
        </w:rPr>
        <w:t xml:space="preserve">Pleurtuit est une commune en développement sur l'axe Saint-Malo / Dinard, avec un tissu commercial en croissance autour de la zone d'activités de la Croix Verte et de la RN137. Les loyers commerciaux y sont significativement inférieurs à Saint-Malo intra-muros ou Dinard centre, ce qui est un avantage structurel pour FightCoffee.</w:t>
      </w:r>
    </w:p>
    <w:p>
      <w:pPr>
        <w:spacing w:after="80" w:before="80"/>
      </w:pPr>
      <w:r>
        <w:rPr>
          <w:rFonts w:ascii="Arial" w:cs="Arial" w:eastAsia="Arial" w:hAnsi="Arial"/>
          <w:b/>
          <w:bCs/>
          <w:color w:val="181614"/>
          <w:sz w:val="21"/>
          <w:szCs w:val="21"/>
        </w:rPr>
        <w:t xml:space="preserve">Zone cible n°1 : </w:t>
      </w:r>
      <w:r>
        <w:rPr>
          <w:rFonts w:ascii="Arial" w:cs="Arial" w:eastAsia="Arial" w:hAnsi="Arial"/>
          <w:color w:val="4a4540"/>
          <w:sz w:val="21"/>
          <w:szCs w:val="21"/>
        </w:rPr>
        <w:t xml:space="preserve">Zone d'activités de la Croix Verte (Pleurtuit) — locaux commerciaux neufs ou récents, accès voiture direct, visibilité depuis la RD et à 2 min du centre bourg. Loyers estimés 12–16 €/m².</w:t>
      </w:r>
    </w:p>
    <w:p>
      <w:pPr>
        <w:spacing w:after="80" w:before="80"/>
      </w:pPr>
      <w:r>
        <w:rPr>
          <w:rFonts w:ascii="Arial" w:cs="Arial" w:eastAsia="Arial" w:hAnsi="Arial"/>
          <w:b/>
          <w:bCs/>
          <w:color w:val="181614"/>
          <w:sz w:val="21"/>
          <w:szCs w:val="21"/>
        </w:rPr>
        <w:t xml:space="preserve">Zone cible n°2 : </w:t>
      </w:r>
      <w:r>
        <w:rPr>
          <w:rFonts w:ascii="Arial" w:cs="Arial" w:eastAsia="Arial" w:hAnsi="Arial"/>
          <w:color w:val="4a4540"/>
          <w:sz w:val="21"/>
          <w:szCs w:val="21"/>
        </w:rPr>
        <w:t xml:space="preserve">Zone artisanale Miniac-Morvan — à 5 min de Pleurtuit, loyers plus bas (10–14 €/m²) mais visibilité moindre. Solution de repli.</w:t>
      </w:r>
    </w:p>
    <w:p>
      <w:pPr>
        <w:spacing w:after="80" w:before="80"/>
      </w:pPr>
      <w:r>
        <w:rPr>
          <w:rFonts w:ascii="Arial" w:cs="Arial" w:eastAsia="Arial" w:hAnsi="Arial"/>
          <w:b/>
          <w:bCs/>
          <w:color w:val="181614"/>
          <w:sz w:val="21"/>
          <w:szCs w:val="21"/>
        </w:rPr>
        <w:t xml:space="preserve">Zone à éviter : </w:t>
      </w:r>
      <w:r>
        <w:rPr>
          <w:rFonts w:ascii="Arial" w:cs="Arial" w:eastAsia="Arial" w:hAnsi="Arial"/>
          <w:color w:val="4a4540"/>
          <w:sz w:val="21"/>
          <w:szCs w:val="21"/>
        </w:rPr>
        <w:t xml:space="preserve">Centre-bourg de Saint-Malo ou Dinard — loyers 20–30 €/m², peu de parkings, surface inadaptée. Hors budget pour 350 m².</w:t>
      </w:r>
    </w:p>
    <w:p>
      <w:pPr>
        <w:pBdr>
          <w:left w:val="single" w:color="9A7A2E" w:sz="12"/>
        </w:pBdr>
        <w:spacing w:after="120" w:before="120"/>
        <w:ind w:left="240"/>
      </w:pPr>
      <w:r>
        <w:rPr>
          <w:rFonts w:ascii="Arial" w:cs="Arial" w:eastAsia="Arial" w:hAnsi="Arial"/>
          <w:color w:val="9A7A2E"/>
          <w:sz w:val="21"/>
          <w:szCs w:val="21"/>
        </w:rPr>
        <w:t xml:space="preserve">→ Contacter directement la Mairie de Pleurtuit et la Communauté de Communes Côte d'Emeraude — certaines collectivités ont des locaux à louer à des conditions préférentielles pour des projets sportifs à vocation locale.</w:t>
      </w:r>
    </w:p>
    <w:p>
      <w:pPr>
        <w:spacing w:after="0" w:before="120"/>
      </w:pPr>
    </w:p>
    <w:p>
      <w:pPr>
        <w:pStyle w:val="Heading2"/>
        <w:spacing w:after="140" w:before="280"/>
      </w:pPr>
      <w:r>
        <w:rPr>
          <w:rFonts w:ascii="Arial" w:cs="Arial" w:eastAsia="Arial" w:hAnsi="Arial"/>
          <w:b/>
          <w:bCs/>
          <w:color w:val="C8241A"/>
          <w:sz w:val="26"/>
          <w:szCs w:val="26"/>
        </w:rPr>
        <w:t xml:space="preserve">Simulation de loyer selon surface et zone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SURFACE / SCÉNARIO</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€/M²/MOIS</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LOYER BRUT/MOIS</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CHARGES EST.</w:t>
            </w:r>
          </w:p>
        </w:tc>
        <w:tc>
          <w:tcPr>
            <w:tcW w:type="dxa" w:w="192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TOTAL MENSUEL</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300 m² — loyer bas (zone périphérie)</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12 €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3 600 €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540 €</w:t>
            </w:r>
          </w:p>
        </w:tc>
        <w:tc>
          <w:tcPr>
            <w:tcW w:type="dxa" w:w="19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4 140 €</w:t>
            </w:r>
          </w:p>
        </w:tc>
      </w:tr>
      <w:tr>
        <w:tc>
          <w:tcPr>
            <w:tcW w:type="dxa" w:w="24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300 m² — loyer moyen</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15 €</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4 500 €</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675 €</w:t>
            </w:r>
          </w:p>
        </w:tc>
        <w:tc>
          <w:tcPr>
            <w:tcW w:type="dxa" w:w="192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5 175 €</w:t>
            </w:r>
          </w:p>
        </w:tc>
      </w:tr>
      <w:tr>
        <w:tc>
          <w:tcPr>
            <w:tcW w:type="dxa" w:w="2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350 m² — loyer cible BP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15 €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5 250 €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787 €</w:t>
            </w:r>
          </w:p>
        </w:tc>
        <w:tc>
          <w:tcPr>
            <w:tcW w:type="dxa" w:w="19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6 037 €</w:t>
            </w:r>
          </w:p>
        </w:tc>
      </w:tr>
      <w:tr>
        <w:tc>
          <w:tcPr>
            <w:tcW w:type="dxa" w:w="24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350 m² — loyer élevé (zone prime)</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18 €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6 300 €</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945 €</w:t>
            </w:r>
          </w:p>
        </w:tc>
        <w:tc>
          <w:tcPr>
            <w:tcW w:type="dxa" w:w="192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7 245 €</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400 m² — loyer moyen</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15 €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6 000 €</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900 €</w:t>
            </w:r>
          </w:p>
        </w:tc>
        <w:tc>
          <w:tcPr>
            <w:tcW w:type="dxa" w:w="192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6 900 €</w:t>
            </w:r>
          </w:p>
        </w:tc>
      </w:tr>
      <w:tr>
        <w:tc>
          <w:tcPr>
            <w:tcW w:type="dxa" w:w="24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400 m² — loyer élevé</w:t>
            </w:r>
          </w:p>
        </w:tc>
        <w:tc>
          <w:tcPr>
            <w:tcW w:type="dxa" w:w="1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18 €</w:t>
            </w:r>
          </w:p>
        </w:tc>
        <w:tc>
          <w:tcPr>
            <w:tcW w:type="dxa" w:w="1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7 200 €</w:t>
            </w:r>
          </w:p>
        </w:tc>
        <w:tc>
          <w:tcPr>
            <w:tcW w:type="dxa" w:w="1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1 080 €</w:t>
            </w:r>
          </w:p>
        </w:tc>
        <w:tc>
          <w:tcPr>
            <w:tcW w:type="dxa" w:w="192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8 280 €</w:t>
            </w:r>
          </w:p>
        </w:tc>
      </w:tr>
    </w:tbl>
    <w:p>
      <w:pPr>
        <w:spacing w:after="0" w:before="120"/>
      </w:pPr>
    </w:p>
    <w:p>
      <w:pPr>
        <w:spacing w:after="80" w:before="80"/>
      </w:pPr>
      <w:r>
        <w:rPr>
          <w:rFonts w:ascii="Arial" w:cs="Arial" w:eastAsia="Arial" w:hAnsi="Arial"/>
          <w:color w:val="4a4540"/>
          <w:sz w:val="21"/>
          <w:szCs w:val="21"/>
        </w:rPr>
        <w:t xml:space="preserve">Le scénario BP retenu (350 m² à 15 €/m²) génère un loyer brut de 5 250 €/mois, charges comprises environ 6 037 €/mois. C'est le point d'équilibre entre surface suffisante et charge supportable. En dessous de 300 m², l'offre sportive est trop contrainte. Au-dessus de 400 m², la charge devient critique sur les premiers mois.</w:t>
      </w:r>
    </w:p>
    <w:p>
      <w:pPr>
        <w:pStyle w:val="Heading2"/>
        <w:spacing w:after="140" w:before="280"/>
      </w:pPr>
      <w:r>
        <w:rPr>
          <w:rFonts w:ascii="Arial" w:cs="Arial" w:eastAsia="Arial" w:hAnsi="Arial"/>
          <w:b/>
          <w:bCs/>
          <w:color w:val="C8241A"/>
          <w:sz w:val="26"/>
          <w:szCs w:val="26"/>
        </w:rPr>
        <w:t xml:space="preserve">Points de négociation du bail commercial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POINT DE NÉGOCIATION</w:t>
            </w:r>
          </w:p>
        </w:tc>
        <w:tc>
          <w:tcPr>
            <w:tcW w:type="dxa" w:w="30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STANDARD MARCHÉ</w:t>
            </w:r>
          </w:p>
        </w:tc>
        <w:tc>
          <w:tcPr>
            <w:tcW w:type="dxa" w:w="30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OBJECTIF FIGHTCOFFEE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Durée du bail</w:t>
            </w:r>
          </w:p>
        </w:tc>
        <w:tc>
          <w:tcPr>
            <w:tcW w:type="dxa" w:w="30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Bail commercial 3-6-9 (9 ans)</w:t>
            </w:r>
          </w:p>
        </w:tc>
        <w:tc>
          <w:tcPr>
            <w:tcW w:type="dxa" w:w="30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3-6-9 avec option de sortie à 3 ans si fermeture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Loyer (€/m²/mois)</w:t>
            </w:r>
          </w:p>
        </w:tc>
        <w:tc>
          <w:tcPr>
            <w:tcW w:type="dxa" w:w="30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12–22 €/m² selon zone Pleurtuit</w:t>
            </w:r>
          </w:p>
        </w:tc>
        <w:tc>
          <w:tcPr>
            <w:tcW w:type="dxa" w:w="30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Viser 14–17 €/m² max pour 350 m² = 4 900–5 950€/mois</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Dépôt de garantie</w:t>
            </w:r>
          </w:p>
        </w:tc>
        <w:tc>
          <w:tcPr>
            <w:tcW w:type="dxa" w:w="30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2 à 3 mois de loyer</w:t>
            </w:r>
          </w:p>
        </w:tc>
        <w:tc>
          <w:tcPr>
            <w:tcW w:type="dxa" w:w="30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Négocier à 1 mois si locataire solide / caution bancaire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Franchise de loyer</w:t>
            </w:r>
          </w:p>
        </w:tc>
        <w:tc>
          <w:tcPr>
            <w:tcW w:type="dxa" w:w="30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0 à 3 mois selon état du local</w:t>
            </w:r>
          </w:p>
        </w:tc>
        <w:tc>
          <w:tcPr>
            <w:tcW w:type="dxa" w:w="30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Exiger 3–6 mois si travaux importants à ta charge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Travaux</w:t>
            </w:r>
          </w:p>
        </w:tc>
        <w:tc>
          <w:tcPr>
            <w:tcW w:type="dxa" w:w="30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À la charge du locataire en général</w:t>
            </w:r>
          </w:p>
        </w:tc>
        <w:tc>
          <w:tcPr>
            <w:tcW w:type="dxa" w:w="30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Négocier une participation propriétaire si travaux &gt; 80k€</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Charges récupérables</w:t>
            </w:r>
          </w:p>
        </w:tc>
        <w:tc>
          <w:tcPr>
            <w:tcW w:type="dxa" w:w="30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Variables selon contrat</w:t>
            </w:r>
          </w:p>
        </w:tc>
        <w:tc>
          <w:tcPr>
            <w:tcW w:type="dxa" w:w="30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Plafonner à 15% du loyer dans le bail ou liste exhaustive</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Clause destination</w:t>
            </w:r>
          </w:p>
        </w:tc>
        <w:tc>
          <w:tcPr>
            <w:tcW w:type="dxa" w:w="30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Restrictive par défaut</w:t>
            </w:r>
          </w:p>
        </w:tc>
        <w:tc>
          <w:tcPr>
            <w:tcW w:type="dxa" w:w="30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Obtenir destination large : salle de sport + commerce alimentaire + événementiel</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Indexation (ILC)</w:t>
            </w:r>
          </w:p>
        </w:tc>
        <w:tc>
          <w:tcPr>
            <w:tcW w:type="dxa" w:w="30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Annuelle sur Indice des Loyers Commerciaux</w:t>
            </w:r>
          </w:p>
        </w:tc>
        <w:tc>
          <w:tcPr>
            <w:tcW w:type="dxa" w:w="30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Standard — prévoir +2–3%/an dans le prévisionnel</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Droit au bail</w:t>
            </w:r>
          </w:p>
        </w:tc>
        <w:tc>
          <w:tcPr>
            <w:tcW w:type="dxa" w:w="30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0 si local vide / 20–80k€ si reprise fonds</w:t>
            </w:r>
          </w:p>
        </w:tc>
        <w:tc>
          <w:tcPr>
            <w:tcW w:type="dxa" w:w="30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Privilégier local vide ou avec droit au bail &lt; 15k€</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État des lieux</w:t>
            </w:r>
          </w:p>
        </w:tc>
        <w:tc>
          <w:tcPr>
            <w:tcW w:type="dxa" w:w="30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Contradictoire à l'entrée</w:t>
            </w:r>
          </w:p>
        </w:tc>
        <w:tc>
          <w:tcPr>
            <w:tcW w:type="dxa" w:w="30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Toujours faire appel à un huissier — coût 300–500€</w:t>
            </w:r>
          </w:p>
        </w:tc>
      </w:tr>
    </w:tbl>
    <w:p>
      <w:pPr>
        <w:spacing w:after="0" w:before="120"/>
      </w:pPr>
    </w:p>
    <w:p>
      <w:pPr>
        <w:spacing w:after="80" w:before="80"/>
      </w:pPr>
      <w:r>
        <w:rPr>
          <w:rFonts w:ascii="Arial" w:cs="Arial" w:eastAsia="Arial" w:hAnsi="Arial"/>
          <w:b/>
          <w:bCs/>
          <w:color w:val="181614"/>
          <w:sz w:val="21"/>
          <w:szCs w:val="21"/>
        </w:rPr>
        <w:t xml:space="preserve">Checklist avant signature : </w:t>
      </w:r>
      <w:r>
        <w:rPr>
          <w:rFonts w:ascii="Arial" w:cs="Arial" w:eastAsia="Arial" w:hAnsi="Arial"/>
          <w:color w:val="4a4540"/>
          <w:sz w:val="21"/>
          <w:szCs w:val="21"/>
        </w:rPr>
        <w:t xml:space="preserve">Faire vérifier le bail par un avocat ou un expert-comptable spécialisé en baux commerciaux (coût : 500–1 500€). Ne jamais signer sans avoir vérifié : destination exacte, indexation, clause résolutoire, obligations de travaux, charges récupérables.</w:t>
      </w:r>
    </w:p>
    <w:p>
      <w:pPr>
        <w:pBdr>
          <w:left w:val="single" w:color="C8241A" w:sz="12"/>
        </w:pBdr>
        <w:spacing w:after="120" w:before="120"/>
        <w:ind w:left="240"/>
      </w:pPr>
      <w:r>
        <w:rPr>
          <w:rFonts w:ascii="Arial" w:cs="Arial" w:eastAsia="Arial" w:hAnsi="Arial"/>
          <w:color w:val="C8241A"/>
          <w:sz w:val="21"/>
          <w:szCs w:val="21"/>
        </w:rPr>
        <w:t xml:space="preserve">⚠ La clause de destination est critique : si le bail mentionne uniquement 'salle de sport', vous ne pouvez pas légalement exploiter un coffee shop ou organiser des événements payants. Exiger la mention explicite de toutes les activités prévues.</w:t>
      </w:r>
    </w:p>
    <w:p>
      <w:pPr>
        <w:pBdr>
          <w:left w:val="single" w:color="9A7A2E" w:sz="12"/>
        </w:pBdr>
        <w:spacing w:after="120" w:before="120"/>
        <w:ind w:left="240"/>
      </w:pPr>
      <w:r>
        <w:rPr>
          <w:rFonts w:ascii="Arial" w:cs="Arial" w:eastAsia="Arial" w:hAnsi="Arial"/>
          <w:color w:val="9A7A2E"/>
          <w:sz w:val="21"/>
          <w:szCs w:val="21"/>
        </w:rPr>
        <w:t xml:space="preserve">→ Séquence recommandée : 1) Trouver le local · 2) Lettre d'intention non engageante · 3) Négociation bail avec avocat · 4) Signature bail + création SAS simultanément ou SAS déjà créée.</w:t>
      </w:r>
    </w:p>
    <w:p>
      <w:r>
        <w:br w:type="page"/>
      </w:r>
    </w:p>
    <w:p>
      <w:pPr>
        <w:spacing w:after="60" w:before="80"/>
      </w:pPr>
      <w:r>
        <w:rPr>
          <w:rFonts w:ascii="Arial" w:cs="Arial" w:eastAsia="Arial" w:hAnsi="Arial"/>
          <w:b/>
          <w:bCs/>
          <w:color w:val="C8241A"/>
          <w:sz w:val="17"/>
          <w:szCs w:val="17"/>
        </w:rPr>
        <w:t xml:space="preserve">— E — TRÉSORERIE MENSUELLE AN 1</w:t>
      </w:r>
    </w:p>
    <w:p>
      <w:pPr>
        <w:pStyle w:val="Heading1"/>
        <w:spacing w:after="180" w:before="360"/>
      </w:pPr>
      <w:r>
        <w:rPr>
          <w:rFonts w:ascii="Arial" w:cs="Arial" w:eastAsia="Arial" w:hAnsi="Arial"/>
          <w:b/>
          <w:bCs/>
          <w:color w:val="181614"/>
          <w:sz w:val="36"/>
          <w:szCs w:val="36"/>
        </w:rPr>
        <w:t xml:space="preserve">PLAN DE TRÉSORERIE — 12 MOIS</w:t>
      </w:r>
    </w:p>
    <w:p>
      <w:pPr>
        <w:pBdr>
          <w:bottom w:val="single" w:color="D8D4CC" w:sz="4"/>
        </w:pBdr>
        <w:spacing w:after="200" w:before="200"/>
      </w:pPr>
    </w:p>
    <w:p>
      <w:pPr>
        <w:spacing w:after="80" w:before="80"/>
      </w:pPr>
      <w:r>
        <w:rPr>
          <w:rFonts w:ascii="Arial" w:cs="Arial" w:eastAsia="Arial" w:hAnsi="Arial"/>
          <w:color w:val="4a4540"/>
          <w:sz w:val="21"/>
          <w:szCs w:val="21"/>
        </w:rPr>
        <w:t xml:space="preserve">Le tableau ci-dessous présente la trésorerie mensuelle sur 12 mois dans le scénario cible (250 membres fin An 1, pré-lancement structuré). Tous les montants sont en milliers d'euros (k€). L'investissement initial de 220k€ est décaissé en M1.</w:t>
      </w:r>
    </w:p>
    <w:p>
      <w:pPr>
        <w:pBdr>
          <w:left w:val="single" w:color="D8D4CC" w:sz="12"/>
        </w:pBdr>
        <w:spacing w:after="120" w:before="120"/>
        <w:ind w:left="240"/>
      </w:pPr>
      <w:r>
        <w:rPr>
          <w:rFonts w:ascii="Arial" w:cs="Arial" w:eastAsia="Arial" w:hAnsi="Arial"/>
          <w:color w:val="4a4540"/>
          <w:sz w:val="20"/>
          <w:szCs w:val="20"/>
        </w:rPr>
        <w:t xml:space="preserve">Lecture : rouge = flux négatif / sous pression · vert = flux positif. La trésorerie cumulée reste négative jusqu'à fin An 1 dans ce scénario — le financement initial doit donc couvrir 239k€ de pic négatif (M2).</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00"/>
        <w:gridCol w:w="900"/>
        <w:gridCol w:w="900"/>
        <w:gridCol w:w="900"/>
        <w:gridCol w:w="900"/>
      </w:tblGrid>
      <w:tr>
        <w:tc>
          <w:tcPr>
            <w:tcW w:type="dxa" w:w="22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left"/>
            </w:pPr>
            <w:r>
              <w:rPr>
                <w:rFonts w:ascii="Arial" w:cs="Arial" w:eastAsia="Arial" w:hAnsi="Arial"/>
                <w:b/>
                <w:bCs/>
                <w:color w:val="FFFFFF"/>
                <w:sz w:val="17"/>
                <w:szCs w:val="17"/>
              </w:rPr>
              <w:t xml:space="preserve">Poste</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M1</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M2</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M3</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M4</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M5</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M6</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M7</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M8</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M9</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M10</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M11</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M12</w:t>
            </w:r>
          </w:p>
        </w:tc>
      </w:tr>
      <w:tr>
        <w:tc>
          <w:tcPr>
            <w:tcW w:type="dxa" w:w="22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left"/>
            </w:pPr>
            <w:r>
              <w:rPr>
                <w:rFonts w:ascii="Arial" w:cs="Arial" w:eastAsia="Arial" w:hAnsi="Arial"/>
                <w:b/>
                <w:bCs/>
                <w:color w:val="181614"/>
                <w:sz w:val="17"/>
                <w:szCs w:val="17"/>
              </w:rPr>
              <w:t xml:space="preserve">CA total (k€)</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15</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22</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32</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45</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52</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60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65</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72</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78</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82</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88</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bCs/>
                <w:color w:val="C8241A"/>
                <w:sz w:val="17"/>
                <w:szCs w:val="17"/>
              </w:rPr>
              <w:t xml:space="preserve">90</w:t>
            </w:r>
          </w:p>
        </w:tc>
      </w:tr>
      <w:tr>
        <w:tc>
          <w:tcPr>
            <w:tcW w:type="dxa" w:w="22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left"/>
            </w:pPr>
            <w:r>
              <w:rPr>
                <w:rFonts w:ascii="Arial" w:cs="Arial" w:eastAsia="Arial" w:hAnsi="Arial"/>
                <w:b/>
                <w:bCs/>
                <w:color w:val="181614"/>
                <w:sz w:val="17"/>
                <w:szCs w:val="17"/>
              </w:rPr>
              <w:t xml:space="preserve">  Abonnements</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10</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14</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21</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29</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34</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39</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42</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47</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51</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53</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57</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59</w:t>
            </w:r>
          </w:p>
        </w:tc>
      </w:tr>
      <w:tr>
        <w:tc>
          <w:tcPr>
            <w:tcW w:type="dxa" w:w="22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left"/>
            </w:pPr>
            <w:r>
              <w:rPr>
                <w:rFonts w:ascii="Arial" w:cs="Arial" w:eastAsia="Arial" w:hAnsi="Arial"/>
                <w:b/>
                <w:bCs/>
                <w:color w:val="181614"/>
                <w:sz w:val="17"/>
                <w:szCs w:val="17"/>
              </w:rPr>
              <w:t xml:space="preserve">  Coffee/Snack</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2</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4</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6</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7</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8</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8</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9</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10</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10</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11</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11</w:t>
            </w:r>
          </w:p>
        </w:tc>
      </w:tr>
      <w:tr>
        <w:tc>
          <w:tcPr>
            <w:tcW w:type="dxa" w:w="22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left"/>
            </w:pPr>
            <w:r>
              <w:rPr>
                <w:rFonts w:ascii="Arial" w:cs="Arial" w:eastAsia="Arial" w:hAnsi="Arial"/>
                <w:b/>
                <w:bCs/>
                <w:color w:val="181614"/>
                <w:sz w:val="17"/>
                <w:szCs w:val="17"/>
              </w:rPr>
              <w:t xml:space="preserve">  Autres revenus</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5</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7</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10</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11</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13</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15</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16</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17</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19</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c>
          <w:tcPr>
            <w:tcW w:type="dxa" w:w="90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r>
      <w:tr>
        <w:tc>
          <w:tcPr>
            <w:tcW w:type="dxa" w:w="22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Charges fixes (k€)</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21</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21</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21</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22</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22</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22</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22</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23</w:t>
            </w:r>
          </w:p>
        </w:tc>
      </w:tr>
      <w:tr>
        <w:tc>
          <w:tcPr>
            <w:tcW w:type="dxa" w:w="22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COGS variables</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4</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6</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9</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15</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17</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18</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20</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22</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25</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25</w:t>
            </w:r>
          </w:p>
        </w:tc>
      </w:tr>
      <w:tr>
        <w:tc>
          <w:tcPr>
            <w:tcW w:type="dxa" w:w="22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left"/>
            </w:pPr>
            <w:r>
              <w:rPr>
                <w:rFonts w:ascii="Arial" w:cs="Arial" w:eastAsia="Arial" w:hAnsi="Arial"/>
                <w:b/>
                <w:bCs/>
                <w:color w:val="181614"/>
                <w:sz w:val="17"/>
                <w:szCs w:val="17"/>
              </w:rPr>
              <w:t xml:space="preserve">Investissement</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220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c>
          <w:tcPr>
            <w:tcW w:type="dxa" w:w="90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 0</w:t>
            </w:r>
          </w:p>
        </w:tc>
      </w:tr>
      <w:tr>
        <w:tc>
          <w:tcPr>
            <w:tcW w:type="dxa" w:w="22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Remb. emprunt</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c>
          <w:tcPr>
            <w:tcW w:type="dxa" w:w="9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 3</w:t>
            </w:r>
          </w:p>
        </w:tc>
      </w:tr>
      <w:tr>
        <w:tc>
          <w:tcPr>
            <w:tcW w:type="dxa" w:w="22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left"/>
            </w:pPr>
            <w:r>
              <w:rPr>
                <w:rFonts w:ascii="Arial" w:cs="Arial" w:eastAsia="Arial" w:hAnsi="Arial"/>
                <w:b/>
                <w:bCs/>
                <w:color w:val="181614"/>
                <w:sz w:val="17"/>
                <w:szCs w:val="17"/>
              </w:rPr>
              <w:t xml:space="preserve">Flux net (k€)</w:t>
            </w:r>
          </w:p>
        </w:tc>
        <w:tc>
          <w:tcPr>
            <w:tcW w:type="dxa" w:w="900"/>
            <w:tcBorders>
              <w:top w:val="single" w:color="D8D4CC" w:sz="1"/>
              <w:left w:val="single" w:color="D8D4CC" w:sz="1"/>
              <w:bottom w:val="single" w:color="D8D4CC" w:sz="1"/>
              <w:right w:val="single" w:color="D8D4CC" w:sz="1"/>
            </w:tcBorders>
            <w:shd w:fill="F5ECE9" w:val="clear"/>
            <w:tcMar>
              <w:top w:type="dxa" w:w="70"/>
              <w:left w:type="dxa" w:w="80"/>
              <w:bottom w:type="dxa" w:w="70"/>
              <w:right w:type="dxa" w:w="80"/>
            </w:tcMar>
          </w:tcPr>
          <w:p>
            <w:pPr>
              <w:jc w:val="center"/>
            </w:pPr>
            <w:r>
              <w:rPr>
                <w:rFonts w:ascii="Arial" w:cs="Arial" w:eastAsia="Arial" w:hAnsi="Arial"/>
                <w:b/>
                <w:bCs/>
                <w:color w:val="C8241A"/>
                <w:sz w:val="17"/>
                <w:szCs w:val="17"/>
              </w:rPr>
              <w:t xml:space="preserve">-232</w:t>
            </w:r>
          </w:p>
        </w:tc>
        <w:tc>
          <w:tcPr>
            <w:tcW w:type="dxa" w:w="900"/>
            <w:tcBorders>
              <w:top w:val="single" w:color="D8D4CC" w:sz="1"/>
              <w:left w:val="single" w:color="D8D4CC" w:sz="1"/>
              <w:bottom w:val="single" w:color="D8D4CC" w:sz="1"/>
              <w:right w:val="single" w:color="D8D4CC" w:sz="1"/>
            </w:tcBorders>
            <w:shd w:fill="F5ECE9" w:val="clear"/>
            <w:tcMar>
              <w:top w:type="dxa" w:w="70"/>
              <w:left w:type="dxa" w:w="80"/>
              <w:bottom w:type="dxa" w:w="70"/>
              <w:right w:type="dxa" w:w="80"/>
            </w:tcMar>
          </w:tcPr>
          <w:p>
            <w:pPr>
              <w:jc w:val="center"/>
            </w:pPr>
            <w:r>
              <w:rPr>
                <w:rFonts w:ascii="Arial" w:cs="Arial" w:eastAsia="Arial" w:hAnsi="Arial"/>
                <w:b/>
                <w:bCs/>
                <w:color w:val="C8241A"/>
                <w:sz w:val="17"/>
                <w:szCs w:val="17"/>
              </w:rPr>
              <w:t xml:space="preserve">-7</w:t>
            </w:r>
          </w:p>
        </w:tc>
        <w:tc>
          <w:tcPr>
            <w:tcW w:type="dxa" w:w="900"/>
            <w:tcBorders>
              <w:top w:val="single" w:color="D8D4CC" w:sz="1"/>
              <w:left w:val="single" w:color="D8D4CC" w:sz="1"/>
              <w:bottom w:val="single" w:color="D8D4CC" w:sz="1"/>
              <w:right w:val="single" w:color="D8D4CC" w:sz="1"/>
            </w:tcBorders>
            <w:shd w:fill="F0EDE7" w:val="clear"/>
            <w:tcMar>
              <w:top w:type="dxa" w:w="70"/>
              <w:left w:type="dxa" w:w="80"/>
              <w:bottom w:type="dxa" w:w="70"/>
              <w:right w:type="dxa" w:w="80"/>
            </w:tcMar>
          </w:tcPr>
          <w:p>
            <w:pPr>
              <w:jc w:val="center"/>
            </w:pPr>
            <w:r>
              <w:rPr>
                <w:rFonts w:ascii="Arial" w:cs="Arial" w:eastAsia="Arial" w:hAnsi="Arial"/>
                <w:b/>
                <w:bCs/>
                <w:color w:val="4a4540"/>
                <w:sz w:val="17"/>
                <w:szCs w:val="17"/>
              </w:rPr>
              <w:t xml:space="preserve"> 0</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8</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13</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19</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22</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27</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31</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34</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37</w:t>
            </w:r>
          </w:p>
        </w:tc>
        <w:tc>
          <w:tcPr>
            <w:tcW w:type="dxa" w:w="900"/>
            <w:tcBorders>
              <w:top w:val="single" w:color="D8D4CC" w:sz="1"/>
              <w:left w:val="single" w:color="D8D4CC" w:sz="1"/>
              <w:bottom w:val="single" w:color="D8D4CC" w:sz="1"/>
              <w:right w:val="single" w:color="D8D4CC" w:sz="1"/>
            </w:tcBorders>
            <w:shd w:fill="E8F5E9" w:val="clear"/>
            <w:tcMar>
              <w:top w:type="dxa" w:w="70"/>
              <w:left w:type="dxa" w:w="80"/>
              <w:bottom w:type="dxa" w:w="70"/>
              <w:right w:type="dxa" w:w="80"/>
            </w:tcMar>
          </w:tcPr>
          <w:p>
            <w:pPr>
              <w:jc w:val="center"/>
            </w:pPr>
            <w:r>
              <w:rPr>
                <w:rFonts w:ascii="Arial" w:cs="Arial" w:eastAsia="Arial" w:hAnsi="Arial"/>
                <w:b/>
                <w:bCs/>
                <w:color w:val="2E7D32"/>
                <w:sz w:val="17"/>
                <w:szCs w:val="17"/>
              </w:rPr>
              <w:t xml:space="preserve">39</w:t>
            </w:r>
          </w:p>
        </w:tc>
      </w:tr>
      <w:tr>
        <w:tc>
          <w:tcPr>
            <w:tcW w:type="dxa" w:w="22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left"/>
            </w:pPr>
            <w:r>
              <w:rPr>
                <w:rFonts w:ascii="Arial" w:cs="Arial" w:eastAsia="Arial" w:hAnsi="Arial"/>
                <w:b/>
                <w:bCs/>
                <w:color w:val="FFFFFF"/>
                <w:sz w:val="17"/>
                <w:szCs w:val="17"/>
              </w:rPr>
              <w:t xml:space="preserve">Tréso cumulée</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-232</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-239</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-239</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-231</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-218</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-199</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-177</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-150</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-119</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-85</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-48</w:t>
            </w:r>
          </w:p>
        </w:tc>
        <w:tc>
          <w:tcPr>
            <w:tcW w:type="dxa" w:w="900"/>
            <w:tcBorders>
              <w:top w:val="single" w:color="D8D4CC" w:sz="1"/>
              <w:left w:val="single" w:color="D8D4CC" w:sz="1"/>
              <w:bottom w:val="single" w:color="D8D4CC" w:sz="1"/>
              <w:right w:val="single" w:color="D8D4CC" w:sz="1"/>
            </w:tcBorders>
            <w:shd w:fill="181614" w:val="clear"/>
            <w:tcMar>
              <w:top w:type="dxa" w:w="70"/>
              <w:left w:type="dxa" w:w="80"/>
              <w:bottom w:type="dxa" w:w="70"/>
              <w:right w:type="dxa" w:w="80"/>
            </w:tcMar>
          </w:tcPr>
          <w:p>
            <w:pPr>
              <w:jc w:val="center"/>
            </w:pPr>
            <w:r>
              <w:rPr>
                <w:rFonts w:ascii="Arial" w:cs="Arial" w:eastAsia="Arial" w:hAnsi="Arial"/>
                <w:b/>
                <w:bCs/>
                <w:color w:val="F5ACB0"/>
                <w:sz w:val="17"/>
                <w:szCs w:val="17"/>
              </w:rPr>
              <w:t xml:space="preserve">-9</w:t>
            </w:r>
          </w:p>
        </w:tc>
      </w:tr>
    </w:tbl>
    <w:p>
      <w:pPr>
        <w:spacing w:after="0" w:before="200"/>
      </w:pPr>
    </w:p>
    <w:p>
      <w:pPr>
        <w:pStyle w:val="Heading2"/>
        <w:spacing w:after="140" w:before="280"/>
      </w:pPr>
      <w:r>
        <w:rPr>
          <w:rFonts w:ascii="Arial" w:cs="Arial" w:eastAsia="Arial" w:hAnsi="Arial"/>
          <w:b/>
          <w:bCs/>
          <w:color w:val="C8241A"/>
          <w:sz w:val="26"/>
          <w:szCs w:val="26"/>
        </w:rPr>
        <w:t xml:space="preserve">Analyse des points critiques</w:t>
      </w:r>
    </w:p>
    <w:p>
      <w:pPr>
        <w:spacing w:after="80" w:before="80"/>
      </w:pPr>
      <w:r>
        <w:rPr>
          <w:rFonts w:ascii="Arial" w:cs="Arial" w:eastAsia="Arial" w:hAnsi="Arial"/>
          <w:b/>
          <w:bCs/>
          <w:color w:val="181614"/>
          <w:sz w:val="21"/>
          <w:szCs w:val="21"/>
        </w:rPr>
        <w:t xml:space="preserve">M1 — Pic de tension maximale : </w:t>
      </w:r>
      <w:r>
        <w:rPr>
          <w:rFonts w:ascii="Arial" w:cs="Arial" w:eastAsia="Arial" w:hAnsi="Arial"/>
          <w:color w:val="4a4540"/>
          <w:sz w:val="21"/>
          <w:szCs w:val="21"/>
        </w:rPr>
        <w:t xml:space="preserve">L'investissement initial (220k€) est décaissé. La trésorerie plonge à -232k€. C'est pourquoi le financement total doit être sécurisé avant le premier jour de travaux. Ne pas démarrer sans les fonds.</w:t>
      </w:r>
    </w:p>
    <w:p>
      <w:pPr>
        <w:spacing w:after="80" w:before="80"/>
      </w:pPr>
      <w:r>
        <w:rPr>
          <w:rFonts w:ascii="Arial" w:cs="Arial" w:eastAsia="Arial" w:hAnsi="Arial"/>
          <w:b/>
          <w:bCs/>
          <w:color w:val="181614"/>
          <w:sz w:val="21"/>
          <w:szCs w:val="21"/>
        </w:rPr>
        <w:t xml:space="preserve">M2 à M3 — Zone de danger : </w:t>
      </w:r>
      <w:r>
        <w:rPr>
          <w:rFonts w:ascii="Arial" w:cs="Arial" w:eastAsia="Arial" w:hAnsi="Arial"/>
          <w:color w:val="4a4540"/>
          <w:sz w:val="21"/>
          <w:szCs w:val="21"/>
        </w:rPr>
        <w:t xml:space="preserve">Peu de membres, charges pleines. Les pré-ventes membres fondateurs (M-3 à M-1) doivent avoir généré des encaissements avant cette période pour alléger la pression.</w:t>
      </w:r>
    </w:p>
    <w:p>
      <w:pPr>
        <w:spacing w:after="80" w:before="80"/>
      </w:pPr>
      <w:r>
        <w:rPr>
          <w:rFonts w:ascii="Arial" w:cs="Arial" w:eastAsia="Arial" w:hAnsi="Arial"/>
          <w:b/>
          <w:bCs/>
          <w:color w:val="181614"/>
          <w:sz w:val="21"/>
          <w:szCs w:val="21"/>
        </w:rPr>
        <w:t xml:space="preserve">M6 — Seuil de rentabilité opérationnel : </w:t>
      </w:r>
      <w:r>
        <w:rPr>
          <w:rFonts w:ascii="Arial" w:cs="Arial" w:eastAsia="Arial" w:hAnsi="Arial"/>
          <w:color w:val="4a4540"/>
          <w:sz w:val="21"/>
          <w:szCs w:val="21"/>
        </w:rPr>
        <w:t xml:space="preserve">Avec ~160 membres et 60k€ de CA mensuel, le flux net devient positif. C'est le jalon critique à surveiller chaque semaine.</w:t>
      </w:r>
    </w:p>
    <w:p>
      <w:pPr>
        <w:spacing w:after="80" w:before="80"/>
      </w:pPr>
      <w:r>
        <w:rPr>
          <w:rFonts w:ascii="Arial" w:cs="Arial" w:eastAsia="Arial" w:hAnsi="Arial"/>
          <w:b/>
          <w:bCs/>
          <w:color w:val="181614"/>
          <w:sz w:val="21"/>
          <w:szCs w:val="21"/>
        </w:rPr>
        <w:t xml:space="preserve">M12 — Fin An 1 : </w:t>
      </w:r>
      <w:r>
        <w:rPr>
          <w:rFonts w:ascii="Arial" w:cs="Arial" w:eastAsia="Arial" w:hAnsi="Arial"/>
          <w:color w:val="4a4540"/>
          <w:sz w:val="21"/>
          <w:szCs w:val="21"/>
        </w:rPr>
        <w:t xml:space="preserve">La trésorerie cumulée atteint -9k€ — quasi à l'équilibre. Avec le fonds de roulement de 55k€ intégré au financement initial, la SAS est confortable. An 2 commence en positif.</w:t>
      </w:r>
    </w:p>
    <w:p>
      <w:pPr>
        <w:pBdr>
          <w:left w:val="single" w:color="C8241A" w:sz="12"/>
        </w:pBdr>
        <w:spacing w:after="120" w:before="120"/>
        <w:ind w:left="240"/>
      </w:pPr>
      <w:r>
        <w:rPr>
          <w:rFonts w:ascii="Arial" w:cs="Arial" w:eastAsia="Arial" w:hAnsi="Arial"/>
          <w:color w:val="C8241A"/>
          <w:sz w:val="21"/>
          <w:szCs w:val="21"/>
        </w:rPr>
        <w:t xml:space="preserve">⚠ Ce tableau ne tient pas compte des aléas (retard travaux +1 mois = -20k€ supplémentaires, mois creux non anticipé, recrutement difficile). Prévoir un matelas de sécurité de 15–20k€ au-dessus du fonds de roulement calculé.</w:t>
      </w:r>
    </w:p>
    <w:p>
      <w:pPr>
        <w:pBdr>
          <w:left w:val="single" w:color="9A7A2E" w:sz="12"/>
        </w:pBdr>
        <w:spacing w:after="120" w:before="120"/>
        <w:ind w:left="240"/>
      </w:pPr>
      <w:r>
        <w:rPr>
          <w:rFonts w:ascii="Arial" w:cs="Arial" w:eastAsia="Arial" w:hAnsi="Arial"/>
          <w:color w:val="9A7A2E"/>
          <w:sz w:val="21"/>
          <w:szCs w:val="21"/>
        </w:rPr>
        <w:t xml:space="preserve">→ Mettre en place un tableau de bord mensuel dès J1 : CA réel vs prévu, nombre de membres actifs, trésorerie disponible, charges engagées. Partager avec l'expert-comptable chaque mois.</w:t>
      </w:r>
    </w:p>
    <w:p>
      <w:r>
        <w:br w:type="page"/>
      </w:r>
    </w:p>
    <w:p>
      <w:pPr>
        <w:spacing w:after="60" w:before="80"/>
      </w:pPr>
      <w:r>
        <w:rPr>
          <w:rFonts w:ascii="Arial" w:cs="Arial" w:eastAsia="Arial" w:hAnsi="Arial"/>
          <w:b/>
          <w:bCs/>
          <w:color w:val="C8241A"/>
          <w:sz w:val="17"/>
          <w:szCs w:val="17"/>
        </w:rPr>
        <w:t xml:space="preserve">— F — SAISONNALITÉ &amp; MARKETING</w:t>
      </w:r>
    </w:p>
    <w:p>
      <w:pPr>
        <w:pStyle w:val="Heading1"/>
        <w:spacing w:after="180" w:before="360"/>
      </w:pPr>
      <w:r>
        <w:rPr>
          <w:rFonts w:ascii="Arial" w:cs="Arial" w:eastAsia="Arial" w:hAnsi="Arial"/>
          <w:b/>
          <w:bCs/>
          <w:color w:val="181614"/>
          <w:sz w:val="36"/>
          <w:szCs w:val="36"/>
        </w:rPr>
        <w:t xml:space="preserve">SAISONNALITÉ &amp; PLAN MARKETING PRÉ-LANCEMENT</w:t>
      </w:r>
    </w:p>
    <w:p>
      <w:pPr>
        <w:pBdr>
          <w:bottom w:val="single" w:color="D8D4CC" w:sz="4"/>
        </w:pBdr>
        <w:spacing w:after="200" w:before="200"/>
      </w:pPr>
    </w:p>
    <w:p>
      <w:pPr>
        <w:pStyle w:val="Heading2"/>
        <w:spacing w:after="140" w:before="280"/>
      </w:pPr>
      <w:r>
        <w:rPr>
          <w:rFonts w:ascii="Arial" w:cs="Arial" w:eastAsia="Arial" w:hAnsi="Arial"/>
          <w:b/>
          <w:bCs/>
          <w:color w:val="C8241A"/>
          <w:sz w:val="26"/>
          <w:szCs w:val="26"/>
        </w:rPr>
        <w:t xml:space="preserve">Saisonnalité par flux de revenus</w:t>
      </w:r>
    </w:p>
    <w:p>
      <w:pPr>
        <w:spacing w:after="80" w:before="80"/>
      </w:pPr>
      <w:r>
        <w:rPr>
          <w:rFonts w:ascii="Arial" w:cs="Arial" w:eastAsia="Arial" w:hAnsi="Arial"/>
          <w:color w:val="4a4540"/>
          <w:sz w:val="21"/>
          <w:szCs w:val="21"/>
        </w:rPr>
        <w:t xml:space="preserve">Le bassin Saint-Malo / Pleurtuit présente une saisonnalité marquée : forte activité touristique juillet-août (+40% population), rentrée de septembre comme pic d'inscription, creux de janvier-février classique pour les salles de sport. FightCoffee doit anticiper et transformer ces variations en opportunités.</w:t>
      </w:r>
    </w:p>
    <w:p>
      <w:pPr>
        <w:spacing w:after="80" w:before="80"/>
      </w:pPr>
      <w:r>
        <w:rPr>
          <w:rFonts w:ascii="Arial" w:cs="Arial" w:eastAsia="Arial" w:hAnsi="Arial"/>
          <w:color w:val="4a4540"/>
          <w:sz w:val="21"/>
          <w:szCs w:val="21"/>
        </w:rPr>
        <w:t xml:space="preserve">Le tableau ci-dessous exprime chaque flux en pourcentage d'un mois de référence (septembre = 100%). Un indice inférieur à 80% signale un risque de sous-performance sur ce flux.</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80"/>
        <w:gridCol w:w="680"/>
        <w:gridCol w:w="680"/>
        <w:gridCol w:w="680"/>
        <w:gridCol w:w="680"/>
        <w:gridCol w:w="680"/>
        <w:gridCol w:w="680"/>
        <w:gridCol w:w="680"/>
        <w:gridCol w:w="680"/>
        <w:gridCol w:w="680"/>
        <w:gridCol w:w="680"/>
      </w:tblGrid>
      <w:tr>
        <w:tc>
          <w:tcPr>
            <w:tcW w:type="dxa" w:w="140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Jan</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Fév</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Mar</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Avr</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Mai</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Jun</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Jul</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Aoû</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Sep</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Oct</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Nov</w:t>
            </w:r>
          </w:p>
        </w:tc>
        <w:tc>
          <w:tcPr>
            <w:tcW w:type="dxa" w:w="68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Déc</w:t>
            </w:r>
          </w:p>
        </w:tc>
      </w:tr>
      <w:tr>
        <w:tc>
          <w:tcPr>
            <w:tcW w:type="dxa" w:w="14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Abonnements sport</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87%</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92%</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93%</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70%</w:t>
            </w:r>
          </w:p>
        </w:tc>
        <w:tc>
          <w:tcPr>
            <w:tcW w:type="dxa" w:w="68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65%</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105%</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r>
      <w:tr>
        <w:tc>
          <w:tcPr>
            <w:tcW w:type="dxa" w:w="14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Coffee &amp; snacking</w:t>
            </w:r>
          </w:p>
        </w:tc>
        <w:tc>
          <w:tcPr>
            <w:tcW w:type="dxa" w:w="68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75%</w:t>
            </w:r>
          </w:p>
        </w:tc>
        <w:tc>
          <w:tcPr>
            <w:tcW w:type="dxa" w:w="68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78%</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82%</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88%</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92%</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130%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140%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88%</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82%</w:t>
            </w:r>
          </w:p>
        </w:tc>
      </w:tr>
      <w:tr>
        <w:tc>
          <w:tcPr>
            <w:tcW w:type="dxa" w:w="14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Événementiel</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80%</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80%</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120%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125%</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r>
      <w:tr>
        <w:tc>
          <w:tcPr>
            <w:tcW w:type="dxa" w:w="14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Kids &amp; ados</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30%</w:t>
            </w:r>
          </w:p>
        </w:tc>
        <w:tc>
          <w:tcPr>
            <w:tcW w:type="dxa" w:w="680"/>
            <w:tcBorders>
              <w:top w:val="single" w:color="D8D4CC" w:sz="1"/>
              <w:left w:val="single" w:color="D8D4CC" w:sz="1"/>
              <w:bottom w:val="single" w:color="D8D4CC" w:sz="1"/>
              <w:right w:val="single" w:color="D8D4CC" w:sz="1"/>
            </w:tcBorders>
            <w:shd w:fill="F5ECE9" w:val="clear"/>
            <w:tcMar>
              <w:top w:type="dxa" w:w="60"/>
              <w:left w:type="dxa" w:w="80"/>
              <w:bottom w:type="dxa" w:w="60"/>
              <w:right w:type="dxa" w:w="80"/>
            </w:tcMar>
          </w:tcPr>
          <w:p>
            <w:pPr>
              <w:jc w:val="center"/>
            </w:pPr>
            <w:r>
              <w:rPr>
                <w:rFonts w:ascii="Arial" w:cs="Arial" w:eastAsia="Arial" w:hAnsi="Arial"/>
                <w:b w:val="false"/>
                <w:bCs w:val="false"/>
                <w:color w:val="C8241A"/>
                <w:sz w:val="17"/>
                <w:szCs w:val="17"/>
              </w:rPr>
              <w:t xml:space="preserve">30%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r>
      <w:tr>
        <w:tc>
          <w:tcPr>
            <w:tcW w:type="dxa" w:w="140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left"/>
            </w:pPr>
            <w:r>
              <w:rPr>
                <w:rFonts w:ascii="Arial" w:cs="Arial" w:eastAsia="Arial" w:hAnsi="Arial"/>
                <w:b/>
                <w:bCs/>
                <w:color w:val="181614"/>
                <w:sz w:val="17"/>
                <w:szCs w:val="17"/>
              </w:rPr>
              <w:t xml:space="preserve">B2B</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90%</w:t>
            </w:r>
          </w:p>
        </w:tc>
        <w:tc>
          <w:tcPr>
            <w:tcW w:type="dxa" w:w="680"/>
            <w:tcBorders>
              <w:top w:val="single" w:color="D8D4CC" w:sz="1"/>
              <w:left w:val="single" w:color="D8D4CC" w:sz="1"/>
              <w:bottom w:val="single" w:color="D8D4CC" w:sz="1"/>
              <w:right w:val="single" w:color="D8D4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70%</w:t>
            </w:r>
          </w:p>
        </w:tc>
        <w:tc>
          <w:tcPr>
            <w:tcW w:type="dxa" w:w="680"/>
            <w:tcBorders>
              <w:top w:val="single" w:color="D8D4CC" w:sz="1"/>
              <w:left w:val="single" w:color="D8D4CC" w:sz="1"/>
              <w:bottom w:val="single" w:color="D8D4CC" w:sz="1"/>
              <w:right w:val="single" w:color="D8D4CC" w:sz="1"/>
            </w:tcBorders>
            <w:shd w:fill="F0EDE7" w:val="clear"/>
            <w:tcMar>
              <w:top w:type="dxa" w:w="60"/>
              <w:left w:type="dxa" w:w="80"/>
              <w:bottom w:type="dxa" w:w="60"/>
              <w:right w:type="dxa" w:w="80"/>
            </w:tcMar>
          </w:tcPr>
          <w:p>
            <w:pPr>
              <w:jc w:val="center"/>
            </w:pPr>
            <w:r>
              <w:rPr>
                <w:rFonts w:ascii="Arial" w:cs="Arial" w:eastAsia="Arial" w:hAnsi="Arial"/>
                <w:b w:val="false"/>
                <w:bCs w:val="false"/>
                <w:color w:val="4a4540"/>
                <w:sz w:val="17"/>
                <w:szCs w:val="17"/>
              </w:rPr>
              <w:t xml:space="preserve">70%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F5F0E4" w:val="clear"/>
            <w:tcMar>
              <w:top w:type="dxa" w:w="60"/>
              <w:left w:type="dxa" w:w="80"/>
              <w:bottom w:type="dxa" w:w="60"/>
              <w:right w:type="dxa" w:w="80"/>
            </w:tcMar>
          </w:tcPr>
          <w:p>
            <w:pPr>
              <w:jc w:val="center"/>
            </w:pPr>
            <w:r>
              <w:rPr>
                <w:rFonts w:ascii="Arial" w:cs="Arial" w:eastAsia="Arial" w:hAnsi="Arial"/>
                <w:b w:val="false"/>
                <w:bCs w:val="false"/>
                <w:color w:val="9A7A2E"/>
                <w:sz w:val="17"/>
                <w:szCs w:val="17"/>
              </w:rPr>
              <w:t xml:space="preserve">100%</w:t>
            </w:r>
          </w:p>
        </w:tc>
        <w:tc>
          <w:tcPr>
            <w:tcW w:type="dxa" w:w="680"/>
            <w:tcBorders>
              <w:top w:val="single" w:color="D8D4CC" w:sz="1"/>
              <w:left w:val="single" w:color="D8D4CC" w:sz="1"/>
              <w:bottom w:val="single" w:color="D8D4CC" w:sz="1"/>
              <w:right w:val="single" w:color="D8D4CC" w:sz="1"/>
            </w:tcBorders>
            <w:shd w:fill="E8F5E9" w:val="clear"/>
            <w:tcMar>
              <w:top w:type="dxa" w:w="60"/>
              <w:left w:type="dxa" w:w="80"/>
              <w:bottom w:type="dxa" w:w="60"/>
              <w:right w:type="dxa" w:w="80"/>
            </w:tcMar>
          </w:tcPr>
          <w:p>
            <w:pPr>
              <w:jc w:val="center"/>
            </w:pPr>
            <w:r>
              <w:rPr>
                <w:rFonts w:ascii="Arial" w:cs="Arial" w:eastAsia="Arial" w:hAnsi="Arial"/>
                <w:b w:val="false"/>
                <w:bCs w:val="false"/>
                <w:color w:val="2E7D32"/>
                <w:sz w:val="17"/>
                <w:szCs w:val="17"/>
              </w:rPr>
              <w:t xml:space="preserve">95%</w:t>
            </w:r>
          </w:p>
        </w:tc>
      </w:tr>
      <w:tr>
        <w:tc>
          <w:tcPr>
            <w:tcW w:type="dxa" w:w="1400"/>
            <w:tcBorders>
              <w:top w:val="single" w:color="D8D4CC" w:sz="1"/>
              <w:left w:val="single" w:color="D8D4CC" w:sz="1"/>
              <w:bottom w:val="single" w:color="D8D4CC" w:sz="1"/>
              <w:right w:val="single" w:color="D8D4CC" w:sz="1"/>
            </w:tcBorders>
            <w:shd w:fill="181614" w:val="clear"/>
            <w:tcMar>
              <w:top w:type="dxa" w:w="60"/>
              <w:left w:type="dxa" w:w="80"/>
              <w:bottom w:type="dxa" w:w="60"/>
              <w:right w:type="dxa" w:w="80"/>
            </w:tcMar>
          </w:tcPr>
          <w:p>
            <w:pPr>
              <w:jc w:val="left"/>
            </w:pPr>
            <w:r>
              <w:rPr>
                <w:rFonts w:ascii="Arial" w:cs="Arial" w:eastAsia="Arial" w:hAnsi="Arial"/>
                <w:b/>
                <w:bCs/>
                <w:color w:val="FFFFFF"/>
                <w:sz w:val="17"/>
                <w:szCs w:val="17"/>
              </w:rPr>
              <w:t xml:space="preserve">INDICE GLOBAL</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75</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80</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88</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90</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88</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85</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100</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100</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95</w:t>
            </w:r>
          </w:p>
        </w:tc>
        <w:tc>
          <w:tcPr>
            <w:tcW w:type="dxa" w:w="680"/>
            <w:tcBorders>
              <w:top w:val="single" w:color="D8D4CC" w:sz="1"/>
              <w:left w:val="single" w:color="D8D4CC" w:sz="1"/>
              <w:bottom w:val="single" w:color="D8D4CC" w:sz="1"/>
              <w:right w:val="single" w:color="D8D4CC" w:sz="1"/>
            </w:tcBorders>
            <w:shd w:fill="EEEBE4" w:val="clear"/>
            <w:tcMar>
              <w:top w:type="dxa" w:w="60"/>
              <w:left w:type="dxa" w:w="80"/>
              <w:bottom w:type="dxa" w:w="60"/>
              <w:right w:type="dxa" w:w="80"/>
            </w:tcMar>
          </w:tcPr>
          <w:p>
            <w:pPr>
              <w:jc w:val="center"/>
            </w:pPr>
            <w:r>
              <w:rPr>
                <w:rFonts w:ascii="Arial" w:cs="Arial" w:eastAsia="Arial" w:hAnsi="Arial"/>
                <w:b/>
                <w:bCs/>
                <w:color w:val="181614"/>
                <w:sz w:val="17"/>
                <w:szCs w:val="17"/>
              </w:rPr>
              <w:t xml:space="preserve">88</w:t>
            </w:r>
          </w:p>
        </w:tc>
      </w:tr>
    </w:tbl>
    <w:p>
      <w:pPr>
        <w:spacing w:after="0" w:before="120"/>
      </w:pPr>
    </w:p>
    <w:p>
      <w:pPr>
        <w:spacing w:after="80" w:before="80"/>
      </w:pPr>
      <w:r>
        <w:rPr>
          <w:rFonts w:ascii="Arial" w:cs="Arial" w:eastAsia="Arial" w:hAnsi="Arial"/>
          <w:b/>
          <w:bCs/>
          <w:color w:val="181614"/>
          <w:sz w:val="21"/>
          <w:szCs w:val="21"/>
        </w:rPr>
        <w:t xml:space="preserve">Lecture clé : </w:t>
      </w:r>
      <w:r>
        <w:rPr>
          <w:rFonts w:ascii="Arial" w:cs="Arial" w:eastAsia="Arial" w:hAnsi="Arial"/>
          <w:color w:val="4a4540"/>
          <w:sz w:val="21"/>
          <w:szCs w:val="21"/>
        </w:rPr>
        <w:t xml:space="preserve">Les abonnements sport chutent en juillet-août (vacances, membres absents) mais le coffee, le snacking et l'événementiel explosent grâce au tourisme. Les cours kids s'effondrent en été (vacances scolaires). L'effet est globalement neutre si les flux lifestyle sont bien activés.</w:t>
      </w:r>
    </w:p>
    <w:p>
      <w:pPr>
        <w:pStyle w:val="Heading2"/>
        <w:spacing w:after="140" w:before="280"/>
      </w:pPr>
      <w:r>
        <w:rPr>
          <w:rFonts w:ascii="Arial" w:cs="Arial" w:eastAsia="Arial" w:hAnsi="Arial"/>
          <w:b/>
          <w:bCs/>
          <w:color w:val="C8241A"/>
          <w:sz w:val="26"/>
          <w:szCs w:val="26"/>
        </w:rPr>
        <w:t xml:space="preserve">Stratégies anti-creux</w:t>
      </w:r>
    </w:p>
    <w:p>
      <w:pPr>
        <w:spacing w:after="80" w:before="80"/>
      </w:pPr>
      <w:r>
        <w:rPr>
          <w:rFonts w:ascii="Arial" w:cs="Arial" w:eastAsia="Arial" w:hAnsi="Arial"/>
          <w:b/>
          <w:bCs/>
          <w:color w:val="181614"/>
          <w:sz w:val="21"/>
          <w:szCs w:val="21"/>
        </w:rPr>
        <w:t xml:space="preserve">Janvier–Mars (creux traditionnel) : </w:t>
      </w:r>
      <w:r>
        <w:rPr>
          <w:rFonts w:ascii="Arial" w:cs="Arial" w:eastAsia="Arial" w:hAnsi="Arial"/>
          <w:color w:val="4a4540"/>
          <w:sz w:val="21"/>
          <w:szCs w:val="21"/>
        </w:rPr>
        <w:t xml:space="preserve">Offre 'Résolutions' — mois d'essai à tarif réduit, challenge communautaire, stage intensive sur les vacances de février. Objectif : retenir les membres existants et convertir les curieux de janvier.</w:t>
      </w:r>
    </w:p>
    <w:p>
      <w:pPr>
        <w:spacing w:after="80" w:before="80"/>
      </w:pPr>
      <w:r>
        <w:rPr>
          <w:rFonts w:ascii="Arial" w:cs="Arial" w:eastAsia="Arial" w:hAnsi="Arial"/>
          <w:b/>
          <w:bCs/>
          <w:color w:val="181614"/>
          <w:sz w:val="21"/>
          <w:szCs w:val="21"/>
        </w:rPr>
        <w:t xml:space="preserve">Juillet–Août (creux sport, boom lifestyle) : </w:t>
      </w:r>
      <w:r>
        <w:rPr>
          <w:rFonts w:ascii="Arial" w:cs="Arial" w:eastAsia="Arial" w:hAnsi="Arial"/>
          <w:color w:val="4a4540"/>
          <w:sz w:val="21"/>
          <w:szCs w:val="21"/>
        </w:rPr>
        <w:t xml:space="preserve">Stage kids &amp; ados (revenus kids maintenus) · offre day-pass touristes · fight nights et événements estivaux · coffee shop en mode terrasse si espace extérieur disponible. Le lieu doit devenir une destination estivale.</w:t>
      </w:r>
    </w:p>
    <w:p>
      <w:pPr>
        <w:spacing w:after="80" w:before="80"/>
      </w:pPr>
      <w:r>
        <w:rPr>
          <w:rFonts w:ascii="Arial" w:cs="Arial" w:eastAsia="Arial" w:hAnsi="Arial"/>
          <w:b/>
          <w:bCs/>
          <w:color w:val="181614"/>
          <w:sz w:val="21"/>
          <w:szCs w:val="21"/>
        </w:rPr>
        <w:t xml:space="preserve">Septembre (pic d'inscription) : </w:t>
      </w:r>
      <w:r>
        <w:rPr>
          <w:rFonts w:ascii="Arial" w:cs="Arial" w:eastAsia="Arial" w:hAnsi="Arial"/>
          <w:color w:val="4a4540"/>
          <w:sz w:val="21"/>
          <w:szCs w:val="21"/>
        </w:rPr>
        <w:t xml:space="preserve">Journée portes ouvertes rentrée · offre spéciale back-to-school · partenariat avec les écoles et collèges locaux · campagne réseaux sociaux ciblée.</w:t>
      </w:r>
    </w:p>
    <w:p>
      <w:pPr>
        <w:spacing w:after="0" w:before="120"/>
      </w:pPr>
    </w:p>
    <w:p>
      <w:pPr>
        <w:pStyle w:val="Heading2"/>
        <w:spacing w:after="140" w:before="280"/>
      </w:pPr>
      <w:r>
        <w:rPr>
          <w:rFonts w:ascii="Arial" w:cs="Arial" w:eastAsia="Arial" w:hAnsi="Arial"/>
          <w:b/>
          <w:bCs/>
          <w:color w:val="C8241A"/>
          <w:sz w:val="26"/>
          <w:szCs w:val="26"/>
        </w:rPr>
        <w:t xml:space="preserve">Plan marketing pré-lancement &amp; An 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1960"/>
        <w:gridCol w:w="1680"/>
        <w:gridCol w:w="1840"/>
      </w:tblGrid>
      <w:tr>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PHASE</w:t>
            </w:r>
          </w:p>
        </w:tc>
        <w:tc>
          <w:tcPr>
            <w:tcW w:type="dxa" w:w="220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ACTIONS CLÉS</w:t>
            </w:r>
          </w:p>
        </w:tc>
        <w:tc>
          <w:tcPr>
            <w:tcW w:type="dxa" w:w="196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CANAL PRIORITAIRE</w:t>
            </w:r>
          </w:p>
        </w:tc>
        <w:tc>
          <w:tcPr>
            <w:tcW w:type="dxa" w:w="1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BUDGET</w:t>
            </w:r>
          </w:p>
        </w:tc>
        <w:tc>
          <w:tcPr>
            <w:tcW w:type="dxa" w:w="184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OBJECTIF</w:t>
            </w:r>
          </w:p>
        </w:tc>
      </w:tr>
      <w:tr>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M-3 à M-1
Pré-lancement</w:t>
            </w:r>
          </w:p>
        </w:tc>
        <w:tc>
          <w:tcPr>
            <w:tcW w:type="dxa" w:w="220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Page Instagram + TikTok · teasing concept · liste d'attente · email fondateurs</w:t>
            </w:r>
          </w:p>
        </w:tc>
        <w:tc>
          <w:tcPr>
            <w:tcW w:type="dxa" w:w="196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Instagram + bouche-à-oreille</w:t>
            </w:r>
          </w:p>
        </w:tc>
        <w:tc>
          <w:tcPr>
            <w:tcW w:type="dxa" w:w="1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1 500 €</w:t>
            </w:r>
          </w:p>
        </w:tc>
        <w:tc>
          <w:tcPr>
            <w:tcW w:type="dxa" w:w="18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500 followers · 50 inscrits liste</w:t>
            </w:r>
          </w:p>
        </w:tc>
      </w:tr>
      <w:tr>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M-1
Pré-vente</w:t>
            </w:r>
          </w:p>
        </w:tc>
        <w:tc>
          <w:tcPr>
            <w:tcW w:type="dxa" w:w="22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Offre membres fondateurs (tarif -15% à vie) · communiqué local · flyers CrossFit / gymnases</w:t>
            </w:r>
          </w:p>
        </w:tc>
        <w:tc>
          <w:tcPr>
            <w:tcW w:type="dxa" w:w="196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Direct + presse locale</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1 500 €</w:t>
            </w:r>
          </w:p>
        </w:tc>
        <w:tc>
          <w:tcPr>
            <w:tcW w:type="dxa" w:w="184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80–100 membres fondateurs</w:t>
            </w:r>
          </w:p>
        </w:tc>
      </w:tr>
      <w:tr>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M1–M2
Ouverture</w:t>
            </w:r>
          </w:p>
        </w:tc>
        <w:tc>
          <w:tcPr>
            <w:tcW w:type="dxa" w:w="220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Journée portes ouvertes · masterclass gratuite · live Instagram · article Côté Saint-Malo</w:t>
            </w:r>
          </w:p>
        </w:tc>
        <w:tc>
          <w:tcPr>
            <w:tcW w:type="dxa" w:w="196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Event + réseaux + presse</w:t>
            </w:r>
          </w:p>
        </w:tc>
        <w:tc>
          <w:tcPr>
            <w:tcW w:type="dxa" w:w="168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2 000 €</w:t>
            </w:r>
          </w:p>
        </w:tc>
        <w:tc>
          <w:tcPr>
            <w:tcW w:type="dxa" w:w="1840"/>
            <w:tcBorders>
              <w:top w:val="single" w:color="D8D4CC" w:sz="1"/>
              <w:left w:val="single" w:color="D8D4CC" w:sz="1"/>
              <w:bottom w:val="single" w:color="D8D4CC" w:sz="1"/>
              <w:right w:val="single" w:color="D8D4CC" w:sz="1"/>
            </w:tcBorders>
            <w:shd w:fill="F5ECE9"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Notoriété locale · 110 membres</w:t>
            </w:r>
          </w:p>
        </w:tc>
      </w:tr>
      <w:tr>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M3–M6
Croissance</w:t>
            </w:r>
          </w:p>
        </w:tc>
        <w:tc>
          <w:tcPr>
            <w:tcW w:type="dxa" w:w="22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Parrainage (1 mois offert) · cours essai gratuit · partenariat CE locaux · posts réguliers 4x/sem</w:t>
            </w:r>
          </w:p>
        </w:tc>
        <w:tc>
          <w:tcPr>
            <w:tcW w:type="dxa" w:w="19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Organique + parrainage</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1 000 €/mois</w:t>
            </w:r>
          </w:p>
        </w:tc>
        <w:tc>
          <w:tcPr>
            <w:tcW w:type="dxa" w:w="184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160–200 membres</w:t>
            </w:r>
          </w:p>
        </w:tc>
      </w:tr>
      <w:tr>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bCs/>
                <w:color w:val="181614"/>
                <w:sz w:val="20"/>
                <w:szCs w:val="20"/>
              </w:rPr>
              <w:t xml:space="preserve">M6–M12
Événements</w:t>
            </w:r>
          </w:p>
        </w:tc>
        <w:tc>
          <w:tcPr>
            <w:tcW w:type="dxa" w:w="220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Fight night mensuel · diffusions UFC · masterclass fighter · presse lifestyle</w:t>
            </w:r>
          </w:p>
        </w:tc>
        <w:tc>
          <w:tcPr>
            <w:tcW w:type="dxa" w:w="196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Event + médias</w:t>
            </w:r>
          </w:p>
        </w:tc>
        <w:tc>
          <w:tcPr>
            <w:tcW w:type="dxa" w:w="168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800 €/mois</w:t>
            </w:r>
          </w:p>
        </w:tc>
        <w:tc>
          <w:tcPr>
            <w:tcW w:type="dxa" w:w="1840"/>
            <w:tcBorders>
              <w:top w:val="single" w:color="D8D4CC" w:sz="1"/>
              <w:left w:val="single" w:color="D8D4CC" w:sz="1"/>
              <w:bottom w:val="single" w:color="D8D4CC" w:sz="1"/>
              <w:right w:val="single" w:color="D8D4CC" w:sz="1"/>
            </w:tcBorders>
            <w:shd w:fill="F5F0E4"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250 membres · notoriété régionale</w:t>
            </w:r>
          </w:p>
        </w:tc>
      </w:tr>
      <w:tr>
        <w:tc>
          <w:tcPr>
            <w:tcW w:type="dxa" w:w="1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bCs/>
                <w:color w:val="181614"/>
                <w:sz w:val="20"/>
                <w:szCs w:val="20"/>
              </w:rPr>
              <w:t xml:space="preserve">An 2+
Marque</w:t>
            </w:r>
          </w:p>
        </w:tc>
        <w:tc>
          <w:tcPr>
            <w:tcW w:type="dxa" w:w="220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Studio contenu · campagnes Meta ads · partenariats RVCA / RDX · podcast</w:t>
            </w:r>
          </w:p>
        </w:tc>
        <w:tc>
          <w:tcPr>
            <w:tcW w:type="dxa" w:w="196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4a4540"/>
                <w:sz w:val="20"/>
                <w:szCs w:val="20"/>
              </w:rPr>
              <w:t xml:space="preserve">Paid + contenu</w:t>
            </w:r>
          </w:p>
        </w:tc>
        <w:tc>
          <w:tcPr>
            <w:tcW w:type="dxa" w:w="1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1 500 €/mois</w:t>
            </w:r>
          </w:p>
        </w:tc>
        <w:tc>
          <w:tcPr>
            <w:tcW w:type="dxa" w:w="18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Marque nationale · 380+ membres</w:t>
            </w:r>
          </w:p>
        </w:tc>
      </w:tr>
    </w:tbl>
    <w:p>
      <w:pPr>
        <w:spacing w:after="0" w:before="120"/>
      </w:pPr>
    </w:p>
    <w:p>
      <w:pPr>
        <w:pStyle w:val="Heading2"/>
        <w:spacing w:after="140" w:before="280"/>
      </w:pPr>
      <w:r>
        <w:rPr>
          <w:rFonts w:ascii="Arial" w:cs="Arial" w:eastAsia="Arial" w:hAnsi="Arial"/>
          <w:b/>
          <w:bCs/>
          <w:color w:val="C8241A"/>
          <w:sz w:val="26"/>
          <w:szCs w:val="26"/>
        </w:rPr>
        <w:t xml:space="preserve">Budget marketing total An 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POSTE</w:t>
            </w:r>
          </w:p>
        </w:tc>
        <w:tc>
          <w:tcPr>
            <w:tcW w:type="dxa" w:w="234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MONTANT</w:t>
            </w:r>
          </w:p>
        </w:tc>
        <w:tc>
          <w:tcPr>
            <w:tcW w:type="dxa" w:w="2340"/>
            <w:tcBorders>
              <w:top w:val="single" w:color="D8D4CC" w:sz="1"/>
              <w:left w:val="single" w:color="D8D4CC" w:sz="1"/>
              <w:bottom w:val="single" w:color="D8D4CC" w:sz="1"/>
              <w:right w:val="single" w:color="D8D4CC" w:sz="1"/>
            </w:tcBorders>
            <w:shd w:fill="181614" w:val="clear"/>
            <w:tcMar>
              <w:top w:type="dxa" w:w="90"/>
              <w:left w:type="dxa" w:w="130"/>
              <w:bottom w:type="dxa" w:w="90"/>
              <w:right w:type="dxa" w:w="130"/>
            </w:tcMar>
          </w:tcPr>
          <w:p>
            <w:r>
              <w:rPr>
                <w:rFonts w:ascii="Arial" w:cs="Arial" w:eastAsia="Arial" w:hAnsi="Arial"/>
                <w:b/>
                <w:bCs/>
                <w:color w:val="FFFFFF"/>
                <w:sz w:val="18"/>
                <w:szCs w:val="18"/>
              </w:rPr>
              <w:t xml:space="preserve">PÉRIODE</w:t>
            </w:r>
          </w:p>
        </w:tc>
      </w:tr>
      <w:tr>
        <w:tc>
          <w:tcPr>
            <w:tcW w:type="dxa" w:w="4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Création identité visuelle (logo, charte, templates)</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1 500–3 000€</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M-4 à M-2</w:t>
            </w:r>
          </w:p>
        </w:tc>
      </w:tr>
      <w:tr>
        <w:tc>
          <w:tcPr>
            <w:tcW w:type="dxa" w:w="4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Site web (Webflow ou WordPress + réservations)</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1 000–2 500€</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M-3</w:t>
            </w:r>
          </w:p>
        </w:tc>
      </w:tr>
      <w:tr>
        <w:tc>
          <w:tcPr>
            <w:tcW w:type="dxa" w:w="4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Contenu pré-lancement (photo, vidéo teasing)</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800–1 500€</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M-3 à M-1</w:t>
            </w:r>
          </w:p>
        </w:tc>
      </w:tr>
      <w:tr>
        <w:tc>
          <w:tcPr>
            <w:tcW w:type="dxa" w:w="4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Flyers &amp; affichage local</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300–600€</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M-2 à M1</w:t>
            </w:r>
          </w:p>
        </w:tc>
      </w:tr>
      <w:tr>
        <w:tc>
          <w:tcPr>
            <w:tcW w:type="dxa" w:w="4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Événement ouverture (logistique, catering)</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1 500–2 500€</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M1</w:t>
            </w:r>
          </w:p>
        </w:tc>
      </w:tr>
      <w:tr>
        <w:tc>
          <w:tcPr>
            <w:tcW w:type="dxa" w:w="4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Publicité Meta Ads (ciblage local)</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500–1 000€/mois</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M3 à M12</w:t>
            </w:r>
          </w:p>
        </w:tc>
      </w:tr>
      <w:tr>
        <w:tc>
          <w:tcPr>
            <w:tcW w:type="dxa" w:w="468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Partenariats &amp; co-promo (CE, mairies, clubs)</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500–1 000€</w:t>
            </w:r>
          </w:p>
        </w:tc>
        <w:tc>
          <w:tcPr>
            <w:tcW w:type="dxa" w:w="2340"/>
            <w:tcBorders>
              <w:top w:val="single" w:color="D8D4CC" w:sz="1"/>
              <w:left w:val="single" w:color="D8D4CC" w:sz="1"/>
              <w:bottom w:val="single" w:color="D8D4CC" w:sz="1"/>
              <w:right w:val="single" w:color="D8D4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M2 à M6</w:t>
            </w:r>
          </w:p>
        </w:tc>
      </w:tr>
      <w:tr>
        <w:tc>
          <w:tcPr>
            <w:tcW w:type="dxa" w:w="468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left"/>
            </w:pPr>
            <w:r>
              <w:rPr>
                <w:rFonts w:ascii="Arial" w:cs="Arial" w:eastAsia="Arial" w:hAnsi="Arial"/>
                <w:b w:val="false"/>
                <w:bCs w:val="false"/>
                <w:color w:val="181614"/>
                <w:sz w:val="20"/>
                <w:szCs w:val="20"/>
              </w:rPr>
              <w:t xml:space="preserve">Budget événementiel fight nights (x6 An 1)</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bCs/>
                <w:color w:val="C8241A"/>
                <w:sz w:val="20"/>
                <w:szCs w:val="20"/>
              </w:rPr>
              <w:t xml:space="preserve">600–1 200€/event</w:t>
            </w:r>
          </w:p>
        </w:tc>
        <w:tc>
          <w:tcPr>
            <w:tcW w:type="dxa" w:w="2340"/>
            <w:tcBorders>
              <w:top w:val="single" w:color="D8D4CC" w:sz="1"/>
              <w:left w:val="single" w:color="D8D4CC" w:sz="1"/>
              <w:bottom w:val="single" w:color="D8D4CC" w:sz="1"/>
              <w:right w:val="single" w:color="D8D4CC" w:sz="1"/>
            </w:tcBorders>
            <w:shd w:fill="F0EDE7" w:val="clear"/>
            <w:tcMar>
              <w:top w:type="dxa" w:w="80"/>
              <w:left w:type="dxa" w:w="130"/>
              <w:bottom w:type="dxa" w:w="80"/>
              <w:right w:type="dxa" w:w="130"/>
            </w:tcMar>
          </w:tcPr>
          <w:p>
            <w:pPr>
              <w:jc w:val="center"/>
            </w:pPr>
            <w:r>
              <w:rPr>
                <w:rFonts w:ascii="Arial" w:cs="Arial" w:eastAsia="Arial" w:hAnsi="Arial"/>
                <w:b w:val="false"/>
                <w:bCs w:val="false"/>
                <w:color w:val="4a4540"/>
                <w:sz w:val="20"/>
                <w:szCs w:val="20"/>
              </w:rPr>
              <w:t xml:space="preserve">M6 à M12</w:t>
            </w:r>
          </w:p>
        </w:tc>
      </w:tr>
      <w:tr>
        <w:tc>
          <w:tcPr>
            <w:tcW w:type="dxa" w:w="468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left"/>
            </w:pPr>
            <w:r>
              <w:rPr>
                <w:rFonts w:ascii="Arial" w:cs="Arial" w:eastAsia="Arial" w:hAnsi="Arial"/>
                <w:b/>
                <w:bCs/>
                <w:color w:val="FFFFFF"/>
                <w:sz w:val="20"/>
                <w:szCs w:val="20"/>
              </w:rPr>
              <w:t xml:space="preserve">BUDGET MARKETING TOTAL AN 1</w:t>
            </w:r>
          </w:p>
        </w:tc>
        <w:tc>
          <w:tcPr>
            <w:tcW w:type="dxa" w:w="234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center"/>
            </w:pPr>
            <w:r>
              <w:rPr>
                <w:rFonts w:ascii="Arial" w:cs="Arial" w:eastAsia="Arial" w:hAnsi="Arial"/>
                <w:b/>
                <w:bCs/>
                <w:color w:val="F5ECE9"/>
                <w:sz w:val="20"/>
                <w:szCs w:val="20"/>
              </w:rPr>
              <w:t xml:space="preserve">12 000–18 000€</w:t>
            </w:r>
          </w:p>
        </w:tc>
        <w:tc>
          <w:tcPr>
            <w:tcW w:type="dxa" w:w="2340"/>
            <w:tcBorders>
              <w:top w:val="single" w:color="D8D4CC" w:sz="1"/>
              <w:left w:val="single" w:color="D8D4CC" w:sz="1"/>
              <w:bottom w:val="single" w:color="D8D4CC" w:sz="1"/>
              <w:right w:val="single" w:color="D8D4CC" w:sz="1"/>
            </w:tcBorders>
            <w:shd w:fill="181614" w:val="clear"/>
            <w:tcMar>
              <w:top w:type="dxa" w:w="80"/>
              <w:left w:type="dxa" w:w="130"/>
              <w:bottom w:type="dxa" w:w="80"/>
              <w:right w:type="dxa" w:w="130"/>
            </w:tcMar>
          </w:tcPr>
          <w:p>
            <w:pPr>
              <w:jc w:val="center"/>
            </w:pPr>
            <w:r>
              <w:rPr>
                <w:rFonts w:ascii="Arial" w:cs="Arial" w:eastAsia="Arial" w:hAnsi="Arial"/>
                <w:b w:val="false"/>
                <w:bCs w:val="false"/>
                <w:color w:val="F5F0E4"/>
                <w:sz w:val="20"/>
                <w:szCs w:val="20"/>
              </w:rPr>
              <w:t xml:space="preserve">M-4 à M12</w:t>
            </w:r>
          </w:p>
        </w:tc>
      </w:tr>
    </w:tbl>
    <w:p>
      <w:pPr>
        <w:spacing w:after="0" w:before="160"/>
      </w:pPr>
    </w:p>
    <w:p>
      <w:pPr>
        <w:pStyle w:val="Heading2"/>
        <w:spacing w:after="140" w:before="280"/>
      </w:pPr>
      <w:r>
        <w:rPr>
          <w:rFonts w:ascii="Arial" w:cs="Arial" w:eastAsia="Arial" w:hAnsi="Arial"/>
          <w:b/>
          <w:bCs/>
          <w:color w:val="C8241A"/>
          <w:sz w:val="26"/>
          <w:szCs w:val="26"/>
        </w:rPr>
        <w:t xml:space="preserve">KPIs marketing à suivre chaque mois</w:t>
      </w:r>
    </w:p>
    <w:p>
      <w:pPr>
        <w:pStyle w:val="ListParagraph"/>
        <w:numPr>
          <w:ilvl w:val="0"/>
          <w:numId w:val="2"/>
        </w:numPr>
        <w:spacing w:after="60" w:before="60"/>
      </w:pPr>
      <w:r>
        <w:rPr>
          <w:rFonts w:ascii="Arial" w:cs="Arial" w:eastAsia="Arial" w:hAnsi="Arial"/>
          <w:color w:val="4a4540"/>
          <w:sz w:val="21"/>
          <w:szCs w:val="21"/>
        </w:rPr>
        <w:t xml:space="preserve">Nombre d'abonnés Instagram / TikTok (cible M1 : 500 / M6 : 2 000)</w:t>
      </w:r>
    </w:p>
    <w:p>
      <w:pPr>
        <w:pStyle w:val="ListParagraph"/>
        <w:numPr>
          <w:ilvl w:val="0"/>
          <w:numId w:val="2"/>
        </w:numPr>
        <w:spacing w:after="60" w:before="60"/>
      </w:pPr>
      <w:r>
        <w:rPr>
          <w:rFonts w:ascii="Arial" w:cs="Arial" w:eastAsia="Arial" w:hAnsi="Arial"/>
          <w:color w:val="4a4540"/>
          <w:sz w:val="21"/>
          <w:szCs w:val="21"/>
        </w:rPr>
        <w:t xml:space="preserve">Taux de conversion liste d'attente → membres fondateurs (cible : &gt; 60%)</w:t>
      </w:r>
    </w:p>
    <w:p>
      <w:pPr>
        <w:pStyle w:val="ListParagraph"/>
        <w:numPr>
          <w:ilvl w:val="0"/>
          <w:numId w:val="2"/>
        </w:numPr>
        <w:spacing w:after="60" w:before="60"/>
      </w:pPr>
      <w:r>
        <w:rPr>
          <w:rFonts w:ascii="Arial" w:cs="Arial" w:eastAsia="Arial" w:hAnsi="Arial"/>
          <w:color w:val="4a4540"/>
          <w:sz w:val="21"/>
          <w:szCs w:val="21"/>
        </w:rPr>
        <w:t xml:space="preserve">Coût d'acquisition membre (CAC) : budget marketing / nouveaux membres du mois</w:t>
      </w:r>
    </w:p>
    <w:p>
      <w:pPr>
        <w:pStyle w:val="ListParagraph"/>
        <w:numPr>
          <w:ilvl w:val="0"/>
          <w:numId w:val="2"/>
        </w:numPr>
        <w:spacing w:after="60" w:before="60"/>
      </w:pPr>
      <w:r>
        <w:rPr>
          <w:rFonts w:ascii="Arial" w:cs="Arial" w:eastAsia="Arial" w:hAnsi="Arial"/>
          <w:color w:val="4a4540"/>
          <w:sz w:val="21"/>
          <w:szCs w:val="21"/>
        </w:rPr>
        <w:t xml:space="preserve">Taux de rétention membres (% membres actifs le mois suivant — cible &gt; 85%)</w:t>
      </w:r>
    </w:p>
    <w:p>
      <w:pPr>
        <w:pStyle w:val="ListParagraph"/>
        <w:numPr>
          <w:ilvl w:val="0"/>
          <w:numId w:val="2"/>
        </w:numPr>
        <w:spacing w:after="60" w:before="60"/>
      </w:pPr>
      <w:r>
        <w:rPr>
          <w:rFonts w:ascii="Arial" w:cs="Arial" w:eastAsia="Arial" w:hAnsi="Arial"/>
          <w:color w:val="4a4540"/>
          <w:sz w:val="21"/>
          <w:szCs w:val="21"/>
        </w:rPr>
        <w:t xml:space="preserve">Reach organique moyen par post (indicateur de qualité du contenu)</w:t>
      </w:r>
    </w:p>
    <w:p>
      <w:pPr>
        <w:pStyle w:val="ListParagraph"/>
        <w:numPr>
          <w:ilvl w:val="0"/>
          <w:numId w:val="2"/>
        </w:numPr>
        <w:spacing w:after="60" w:before="60"/>
      </w:pPr>
      <w:r>
        <w:rPr>
          <w:rFonts w:ascii="Arial" w:cs="Arial" w:eastAsia="Arial" w:hAnsi="Arial"/>
          <w:color w:val="4a4540"/>
          <w:sz w:val="21"/>
          <w:szCs w:val="21"/>
        </w:rPr>
        <w:t xml:space="preserve">Revenus générés par les fight nights (CA billetterie + bar)</w:t>
      </w:r>
    </w:p>
    <w:p>
      <w:pPr>
        <w:spacing w:after="0" w:before="120"/>
      </w:pPr>
    </w:p>
    <w:p>
      <w:pPr>
        <w:pBdr>
          <w:bottom w:val="single" w:color="D8D4CC" w:sz="4"/>
        </w:pBdr>
        <w:spacing w:after="200" w:before="200"/>
      </w:pPr>
    </w:p>
    <w:p>
      <w:pPr>
        <w:spacing w:after="40" w:before="160"/>
        <w:jc w:val="center"/>
      </w:pPr>
      <w:r>
        <w:rPr>
          <w:rFonts w:ascii="Arial" w:cs="Arial" w:eastAsia="Arial" w:hAnsi="Arial"/>
          <w:color w:val="4a4540"/>
          <w:sz w:val="17"/>
          <w:szCs w:val="17"/>
        </w:rPr>
        <w:t xml:space="preserve">FIGHTCOFFEE — Annexe Opérationnelle — Document confidentiel</w:t>
      </w:r>
    </w:p>
    <w:p>
      <w:pPr>
        <w:spacing w:after="40" w:before="20"/>
        <w:jc w:val="center"/>
      </w:pPr>
      <w:r>
        <w:rPr>
          <w:rFonts w:ascii="Arial" w:cs="Arial" w:eastAsia="Arial" w:hAnsi="Arial"/>
          <w:color w:val="C8241A"/>
          <w:sz w:val="17"/>
          <w:szCs w:val="17"/>
        </w:rPr>
        <w:t xml:space="preserve">contact@fightcoffee.fr  ·  fightcoffee.fr  ·  Pleurtuit, Bretagne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pBdr>
      <w:spacing w:before="60"/>
      <w:jc w:val="right"/>
    </w:pPr>
    <w:r>
      <w:rPr>
        <w:rFonts w:ascii="Arial" w:cs="Arial" w:eastAsia="Arial" w:hAnsi="Arial"/>
        <w:color w:val="4a4540"/>
        <w:sz w:val="17"/>
        <w:szCs w:val="17"/>
      </w:rPr>
      <w:t xml:space="preserve">Page </w:t>
    </w:r>
    <w:fldSimple w:instr="PAGE"/>
    <w:r>
      <w:rPr>
        <w:rFonts w:ascii="Arial" w:cs="Arial" w:eastAsia="Arial" w:hAnsi="Arial"/>
        <w:color w:val="4a4540"/>
        <w:sz w:val="17"/>
        <w:szCs w:val="17"/>
      </w:rPr>
      <w:t xml:space="preserve">   ·   FightCoffee — Usage interne uniquement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C" w:sz="4"/>
      </w:pBdr>
      <w:spacing w:after="0"/>
    </w:pPr>
    <w:r>
      <w:rPr>
        <w:rFonts w:ascii="Arial" w:cs="Arial" w:eastAsia="Arial" w:hAnsi="Arial"/>
        <w:b/>
        <w:bCs/>
        <w:color w:val="C8241A"/>
        <w:sz w:val="18"/>
        <w:szCs w:val="18"/>
      </w:rPr>
      <w:t xml:space="preserve">FIGHTCOFFEE</w:t>
    </w:r>
    <w:r>
      <w:rPr>
        <w:rFonts w:ascii="Arial" w:cs="Arial" w:eastAsia="Arial" w:hAnsi="Arial"/>
        <w:color w:val="4a4540"/>
        <w:sz w:val="18"/>
        <w:szCs w:val="18"/>
      </w:rPr>
      <w:t xml:space="preserve">   —   Annexe Opérationnelle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81614"/>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C824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2026-03-24T14:51:20.586Z</dcterms:created>
  <dcterms:modified xsi:type="dcterms:W3CDTF">2026-03-24T14:51:20.587Z</dcterms:modified>
</cp:coreProperties>
</file>

<file path=docProps/custom.xml><?xml version="1.0" encoding="utf-8"?>
<Properties xmlns="http://schemas.openxmlformats.org/officeDocument/2006/custom-properties" xmlns:vt="http://schemas.openxmlformats.org/officeDocument/2006/docPropsVTypes"/>
</file>