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81614"/>
          <w:sz w:val="72"/>
          <w:szCs w:val="72"/>
        </w:rPr>
        <w:t xml:space="preserve">FIGHT</w:t>
      </w:r>
    </w:p>
    <w:p>
      <w:pPr>
        <w:spacing w:after="80" w:before="0"/>
        <w:jc w:val="center"/>
      </w:pPr>
      <w:r>
        <w:rPr>
          <w:rFonts w:ascii="Arial" w:cs="Arial" w:eastAsia="Arial" w:hAnsi="Arial"/>
          <w:b/>
          <w:bCs/>
          <w:color w:val="C8241A"/>
          <w:sz w:val="72"/>
          <w:szCs w:val="72"/>
        </w:rPr>
        <w:t xml:space="preserve">COFFEE</w:t>
      </w:r>
    </w:p>
    <w:p>
      <w:pPr>
        <w:spacing w:after="200" w:before="40"/>
        <w:jc w:val="center"/>
      </w:pPr>
      <w:r>
        <w:rPr>
          <w:rFonts w:ascii="Arial" w:cs="Arial" w:eastAsia="Arial" w:hAnsi="Arial"/>
          <w:b w:val="false"/>
          <w:bCs w:val="false"/>
          <w:color w:val="4a4540"/>
          <w:sz w:val="22"/>
          <w:szCs w:val="22"/>
        </w:rPr>
        <w:t xml:space="preserve">HYBRID COMBAT &amp; LIFESTYLE HUB</w:t>
      </w:r>
    </w:p>
    <w:p>
      <w:pPr>
        <w:pBdr>
          <w:bottom w:val="single" w:color="C8241A" w:sz="4"/>
        </w:pBdr>
        <w:spacing w:after="200" w:before="200"/>
      </w:pPr>
    </w:p>
    <w:p>
      <w:pPr>
        <w:spacing w:after="80" w:before="160"/>
        <w:jc w:val="center"/>
      </w:pPr>
      <w:r>
        <w:rPr>
          <w:rFonts w:ascii="Arial" w:cs="Arial" w:eastAsia="Arial" w:hAnsi="Arial"/>
          <w:b/>
          <w:bCs/>
          <w:color w:val="181614"/>
          <w:sz w:val="28"/>
          <w:szCs w:val="28"/>
        </w:rPr>
        <w:t xml:space="preserve">BUSINESS PLAN — USAGE INTERNE</w:t>
      </w:r>
    </w:p>
    <w:p>
      <w:pPr>
        <w:spacing w:after="80" w:before="40"/>
        <w:jc w:val="center"/>
      </w:pPr>
      <w:r>
        <w:rPr>
          <w:rFonts w:ascii="Arial" w:cs="Arial" w:eastAsia="Arial" w:hAnsi="Arial"/>
          <w:color w:val="4a4540"/>
          <w:sz w:val="22"/>
          <w:szCs w:val="22"/>
        </w:rPr>
        <w:t xml:space="preserve">Étude de marché · Prévisionnel financier 3 ans · Pilotage</w:t>
      </w:r>
    </w:p>
    <w:p>
      <w:pPr>
        <w:spacing w:after="800" w:before="40"/>
        <w:jc w:val="center"/>
      </w:pPr>
      <w:r>
        <w:rPr>
          <w:rFonts w:ascii="Arial" w:cs="Arial" w:eastAsia="Arial" w:hAnsi="Arial"/>
          <w:color w:val="4a4540"/>
          <w:sz w:val="20"/>
          <w:szCs w:val="20"/>
        </w:rPr>
        <w:t xml:space="preserve">Pleurtuit · Saint-Malo · Dinard — Bretagne côtière</w:t>
      </w:r>
    </w:p>
    <w:p>
      <w:pPr>
        <w:pBdr>
          <w:bottom w:val="single" w:color="D8D4CC" w:sz="4"/>
        </w:pBdr>
        <w:spacing w:after="200" w:before="200"/>
      </w:pPr>
    </w:p>
    <w:p>
      <w:pPr>
        <w:spacing w:after="40" w:before="160"/>
        <w:jc w:val="center"/>
      </w:pPr>
      <w:r>
        <w:rPr>
          <w:rFonts w:ascii="Arial" w:cs="Arial" w:eastAsia="Arial" w:hAnsi="Arial"/>
          <w:color w:val="4a4540"/>
          <w:sz w:val="18"/>
          <w:szCs w:val="18"/>
        </w:rPr>
        <w:t xml:space="preserve">Document confidentiel — Mars 2025</w:t>
      </w:r>
    </w:p>
    <w:p>
      <w:pPr>
        <w:spacing w:after="40" w:before="0"/>
        <w:jc w:val="center"/>
      </w:pPr>
      <w:r>
        <w:rPr>
          <w:rFonts w:ascii="Arial" w:cs="Arial" w:eastAsia="Arial" w:hAnsi="Arial"/>
          <w:color w:val="C8241A"/>
          <w:sz w:val="18"/>
          <w:szCs w:val="18"/>
        </w:rPr>
        <w:t xml:space="preserve">contact@fightcoffee.fr  ·  fightcoffee.fr</w:t>
      </w:r>
    </w:p>
    <w:p>
      <w:r>
        <w:br w:type="page"/>
      </w:r>
    </w:p>
    <w:p>
      <w:pPr>
        <w:spacing w:after="60" w:before="100"/>
      </w:pPr>
      <w:r>
        <w:rPr>
          <w:rFonts w:ascii="Arial" w:cs="Arial" w:eastAsia="Arial" w:hAnsi="Arial"/>
          <w:b/>
          <w:bCs/>
          <w:color w:val="C8241A"/>
          <w:sz w:val="17"/>
          <w:szCs w:val="17"/>
        </w:rPr>
        <w:t xml:space="preserve">— SOMMAIRE</w:t>
      </w:r>
    </w:p>
    <w:p>
      <w:pPr>
        <w:pStyle w:val="Heading1"/>
        <w:spacing w:after="200" w:before="400"/>
      </w:pPr>
      <w:r>
        <w:rPr>
          <w:rFonts w:ascii="Arial" w:cs="Arial" w:eastAsia="Arial" w:hAnsi="Arial"/>
          <w:b/>
          <w:bCs/>
          <w:color w:val="181614"/>
          <w:sz w:val="36"/>
          <w:szCs w:val="36"/>
        </w:rPr>
        <w:t xml:space="preserve">TABLE DES MATIÈRES</w:t>
      </w:r>
    </w:p>
    <w:p>
      <w:pPr>
        <w:pBdr>
          <w:bottom w:val="single" w:color="C8241A" w:sz="4"/>
        </w:pBdr>
        <w:spacing w:after="200" w:before="200"/>
      </w:pPr>
    </w:p>
    <w:p>
      <w:pPr>
        <w:spacing w:after="80" w:before="80"/>
      </w:pPr>
      <w:r>
        <w:rPr>
          <w:rFonts w:ascii="Arial" w:cs="Arial" w:eastAsia="Arial" w:hAnsi="Arial"/>
          <w:b/>
          <w:bCs/>
          <w:color w:val="C8241A"/>
          <w:sz w:val="22"/>
          <w:szCs w:val="22"/>
        </w:rPr>
        <w:t xml:space="preserve">01.  </w:t>
      </w:r>
      <w:r>
        <w:rPr>
          <w:rFonts w:ascii="Arial" w:cs="Arial" w:eastAsia="Arial" w:hAnsi="Arial"/>
          <w:color w:val="181614"/>
          <w:sz w:val="22"/>
          <w:szCs w:val="22"/>
        </w:rPr>
        <w:t xml:space="preserve">Présentation du projet</w:t>
      </w:r>
    </w:p>
    <w:p>
      <w:pPr>
        <w:spacing w:after="80" w:before="80"/>
      </w:pPr>
      <w:r>
        <w:rPr>
          <w:rFonts w:ascii="Arial" w:cs="Arial" w:eastAsia="Arial" w:hAnsi="Arial"/>
          <w:b/>
          <w:bCs/>
          <w:color w:val="C8241A"/>
          <w:sz w:val="22"/>
          <w:szCs w:val="22"/>
        </w:rPr>
        <w:t xml:space="preserve">02.  </w:t>
      </w:r>
      <w:r>
        <w:rPr>
          <w:rFonts w:ascii="Arial" w:cs="Arial" w:eastAsia="Arial" w:hAnsi="Arial"/>
          <w:color w:val="181614"/>
          <w:sz w:val="22"/>
          <w:szCs w:val="22"/>
        </w:rPr>
        <w:t xml:space="preserve">Étude de marché</w:t>
      </w:r>
    </w:p>
    <w:p>
      <w:pPr>
        <w:spacing w:after="80" w:before="80"/>
      </w:pPr>
      <w:r>
        <w:rPr>
          <w:rFonts w:ascii="Arial" w:cs="Arial" w:eastAsia="Arial" w:hAnsi="Arial"/>
          <w:b/>
          <w:bCs/>
          <w:color w:val="C8241A"/>
          <w:sz w:val="22"/>
          <w:szCs w:val="22"/>
        </w:rPr>
        <w:t xml:space="preserve">03.  </w:t>
      </w:r>
      <w:r>
        <w:rPr>
          <w:rFonts w:ascii="Arial" w:cs="Arial" w:eastAsia="Arial" w:hAnsi="Arial"/>
          <w:color w:val="181614"/>
          <w:sz w:val="22"/>
          <w:szCs w:val="22"/>
        </w:rPr>
        <w:t xml:space="preserve">Analyse concurrentielle</w:t>
      </w:r>
    </w:p>
    <w:p>
      <w:pPr>
        <w:spacing w:after="80" w:before="80"/>
      </w:pPr>
      <w:r>
        <w:rPr>
          <w:rFonts w:ascii="Arial" w:cs="Arial" w:eastAsia="Arial" w:hAnsi="Arial"/>
          <w:b/>
          <w:bCs/>
          <w:color w:val="C8241A"/>
          <w:sz w:val="22"/>
          <w:szCs w:val="22"/>
        </w:rPr>
        <w:t xml:space="preserve">04.  </w:t>
      </w:r>
      <w:r>
        <w:rPr>
          <w:rFonts w:ascii="Arial" w:cs="Arial" w:eastAsia="Arial" w:hAnsi="Arial"/>
          <w:color w:val="181614"/>
          <w:sz w:val="22"/>
          <w:szCs w:val="22"/>
        </w:rPr>
        <w:t xml:space="preserve">Stratégie commerciale &amp; offre</w:t>
      </w:r>
    </w:p>
    <w:p>
      <w:pPr>
        <w:spacing w:after="80" w:before="80"/>
      </w:pPr>
      <w:r>
        <w:rPr>
          <w:rFonts w:ascii="Arial" w:cs="Arial" w:eastAsia="Arial" w:hAnsi="Arial"/>
          <w:b/>
          <w:bCs/>
          <w:color w:val="C8241A"/>
          <w:sz w:val="22"/>
          <w:szCs w:val="22"/>
        </w:rPr>
        <w:t xml:space="preserve">05.  </w:t>
      </w:r>
      <w:r>
        <w:rPr>
          <w:rFonts w:ascii="Arial" w:cs="Arial" w:eastAsia="Arial" w:hAnsi="Arial"/>
          <w:color w:val="181614"/>
          <w:sz w:val="22"/>
          <w:szCs w:val="22"/>
        </w:rPr>
        <w:t xml:space="preserve">Investissement initial</w:t>
      </w:r>
    </w:p>
    <w:p>
      <w:pPr>
        <w:spacing w:after="80" w:before="80"/>
      </w:pPr>
      <w:r>
        <w:rPr>
          <w:rFonts w:ascii="Arial" w:cs="Arial" w:eastAsia="Arial" w:hAnsi="Arial"/>
          <w:b/>
          <w:bCs/>
          <w:color w:val="C8241A"/>
          <w:sz w:val="22"/>
          <w:szCs w:val="22"/>
        </w:rPr>
        <w:t xml:space="preserve">06.  </w:t>
      </w:r>
      <w:r>
        <w:rPr>
          <w:rFonts w:ascii="Arial" w:cs="Arial" w:eastAsia="Arial" w:hAnsi="Arial"/>
          <w:color w:val="181614"/>
          <w:sz w:val="22"/>
          <w:szCs w:val="22"/>
        </w:rPr>
        <w:t xml:space="preserve">Structure des charges</w:t>
      </w:r>
    </w:p>
    <w:p>
      <w:pPr>
        <w:spacing w:after="80" w:before="80"/>
      </w:pPr>
      <w:r>
        <w:rPr>
          <w:rFonts w:ascii="Arial" w:cs="Arial" w:eastAsia="Arial" w:hAnsi="Arial"/>
          <w:b/>
          <w:bCs/>
          <w:color w:val="C8241A"/>
          <w:sz w:val="22"/>
          <w:szCs w:val="22"/>
        </w:rPr>
        <w:t xml:space="preserve">07.  </w:t>
      </w:r>
      <w:r>
        <w:rPr>
          <w:rFonts w:ascii="Arial" w:cs="Arial" w:eastAsia="Arial" w:hAnsi="Arial"/>
          <w:color w:val="181614"/>
          <w:sz w:val="22"/>
          <w:szCs w:val="22"/>
        </w:rPr>
        <w:t xml:space="preserve">Prévisionnel des revenus 3 ans</w:t>
      </w:r>
    </w:p>
    <w:p>
      <w:pPr>
        <w:spacing w:after="80" w:before="80"/>
      </w:pPr>
      <w:r>
        <w:rPr>
          <w:rFonts w:ascii="Arial" w:cs="Arial" w:eastAsia="Arial" w:hAnsi="Arial"/>
          <w:b/>
          <w:bCs/>
          <w:color w:val="C8241A"/>
          <w:sz w:val="22"/>
          <w:szCs w:val="22"/>
        </w:rPr>
        <w:t xml:space="preserve">08.  </w:t>
      </w:r>
      <w:r>
        <w:rPr>
          <w:rFonts w:ascii="Arial" w:cs="Arial" w:eastAsia="Arial" w:hAnsi="Arial"/>
          <w:color w:val="181614"/>
          <w:sz w:val="22"/>
          <w:szCs w:val="22"/>
        </w:rPr>
        <w:t xml:space="preserve">Compte de résultat prévisionnel</w:t>
      </w:r>
    </w:p>
    <w:p>
      <w:pPr>
        <w:spacing w:after="80" w:before="80"/>
      </w:pPr>
      <w:r>
        <w:rPr>
          <w:rFonts w:ascii="Arial" w:cs="Arial" w:eastAsia="Arial" w:hAnsi="Arial"/>
          <w:b/>
          <w:bCs/>
          <w:color w:val="C8241A"/>
          <w:sz w:val="22"/>
          <w:szCs w:val="22"/>
        </w:rPr>
        <w:t xml:space="preserve">09.  </w:t>
      </w:r>
      <w:r>
        <w:rPr>
          <w:rFonts w:ascii="Arial" w:cs="Arial" w:eastAsia="Arial" w:hAnsi="Arial"/>
          <w:color w:val="181614"/>
          <w:sz w:val="22"/>
          <w:szCs w:val="22"/>
        </w:rPr>
        <w:t xml:space="preserve">Plan de trésorerie &amp; seuil de rentabilité</w:t>
      </w:r>
    </w:p>
    <w:p>
      <w:pPr>
        <w:spacing w:after="80" w:before="80"/>
      </w:pPr>
      <w:r>
        <w:rPr>
          <w:rFonts w:ascii="Arial" w:cs="Arial" w:eastAsia="Arial" w:hAnsi="Arial"/>
          <w:b/>
          <w:bCs/>
          <w:color w:val="C8241A"/>
          <w:sz w:val="22"/>
          <w:szCs w:val="22"/>
        </w:rPr>
        <w:t xml:space="preserve">10.  </w:t>
      </w:r>
      <w:r>
        <w:rPr>
          <w:rFonts w:ascii="Arial" w:cs="Arial" w:eastAsia="Arial" w:hAnsi="Arial"/>
          <w:color w:val="181614"/>
          <w:sz w:val="22"/>
          <w:szCs w:val="22"/>
        </w:rPr>
        <w:t xml:space="preserve">Scénarios &amp; sensibilité</w:t>
      </w:r>
    </w:p>
    <w:p>
      <w:pPr>
        <w:spacing w:after="80" w:before="80"/>
      </w:pPr>
      <w:r>
        <w:rPr>
          <w:rFonts w:ascii="Arial" w:cs="Arial" w:eastAsia="Arial" w:hAnsi="Arial"/>
          <w:b/>
          <w:bCs/>
          <w:color w:val="C8241A"/>
          <w:sz w:val="22"/>
          <w:szCs w:val="22"/>
        </w:rPr>
        <w:t xml:space="preserve">11.  </w:t>
      </w:r>
      <w:r>
        <w:rPr>
          <w:rFonts w:ascii="Arial" w:cs="Arial" w:eastAsia="Arial" w:hAnsi="Arial"/>
          <w:color w:val="181614"/>
          <w:sz w:val="22"/>
          <w:szCs w:val="22"/>
        </w:rPr>
        <w:t xml:space="preserve">Roadmap &amp; jalons</w:t>
      </w:r>
    </w:p>
    <w:p>
      <w:pPr>
        <w:spacing w:after="80" w:before="80"/>
      </w:pPr>
      <w:r>
        <w:rPr>
          <w:rFonts w:ascii="Arial" w:cs="Arial" w:eastAsia="Arial" w:hAnsi="Arial"/>
          <w:b/>
          <w:bCs/>
          <w:color w:val="C8241A"/>
          <w:sz w:val="22"/>
          <w:szCs w:val="22"/>
        </w:rPr>
        <w:t xml:space="preserve">12.  </w:t>
      </w:r>
      <w:r>
        <w:rPr>
          <w:rFonts w:ascii="Arial" w:cs="Arial" w:eastAsia="Arial" w:hAnsi="Arial"/>
          <w:color w:val="181614"/>
          <w:sz w:val="22"/>
          <w:szCs w:val="22"/>
        </w:rPr>
        <w:t xml:space="preserve">Facteurs clés de succès &amp; risques</w:t>
      </w:r>
    </w:p>
    <w:p>
      <w:r>
        <w:br w:type="page"/>
      </w:r>
    </w:p>
    <w:p>
      <w:pPr>
        <w:spacing w:after="60" w:before="100"/>
      </w:pPr>
      <w:r>
        <w:rPr>
          <w:rFonts w:ascii="Arial" w:cs="Arial" w:eastAsia="Arial" w:hAnsi="Arial"/>
          <w:b/>
          <w:bCs/>
          <w:color w:val="C8241A"/>
          <w:sz w:val="17"/>
          <w:szCs w:val="17"/>
        </w:rPr>
        <w:t xml:space="preserve">— 01 — PRÉSENTATION</w:t>
      </w:r>
    </w:p>
    <w:p>
      <w:pPr>
        <w:pStyle w:val="Heading1"/>
        <w:spacing w:after="200" w:before="400"/>
      </w:pPr>
      <w:r>
        <w:rPr>
          <w:rFonts w:ascii="Arial" w:cs="Arial" w:eastAsia="Arial" w:hAnsi="Arial"/>
          <w:b/>
          <w:bCs/>
          <w:color w:val="181614"/>
          <w:sz w:val="36"/>
          <w:szCs w:val="36"/>
        </w:rPr>
        <w:t xml:space="preserve">LE PROJET FIGHTCOFFEE</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Vision</w:t>
      </w:r>
    </w:p>
    <w:p>
      <w:pPr>
        <w:spacing w:after="80" w:before="80"/>
      </w:pPr>
      <w:r>
        <w:rPr>
          <w:rFonts w:ascii="Arial" w:cs="Arial" w:eastAsia="Arial" w:hAnsi="Arial"/>
          <w:color w:val="4a4540"/>
          <w:sz w:val="22"/>
          <w:szCs w:val="22"/>
        </w:rPr>
        <w:t xml:space="preserve">FightCoffee est un hub hybride combinant sport de combat, coffee shop premium, recovery et événementiel dans un seul lieu cohérent. Le concept s'implante à Pleurtuit, au cœur du bassin Saint-Malo / Dinard, pour adresser une demande locale non satisfaite : un lieu de vie sportif, social et identitaire.</w:t>
      </w:r>
    </w:p>
    <w:p>
      <w:pPr>
        <w:spacing w:after="80" w:before="80"/>
      </w:pPr>
      <w:r>
        <w:rPr>
          <w:rFonts w:ascii="Arial" w:cs="Arial" w:eastAsia="Arial" w:hAnsi="Arial"/>
          <w:color w:val="4a4540"/>
          <w:sz w:val="22"/>
          <w:szCs w:val="22"/>
        </w:rPr>
        <w:t xml:space="preserve">Le projet ne vend pas des cours. Il crée une appartenance. Chaque élément renforce les autres : l'entraînement pousse à rester, le café crée du lien, les événements font venir, la communauté retient.</w:t>
      </w:r>
    </w:p>
    <w:p>
      <w:pPr>
        <w:pStyle w:val="Heading2"/>
        <w:spacing w:after="160" w:before="300"/>
      </w:pPr>
      <w:r>
        <w:rPr>
          <w:rFonts w:ascii="Arial" w:cs="Arial" w:eastAsia="Arial" w:hAnsi="Arial"/>
          <w:b/>
          <w:bCs/>
          <w:color w:val="181614"/>
          <w:sz w:val="28"/>
          <w:szCs w:val="28"/>
        </w:rPr>
        <w:t xml:space="preserve">Les quatre piliers</w:t>
      </w:r>
    </w:p>
    <w:p>
      <w:pPr>
        <w:spacing w:after="80" w:before="80"/>
      </w:pPr>
      <w:r>
        <w:rPr>
          <w:rFonts w:ascii="Arial" w:cs="Arial" w:eastAsia="Arial" w:hAnsi="Arial"/>
          <w:b/>
          <w:bCs/>
          <w:color w:val="181614"/>
          <w:sz w:val="22"/>
          <w:szCs w:val="22"/>
        </w:rPr>
        <w:t xml:space="preserve">Intensité : </w:t>
      </w:r>
      <w:r>
        <w:rPr>
          <w:rFonts w:ascii="Arial" w:cs="Arial" w:eastAsia="Arial" w:hAnsi="Arial"/>
          <w:color w:val="4a4540"/>
          <w:sz w:val="22"/>
          <w:szCs w:val="22"/>
        </w:rPr>
        <w:t xml:space="preserve">Le combat au cœur — MMA, Luta Livre, Boxe, BJJ, Muay Thaï. L'identité centrale du lieu.</w:t>
      </w:r>
    </w:p>
    <w:p>
      <w:pPr>
        <w:spacing w:after="80" w:before="80"/>
      </w:pPr>
      <w:r>
        <w:rPr>
          <w:rFonts w:ascii="Arial" w:cs="Arial" w:eastAsia="Arial" w:hAnsi="Arial"/>
          <w:b/>
          <w:bCs/>
          <w:color w:val="181614"/>
          <w:sz w:val="22"/>
          <w:szCs w:val="22"/>
        </w:rPr>
        <w:t xml:space="preserve">Lifestyle : </w:t>
      </w:r>
      <w:r>
        <w:rPr>
          <w:rFonts w:ascii="Arial" w:cs="Arial" w:eastAsia="Arial" w:hAnsi="Arial"/>
          <w:color w:val="4a4540"/>
          <w:sz w:val="22"/>
          <w:szCs w:val="22"/>
        </w:rPr>
        <w:t xml:space="preserve">Coffee shop soigné, espace social pensé, esthétique assumée. Un lieu où l'on a envie de rester.</w:t>
      </w:r>
    </w:p>
    <w:p>
      <w:pPr>
        <w:spacing w:after="80" w:before="80"/>
      </w:pPr>
      <w:r>
        <w:rPr>
          <w:rFonts w:ascii="Arial" w:cs="Arial" w:eastAsia="Arial" w:hAnsi="Arial"/>
          <w:b/>
          <w:bCs/>
          <w:color w:val="181614"/>
          <w:sz w:val="22"/>
          <w:szCs w:val="22"/>
        </w:rPr>
        <w:t xml:space="preserve">Communauté : </w:t>
      </w:r>
      <w:r>
        <w:rPr>
          <w:rFonts w:ascii="Arial" w:cs="Arial" w:eastAsia="Arial" w:hAnsi="Arial"/>
          <w:color w:val="4a4540"/>
          <w:sz w:val="22"/>
          <w:szCs w:val="22"/>
        </w:rPr>
        <w:t xml:space="preserve">Appartenance forte, événements réguliers, rituels partagés. Les membres font partie de quelque chose.</w:t>
      </w:r>
    </w:p>
    <w:p>
      <w:pPr>
        <w:spacing w:after="80" w:before="80"/>
      </w:pPr>
      <w:r>
        <w:rPr>
          <w:rFonts w:ascii="Arial" w:cs="Arial" w:eastAsia="Arial" w:hAnsi="Arial"/>
          <w:b/>
          <w:bCs/>
          <w:color w:val="181614"/>
          <w:sz w:val="22"/>
          <w:szCs w:val="22"/>
        </w:rPr>
        <w:t xml:space="preserve">Expérience : </w:t>
      </w:r>
      <w:r>
        <w:rPr>
          <w:rFonts w:ascii="Arial" w:cs="Arial" w:eastAsia="Arial" w:hAnsi="Arial"/>
          <w:color w:val="4a4540"/>
          <w:sz w:val="22"/>
          <w:szCs w:val="22"/>
        </w:rPr>
        <w:t xml:space="preserve">Fight nights, résidences fighters, diffusions UFC, masterclass. Le lieu est vivant et évolue.</w:t>
      </w:r>
    </w:p>
    <w:p>
      <w:pPr>
        <w:pStyle w:val="Heading2"/>
        <w:spacing w:after="160" w:before="300"/>
      </w:pPr>
      <w:r>
        <w:rPr>
          <w:rFonts w:ascii="Arial" w:cs="Arial" w:eastAsia="Arial" w:hAnsi="Arial"/>
          <w:b/>
          <w:bCs/>
          <w:color w:val="181614"/>
          <w:sz w:val="28"/>
          <w:szCs w:val="28"/>
        </w:rPr>
        <w:t xml:space="preserve">Implantation</w:t>
      </w:r>
    </w:p>
    <w:p>
      <w:pPr>
        <w:spacing w:after="80" w:before="80"/>
      </w:pPr>
      <w:r>
        <w:rPr>
          <w:rFonts w:ascii="Arial" w:cs="Arial" w:eastAsia="Arial" w:hAnsi="Arial"/>
          <w:b/>
          <w:bCs/>
          <w:color w:val="181614"/>
          <w:sz w:val="22"/>
          <w:szCs w:val="22"/>
        </w:rPr>
        <w:t xml:space="preserve">Localisation cible : </w:t>
      </w:r>
      <w:r>
        <w:rPr>
          <w:rFonts w:ascii="Arial" w:cs="Arial" w:eastAsia="Arial" w:hAnsi="Arial"/>
          <w:color w:val="4a4540"/>
          <w:sz w:val="22"/>
          <w:szCs w:val="22"/>
        </w:rPr>
        <w:t xml:space="preserve">Pleurtuit (35730) — commune en développement, entre Saint-Malo et Dinard, axe commercial dynamique.</w:t>
      </w:r>
    </w:p>
    <w:p>
      <w:pPr>
        <w:spacing w:after="80" w:before="80"/>
      </w:pPr>
      <w:r>
        <w:rPr>
          <w:rFonts w:ascii="Arial" w:cs="Arial" w:eastAsia="Arial" w:hAnsi="Arial"/>
          <w:b/>
          <w:bCs/>
          <w:color w:val="181614"/>
          <w:sz w:val="22"/>
          <w:szCs w:val="22"/>
        </w:rPr>
        <w:t xml:space="preserve">Surface visée : </w:t>
      </w:r>
      <w:r>
        <w:rPr>
          <w:rFonts w:ascii="Arial" w:cs="Arial" w:eastAsia="Arial" w:hAnsi="Arial"/>
          <w:color w:val="4a4540"/>
          <w:sz w:val="22"/>
          <w:szCs w:val="22"/>
        </w:rPr>
        <w:t xml:space="preserve">300 à 400 m² en rez-de-chaussée, accessibilité voiture et vélo, visibilité depuis axe passant.</w:t>
      </w:r>
    </w:p>
    <w:p>
      <w:pPr>
        <w:spacing w:after="80" w:before="80"/>
      </w:pPr>
      <w:r>
        <w:rPr>
          <w:rFonts w:ascii="Arial" w:cs="Arial" w:eastAsia="Arial" w:hAnsi="Arial"/>
          <w:b/>
          <w:bCs/>
          <w:color w:val="181614"/>
          <w:sz w:val="22"/>
          <w:szCs w:val="22"/>
        </w:rPr>
        <w:t xml:space="preserve">Statut juridique envisagé : </w:t>
      </w:r>
      <w:r>
        <w:rPr>
          <w:rFonts w:ascii="Arial" w:cs="Arial" w:eastAsia="Arial" w:hAnsi="Arial"/>
          <w:color w:val="4a4540"/>
          <w:sz w:val="22"/>
          <w:szCs w:val="22"/>
        </w:rPr>
        <w:t xml:space="preserve">SAS ou SARL — à définir selon structure de l'actionnariat et montage financier retenu.</w:t>
      </w:r>
    </w:p>
    <w:p>
      <w:r>
        <w:br w:type="page"/>
      </w:r>
    </w:p>
    <w:p>
      <w:pPr>
        <w:spacing w:after="60" w:before="100"/>
      </w:pPr>
      <w:r>
        <w:rPr>
          <w:rFonts w:ascii="Arial" w:cs="Arial" w:eastAsia="Arial" w:hAnsi="Arial"/>
          <w:b/>
          <w:bCs/>
          <w:color w:val="C8241A"/>
          <w:sz w:val="17"/>
          <w:szCs w:val="17"/>
        </w:rPr>
        <w:t xml:space="preserve">— 02 — ÉTUDE DE MARCHÉ</w:t>
      </w:r>
    </w:p>
    <w:p>
      <w:pPr>
        <w:pStyle w:val="Heading1"/>
        <w:spacing w:after="200" w:before="400"/>
      </w:pPr>
      <w:r>
        <w:rPr>
          <w:rFonts w:ascii="Arial" w:cs="Arial" w:eastAsia="Arial" w:hAnsi="Arial"/>
          <w:b/>
          <w:bCs/>
          <w:color w:val="181614"/>
          <w:sz w:val="36"/>
          <w:szCs w:val="36"/>
        </w:rPr>
        <w:t xml:space="preserve">ANALYSE DU MARCHÉ</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Zone de chalandise</w:t>
      </w:r>
    </w:p>
    <w:p>
      <w:pPr>
        <w:spacing w:after="80" w:before="80"/>
      </w:pPr>
      <w:r>
        <w:rPr>
          <w:rFonts w:ascii="Arial" w:cs="Arial" w:eastAsia="Arial" w:hAnsi="Arial"/>
          <w:color w:val="4a4540"/>
          <w:sz w:val="22"/>
          <w:szCs w:val="22"/>
        </w:rPr>
        <w:t xml:space="preserve">La zone primaire couvre Pleurtuit et ses communes limitrophes immédiates (La Richardais, Miniac-Morvan). La zone secondaire intègre Saint-Malo et Dinard, accessibles en 10 à 15 minutes. La zone tertiaire étend le bassin à Dol-de-Bretagne et au Pays de Rance, soit environ 120 000 habitants permanents.</w:t>
      </w:r>
    </w:p>
    <w:p>
      <w:pPr>
        <w:spacing w:after="80" w:before="80"/>
      </w:pPr>
      <w:r>
        <w:rPr>
          <w:rFonts w:ascii="Arial" w:cs="Arial" w:eastAsia="Arial" w:hAnsi="Arial"/>
          <w:color w:val="4a4540"/>
          <w:sz w:val="22"/>
          <w:szCs w:val="22"/>
        </w:rPr>
        <w:t xml:space="preserve">En été, la population du bassin augmente d'environ 40 % grâce au tourisme côtier — flux directement exploitable via l'offre événementielle et le coffee shop.</w:t>
      </w:r>
    </w:p>
    <w:p>
      <w:pPr>
        <w:spacing w:after="120" w:before="240"/>
      </w:pPr>
    </w:p>
    <w:p>
      <w:pPr>
        <w:spacing w:after="120" w:before="240"/>
      </w:pPr>
      <w:r>
        <w:rPr>
          <w:rFonts w:ascii="Arial" w:cs="Arial" w:eastAsia="Arial" w:hAnsi="Arial"/>
          <w:b/>
          <w:bCs/>
          <w:color w:val="181614"/>
          <w:sz w:val="24"/>
          <w:szCs w:val="24"/>
        </w:rPr>
        <w:t xml:space="preserve">Potentiel de marché par segment</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20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POPULATION CIBLE</w:t>
            </w:r>
          </w:p>
        </w:tc>
        <w:tc>
          <w:tcPr>
            <w:tcW w:type="dxa" w:w="20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TAUX DE PÉNÉTRATION</w:t>
            </w:r>
          </w:p>
        </w:tc>
        <w:tc>
          <w:tcPr>
            <w:tcW w:type="dxa" w:w="20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MEMBRES POTENTIELS</w:t>
            </w:r>
          </w:p>
        </w:tc>
      </w:tr>
      <w:tr>
        <w:tc>
          <w:tcPr>
            <w:tcW w:type="dxa" w:w="32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Enfants 6–12 ans (cours combat)</w:t>
            </w:r>
          </w:p>
        </w:tc>
        <w:tc>
          <w:tcPr>
            <w:tcW w:type="dxa" w:w="20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~6 000 enfants zone cible</w:t>
            </w:r>
          </w:p>
        </w:tc>
        <w:tc>
          <w:tcPr>
            <w:tcW w:type="dxa" w:w="20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3–5 %</w:t>
            </w:r>
          </w:p>
        </w:tc>
        <w:tc>
          <w:tcPr>
            <w:tcW w:type="dxa" w:w="20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181614"/>
                <w:sz w:val="21"/>
                <w:szCs w:val="21"/>
              </w:rPr>
              <w:t xml:space="preserve">180 – 300</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Ados 13–17 ans (combat + social)</w:t>
            </w:r>
          </w:p>
        </w:tc>
        <w:tc>
          <w:tcPr>
            <w:tcW w:type="dxa" w:w="20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~5 500 ados zone cible</w:t>
            </w:r>
          </w:p>
        </w:tc>
        <w:tc>
          <w:tcPr>
            <w:tcW w:type="dxa" w:w="20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4–6 %</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181614"/>
                <w:sz w:val="21"/>
                <w:szCs w:val="21"/>
              </w:rPr>
              <w:t xml:space="preserve">220 – 330</w:t>
            </w:r>
          </w:p>
        </w:tc>
      </w:tr>
      <w:tr>
        <w:tc>
          <w:tcPr>
            <w:tcW w:type="dxa" w:w="3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Adultes 18–45 ans (cœur de cible)</w:t>
            </w:r>
          </w:p>
        </w:tc>
        <w:tc>
          <w:tcPr>
            <w:tcW w:type="dxa" w:w="20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~38 000 adultes actifs</w:t>
            </w:r>
          </w:p>
        </w:tc>
        <w:tc>
          <w:tcPr>
            <w:tcW w:type="dxa" w:w="20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0,8–1,2 %</w:t>
            </w:r>
          </w:p>
        </w:tc>
        <w:tc>
          <w:tcPr>
            <w:tcW w:type="dxa" w:w="20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181614"/>
                <w:sz w:val="21"/>
                <w:szCs w:val="21"/>
              </w:rPr>
              <w:t xml:space="preserve">305 – 456</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Adultes 45+ ans (yoga, loisir)</w:t>
            </w:r>
          </w:p>
        </w:tc>
        <w:tc>
          <w:tcPr>
            <w:tcW w:type="dxa" w:w="20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~22 000 personnes</w:t>
            </w:r>
          </w:p>
        </w:tc>
        <w:tc>
          <w:tcPr>
            <w:tcW w:type="dxa" w:w="20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0,5 %</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181614"/>
                <w:sz w:val="21"/>
                <w:szCs w:val="21"/>
              </w:rPr>
              <w:t xml:space="preserve">110 – 165</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Touristes &amp; saisonniers (été +40%)</w:t>
            </w:r>
          </w:p>
        </w:tc>
        <w:tc>
          <w:tcPr>
            <w:tcW w:type="dxa" w:w="20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~50 000 visiteurs/an</w:t>
            </w:r>
          </w:p>
        </w:tc>
        <w:tc>
          <w:tcPr>
            <w:tcW w:type="dxa" w:w="20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Variable</w:t>
            </w:r>
          </w:p>
        </w:tc>
        <w:tc>
          <w:tcPr>
            <w:tcW w:type="dxa" w:w="20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181614"/>
                <w:sz w:val="21"/>
                <w:szCs w:val="21"/>
              </w:rPr>
              <w:t xml:space="preserve">50–120 / saison</w:t>
            </w:r>
          </w:p>
        </w:tc>
      </w:tr>
      <w:tr>
        <w:tc>
          <w:tcPr>
            <w:tcW w:type="dxa" w:w="3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21"/>
                <w:szCs w:val="21"/>
              </w:rPr>
              <w:t xml:space="preserve">POTENTIEL TOTAL ADDRESSABLE</w:t>
            </w:r>
          </w:p>
        </w:tc>
        <w:tc>
          <w:tcPr>
            <w:tcW w:type="dxa" w:w="20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F0E4"/>
                <w:sz w:val="21"/>
                <w:szCs w:val="21"/>
              </w:rPr>
              <w:t xml:space="preserve">~120 000 hab.</w:t>
            </w:r>
          </w:p>
        </w:tc>
        <w:tc>
          <w:tcPr>
            <w:tcW w:type="dxa" w:w="20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color w:val="F5F0E4"/>
                <w:sz w:val="21"/>
                <w:szCs w:val="21"/>
              </w:rPr>
              <w:t xml:space="preserve">—</w:t>
            </w:r>
          </w:p>
        </w:tc>
        <w:tc>
          <w:tcPr>
            <w:tcW w:type="dxa" w:w="20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1"/>
                <w:szCs w:val="21"/>
              </w:rPr>
              <w:t xml:space="preserve">865 – 1 371</w:t>
            </w:r>
          </w:p>
        </w:tc>
      </w:tr>
    </w:tbl>
    <w:p>
      <w:pPr>
        <w:spacing w:after="80" w:before="160"/>
      </w:pPr>
    </w:p>
    <w:p>
      <w:pPr>
        <w:spacing w:after="80" w:before="80"/>
      </w:pPr>
      <w:r>
        <w:rPr>
          <w:rFonts w:ascii="Arial" w:cs="Arial" w:eastAsia="Arial" w:hAnsi="Arial"/>
          <w:color w:val="4a4540"/>
          <w:sz w:val="22"/>
          <w:szCs w:val="22"/>
        </w:rPr>
        <w:t xml:space="preserve">Note méthodologique : les taux de pénétration sont calculés sur la base des ratios moyens observés en France pour les structures de combat sport (source : FFKBDA, Observatoire du Sport, données INSEE 2023). Un taux de 1 % sur adultes actifs est considéré comme conservateur pour une structure premium avec différenciation forte.</w:t>
      </w:r>
    </w:p>
    <w:p>
      <w:pPr>
        <w:pStyle w:val="Heading2"/>
        <w:spacing w:after="160" w:before="300"/>
      </w:pPr>
      <w:r>
        <w:rPr>
          <w:rFonts w:ascii="Arial" w:cs="Arial" w:eastAsia="Arial" w:hAnsi="Arial"/>
          <w:b/>
          <w:bCs/>
          <w:color w:val="181614"/>
          <w:sz w:val="28"/>
          <w:szCs w:val="28"/>
        </w:rPr>
        <w:t xml:space="preserve">Le marché national du sport de combat</w:t>
      </w:r>
    </w:p>
    <w:p>
      <w:pPr>
        <w:pStyle w:val="ListParagraph"/>
        <w:numPr>
          <w:ilvl w:val="0"/>
          <w:numId w:val="2"/>
        </w:numPr>
        <w:spacing w:after="60" w:before="60"/>
      </w:pPr>
      <w:r>
        <w:rPr>
          <w:rFonts w:ascii="Arial" w:cs="Arial" w:eastAsia="Arial" w:hAnsi="Arial"/>
          <w:color w:val="4a4540"/>
          <w:sz w:val="22"/>
          <w:szCs w:val="22"/>
        </w:rPr>
        <w:t xml:space="preserve">3,5 millions de licenciés fédéraux en sports de combat en France (2023).</w:t>
      </w:r>
    </w:p>
    <w:p>
      <w:pPr>
        <w:pStyle w:val="ListParagraph"/>
        <w:numPr>
          <w:ilvl w:val="0"/>
          <w:numId w:val="2"/>
        </w:numPr>
        <w:spacing w:after="60" w:before="60"/>
      </w:pPr>
      <w:r>
        <w:rPr>
          <w:rFonts w:ascii="Arial" w:cs="Arial" w:eastAsia="Arial" w:hAnsi="Arial"/>
          <w:color w:val="4a4540"/>
          <w:sz w:val="22"/>
          <w:szCs w:val="22"/>
        </w:rPr>
        <w:t xml:space="preserve">Croissance de 12 % des licences MMA/grappling entre 2018 et 2023.</w:t>
      </w:r>
    </w:p>
    <w:p>
      <w:pPr>
        <w:pStyle w:val="ListParagraph"/>
        <w:numPr>
          <w:ilvl w:val="0"/>
          <w:numId w:val="2"/>
        </w:numPr>
        <w:spacing w:after="60" w:before="60"/>
      </w:pPr>
      <w:r>
        <w:rPr>
          <w:rFonts w:ascii="Arial" w:cs="Arial" w:eastAsia="Arial" w:hAnsi="Arial"/>
          <w:color w:val="4a4540"/>
          <w:sz w:val="22"/>
          <w:szCs w:val="22"/>
        </w:rPr>
        <w:t xml:space="preserve">Le segment « combat &amp; fitness » est le plus dynamique du marché sportif, porté par l'essor de l'UFC et des contenus digitaux.</w:t>
      </w:r>
    </w:p>
    <w:p>
      <w:pPr>
        <w:pStyle w:val="ListParagraph"/>
        <w:numPr>
          <w:ilvl w:val="0"/>
          <w:numId w:val="2"/>
        </w:numPr>
        <w:spacing w:after="60" w:before="60"/>
      </w:pPr>
      <w:r>
        <w:rPr>
          <w:rFonts w:ascii="Arial" w:cs="Arial" w:eastAsia="Arial" w:hAnsi="Arial"/>
          <w:color w:val="4a4540"/>
          <w:sz w:val="22"/>
          <w:szCs w:val="22"/>
        </w:rPr>
        <w:t xml:space="preserve">Les 18–35 ans constituent 62 % des licenciés arts martiaux — cœur de cible FightCoffee.</w:t>
      </w:r>
    </w:p>
    <w:p>
      <w:pPr>
        <w:pStyle w:val="ListParagraph"/>
        <w:numPr>
          <w:ilvl w:val="0"/>
          <w:numId w:val="2"/>
        </w:numPr>
        <w:spacing w:after="60" w:before="60"/>
      </w:pPr>
      <w:r>
        <w:rPr>
          <w:rFonts w:ascii="Arial" w:cs="Arial" w:eastAsia="Arial" w:hAnsi="Arial"/>
          <w:color w:val="4a4540"/>
          <w:sz w:val="22"/>
          <w:szCs w:val="22"/>
        </w:rPr>
        <w:t xml:space="preserve">Marché de la salle de sport française : 2,9 Mds€ en 2023, en croissance de 6 % / an.</w:t>
      </w:r>
    </w:p>
    <w:p>
      <w:pPr>
        <w:pStyle w:val="Heading2"/>
        <w:spacing w:after="160" w:before="300"/>
      </w:pPr>
      <w:r>
        <w:rPr>
          <w:rFonts w:ascii="Arial" w:cs="Arial" w:eastAsia="Arial" w:hAnsi="Arial"/>
          <w:b/>
          <w:bCs/>
          <w:color w:val="181614"/>
          <w:sz w:val="28"/>
          <w:szCs w:val="28"/>
        </w:rPr>
        <w:t xml:space="preserve">Tendances de fond</w:t>
      </w:r>
    </w:p>
    <w:p>
      <w:pPr>
        <w:spacing w:after="80" w:before="80"/>
      </w:pPr>
      <w:r>
        <w:rPr>
          <w:rFonts w:ascii="Arial" w:cs="Arial" w:eastAsia="Arial" w:hAnsi="Arial"/>
          <w:b/>
          <w:bCs/>
          <w:color w:val="181614"/>
          <w:sz w:val="22"/>
          <w:szCs w:val="22"/>
        </w:rPr>
        <w:t xml:space="preserve">Hybridation sport / lifestyle : </w:t>
      </w:r>
      <w:r>
        <w:rPr>
          <w:rFonts w:ascii="Arial" w:cs="Arial" w:eastAsia="Arial" w:hAnsi="Arial"/>
          <w:color w:val="4a4540"/>
          <w:sz w:val="22"/>
          <w:szCs w:val="22"/>
        </w:rPr>
        <w:t xml:space="preserve">Les consommateurs ne cherchent plus seulement un lieu d'entraînement — ils cherchent une expérience sociale, une identité, une appartenance. Le modèle CrossFit, puis le padel, ont validé ce principe.</w:t>
      </w:r>
    </w:p>
    <w:p>
      <w:pPr>
        <w:spacing w:after="80" w:before="80"/>
      </w:pPr>
      <w:r>
        <w:rPr>
          <w:rFonts w:ascii="Arial" w:cs="Arial" w:eastAsia="Arial" w:hAnsi="Arial"/>
          <w:b/>
          <w:bCs/>
          <w:color w:val="181614"/>
          <w:sz w:val="22"/>
          <w:szCs w:val="22"/>
        </w:rPr>
        <w:t xml:space="preserve">Recovery &amp; bien-être : </w:t>
      </w:r>
      <w:r>
        <w:rPr>
          <w:rFonts w:ascii="Arial" w:cs="Arial" w:eastAsia="Arial" w:hAnsi="Arial"/>
          <w:color w:val="4a4540"/>
          <w:sz w:val="22"/>
          <w:szCs w:val="22"/>
        </w:rPr>
        <w:t xml:space="preserve">Le marché du recovery (sauna, cold plunge, cryothérapie) croît de 15 % / an en Europe. Les pratiquants réguliers de combat en ont besoin — et sont prêts à payer.</w:t>
      </w:r>
    </w:p>
    <w:p>
      <w:pPr>
        <w:spacing w:after="80" w:before="80"/>
      </w:pPr>
      <w:r>
        <w:rPr>
          <w:rFonts w:ascii="Arial" w:cs="Arial" w:eastAsia="Arial" w:hAnsi="Arial"/>
          <w:b/>
          <w:bCs/>
          <w:color w:val="181614"/>
          <w:sz w:val="22"/>
          <w:szCs w:val="22"/>
        </w:rPr>
        <w:t xml:space="preserve">Coffee shop premium : </w:t>
      </w:r>
      <w:r>
        <w:rPr>
          <w:rFonts w:ascii="Arial" w:cs="Arial" w:eastAsia="Arial" w:hAnsi="Arial"/>
          <w:color w:val="4a4540"/>
          <w:sz w:val="22"/>
          <w:szCs w:val="22"/>
        </w:rPr>
        <w:t xml:space="preserve">Le marché du café de spécialité en France progresse de 10 % / an. Les 20–40 ans urbains sont les premiers consommateurs. L'intégration café / sport crée un modèle de destination rarement vu en zone côtière.</w:t>
      </w:r>
    </w:p>
    <w:p>
      <w:pPr>
        <w:spacing w:after="80" w:before="80"/>
      </w:pPr>
      <w:r>
        <w:rPr>
          <w:rFonts w:ascii="Arial" w:cs="Arial" w:eastAsia="Arial" w:hAnsi="Arial"/>
          <w:b/>
          <w:bCs/>
          <w:color w:val="181614"/>
          <w:sz w:val="22"/>
          <w:szCs w:val="22"/>
        </w:rPr>
        <w:t xml:space="preserve">Contenu &amp; réseaux sociaux : </w:t>
      </w:r>
      <w:r>
        <w:rPr>
          <w:rFonts w:ascii="Arial" w:cs="Arial" w:eastAsia="Arial" w:hAnsi="Arial"/>
          <w:color w:val="4a4540"/>
          <w:sz w:val="22"/>
          <w:szCs w:val="22"/>
        </w:rPr>
        <w:t xml:space="preserve">L'UFC et le MMA génèrent des audiences record sur YouTube et Instagram. Les jeunes pratiquants veulent s'identifier à un univers — la salle doit être instagrammable et produire du contenu.</w:t>
      </w:r>
    </w:p>
    <w:p>
      <w:r>
        <w:br w:type="page"/>
      </w:r>
    </w:p>
    <w:p>
      <w:pPr>
        <w:spacing w:after="60" w:before="100"/>
      </w:pPr>
      <w:r>
        <w:rPr>
          <w:rFonts w:ascii="Arial" w:cs="Arial" w:eastAsia="Arial" w:hAnsi="Arial"/>
          <w:b/>
          <w:bCs/>
          <w:color w:val="C8241A"/>
          <w:sz w:val="17"/>
          <w:szCs w:val="17"/>
        </w:rPr>
        <w:t xml:space="preserve">— 03 — CONCURRENCE</w:t>
      </w:r>
    </w:p>
    <w:p>
      <w:pPr>
        <w:pStyle w:val="Heading1"/>
        <w:spacing w:after="200" w:before="400"/>
      </w:pPr>
      <w:r>
        <w:rPr>
          <w:rFonts w:ascii="Arial" w:cs="Arial" w:eastAsia="Arial" w:hAnsi="Arial"/>
          <w:b/>
          <w:bCs/>
          <w:color w:val="181614"/>
          <w:sz w:val="36"/>
          <w:szCs w:val="36"/>
        </w:rPr>
        <w:t xml:space="preserve">ANALYSE CONCURRENTIELLE</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Concurrents directs — sports de combat</w:t>
      </w:r>
    </w:p>
    <w:p>
      <w:pPr>
        <w:spacing w:after="80" w:before="80"/>
      </w:pPr>
      <w:r>
        <w:rPr>
          <w:rFonts w:ascii="Arial" w:cs="Arial" w:eastAsia="Arial" w:hAnsi="Arial"/>
          <w:color w:val="4a4540"/>
          <w:sz w:val="22"/>
          <w:szCs w:val="22"/>
        </w:rPr>
        <w:t xml:space="preserve">La zone Saint-Malo / Dinard / Pleurtuit compte plusieurs structures de combat, toutes associatives et sans dimension lifestyle :</w:t>
      </w:r>
    </w:p>
    <w:p>
      <w:pPr>
        <w:pStyle w:val="ListParagraph"/>
        <w:numPr>
          <w:ilvl w:val="0"/>
          <w:numId w:val="2"/>
        </w:numPr>
        <w:spacing w:after="60" w:before="60"/>
      </w:pPr>
      <w:r>
        <w:rPr>
          <w:rFonts w:ascii="Arial" w:cs="Arial" w:eastAsia="Arial" w:hAnsi="Arial"/>
          <w:color w:val="4a4540"/>
          <w:sz w:val="22"/>
          <w:szCs w:val="22"/>
        </w:rPr>
        <w:t xml:space="preserve">Corsaire Muay Thaï (Pleurtuit) — concurrent #1, même commune, galas FFAMT réguliers. 100 % associatif, gymnase municipal, aucune identité de marque ni espace social.</w:t>
      </w:r>
    </w:p>
    <w:p>
      <w:pPr>
        <w:pStyle w:val="ListParagraph"/>
        <w:numPr>
          <w:ilvl w:val="0"/>
          <w:numId w:val="2"/>
        </w:numPr>
        <w:spacing w:after="60" w:before="60"/>
      </w:pPr>
      <w:r>
        <w:rPr>
          <w:rFonts w:ascii="Arial" w:cs="Arial" w:eastAsia="Arial" w:hAnsi="Arial"/>
          <w:color w:val="4a4540"/>
          <w:sz w:val="22"/>
          <w:szCs w:val="22"/>
        </w:rPr>
        <w:t xml:space="preserve">Boxe Américaine de Dinard — disciplines pieds/poings, fonctionnement asso classique, créneaux mar/mer/jeu.</w:t>
      </w:r>
    </w:p>
    <w:p>
      <w:pPr>
        <w:pStyle w:val="ListParagraph"/>
        <w:numPr>
          <w:ilvl w:val="0"/>
          <w:numId w:val="2"/>
        </w:numPr>
        <w:spacing w:after="60" w:before="60"/>
      </w:pPr>
      <w:r>
        <w:rPr>
          <w:rFonts w:ascii="Arial" w:cs="Arial" w:eastAsia="Arial" w:hAnsi="Arial"/>
          <w:color w:val="4a4540"/>
          <w:sz w:val="22"/>
          <w:szCs w:val="22"/>
        </w:rPr>
        <w:t xml:space="preserve">ASPP (Dinard) — section 100 % féminine dédiée, positionnement niche.</w:t>
      </w:r>
    </w:p>
    <w:p>
      <w:pPr>
        <w:pStyle w:val="ListParagraph"/>
        <w:numPr>
          <w:ilvl w:val="0"/>
          <w:numId w:val="2"/>
        </w:numPr>
        <w:spacing w:after="60" w:before="60"/>
      </w:pPr>
      <w:r>
        <w:rPr>
          <w:rFonts w:ascii="Arial" w:cs="Arial" w:eastAsia="Arial" w:hAnsi="Arial"/>
          <w:color w:val="4a4540"/>
          <w:sz w:val="22"/>
          <w:szCs w:val="22"/>
        </w:rPr>
        <w:t xml:space="preserve">Boxing Club Malouin (Saint-Malo) — boxe et MMA, gymnase municipal.</w:t>
      </w:r>
    </w:p>
    <w:p>
      <w:pPr>
        <w:pStyle w:val="ListParagraph"/>
        <w:numPr>
          <w:ilvl w:val="0"/>
          <w:numId w:val="2"/>
        </w:numPr>
        <w:spacing w:after="60" w:before="60"/>
      </w:pPr>
      <w:r>
        <w:rPr>
          <w:rFonts w:ascii="Arial" w:cs="Arial" w:eastAsia="Arial" w:hAnsi="Arial"/>
          <w:color w:val="4a4540"/>
          <w:sz w:val="22"/>
          <w:szCs w:val="22"/>
        </w:rPr>
        <w:t xml:space="preserve">SMBJJ (Saint-Malo) — BJJ référence locale, fondé 2010, sans lifestyle.</w:t>
      </w:r>
    </w:p>
    <w:p>
      <w:pPr>
        <w:pStyle w:val="ListParagraph"/>
        <w:numPr>
          <w:ilvl w:val="0"/>
          <w:numId w:val="2"/>
        </w:numPr>
        <w:spacing w:after="60" w:before="60"/>
      </w:pPr>
      <w:r>
        <w:rPr>
          <w:rFonts w:ascii="Arial" w:cs="Arial" w:eastAsia="Arial" w:hAnsi="Arial"/>
          <w:color w:val="4a4540"/>
          <w:sz w:val="22"/>
          <w:szCs w:val="22"/>
        </w:rPr>
        <w:t xml:space="preserve">SLAMM Arts Martiaux Mixtes (Saint-Lunaire) — MMA complet, créé 2023, asso.</w:t>
      </w:r>
    </w:p>
    <w:p>
      <w:pPr>
        <w:pStyle w:val="ListParagraph"/>
        <w:numPr>
          <w:ilvl w:val="0"/>
          <w:numId w:val="2"/>
        </w:numPr>
        <w:spacing w:after="60" w:before="60"/>
      </w:pPr>
      <w:r>
        <w:rPr>
          <w:rFonts w:ascii="Arial" w:cs="Arial" w:eastAsia="Arial" w:hAnsi="Arial"/>
          <w:color w:val="4a4540"/>
          <w:sz w:val="22"/>
          <w:szCs w:val="22"/>
        </w:rPr>
        <w:t xml:space="preserve">Dojo de Pleurtuit — Aikido, Judo, Karaté. Gymnase municipal 140 m².</w:t>
      </w:r>
    </w:p>
    <w:p>
      <w:pPr>
        <w:pStyle w:val="Heading2"/>
        <w:spacing w:after="160" w:before="300"/>
      </w:pPr>
      <w:r>
        <w:rPr>
          <w:rFonts w:ascii="Arial" w:cs="Arial" w:eastAsia="Arial" w:hAnsi="Arial"/>
          <w:b/>
          <w:bCs/>
          <w:color w:val="181614"/>
          <w:sz w:val="28"/>
          <w:szCs w:val="28"/>
        </w:rPr>
        <w:t xml:space="preserve">Concurrents indirects — fitness</w:t>
      </w:r>
    </w:p>
    <w:p>
      <w:pPr>
        <w:pStyle w:val="ListParagraph"/>
        <w:numPr>
          <w:ilvl w:val="0"/>
          <w:numId w:val="2"/>
        </w:numPr>
        <w:spacing w:after="60" w:before="60"/>
      </w:pPr>
      <w:r>
        <w:rPr>
          <w:rFonts w:ascii="Arial" w:cs="Arial" w:eastAsia="Arial" w:hAnsi="Arial"/>
          <w:color w:val="4a4540"/>
          <w:sz w:val="22"/>
          <w:szCs w:val="22"/>
        </w:rPr>
        <w:t xml:space="preserve">CrossFit Dinard (La Richardais, 315 m², 2024) — communauté forte, approche lifestyle partielle.</w:t>
      </w:r>
    </w:p>
    <w:p>
      <w:pPr>
        <w:pStyle w:val="ListParagraph"/>
        <w:numPr>
          <w:ilvl w:val="0"/>
          <w:numId w:val="2"/>
        </w:numPr>
        <w:spacing w:after="60" w:before="60"/>
      </w:pPr>
      <w:r>
        <w:rPr>
          <w:rFonts w:ascii="Arial" w:cs="Arial" w:eastAsia="Arial" w:hAnsi="Arial"/>
          <w:color w:val="4a4540"/>
          <w:sz w:val="22"/>
          <w:szCs w:val="22"/>
        </w:rPr>
        <w:t xml:space="preserve">HandStand CrossFit (Saint-Malo / Dinard) — coaching premium, Hyrox.</w:t>
      </w:r>
    </w:p>
    <w:p>
      <w:pPr>
        <w:pStyle w:val="ListParagraph"/>
        <w:numPr>
          <w:ilvl w:val="0"/>
          <w:numId w:val="2"/>
        </w:numPr>
        <w:spacing w:after="60" w:before="60"/>
      </w:pPr>
      <w:r>
        <w:rPr>
          <w:rFonts w:ascii="Arial" w:cs="Arial" w:eastAsia="Arial" w:hAnsi="Arial"/>
          <w:color w:val="4a4540"/>
          <w:sz w:val="22"/>
          <w:szCs w:val="22"/>
        </w:rPr>
        <w:t xml:space="preserve">Émeraude CrossFit (Dinard) — tous publics.</w:t>
      </w:r>
    </w:p>
    <w:p>
      <w:pPr>
        <w:pStyle w:val="ListParagraph"/>
        <w:numPr>
          <w:ilvl w:val="0"/>
          <w:numId w:val="2"/>
        </w:numPr>
        <w:spacing w:after="60" w:before="60"/>
      </w:pPr>
      <w:r>
        <w:rPr>
          <w:rFonts w:ascii="Arial" w:cs="Arial" w:eastAsia="Arial" w:hAnsi="Arial"/>
          <w:color w:val="4a4540"/>
          <w:sz w:val="22"/>
          <w:szCs w:val="22"/>
        </w:rPr>
        <w:t xml:space="preserve">Gigafit (Saint-Malo / Dinard) — chaîne low cost, volume, sans âme.</w:t>
      </w:r>
    </w:p>
    <w:p>
      <w:pPr>
        <w:pStyle w:val="Heading2"/>
        <w:spacing w:after="160" w:before="300"/>
      </w:pPr>
      <w:r>
        <w:rPr>
          <w:rFonts w:ascii="Arial" w:cs="Arial" w:eastAsia="Arial" w:hAnsi="Arial"/>
          <w:b/>
          <w:bCs/>
          <w:color w:val="181614"/>
          <w:sz w:val="28"/>
          <w:szCs w:val="28"/>
        </w:rPr>
        <w:t xml:space="preserve">Conclusion concurrentielle</w:t>
      </w:r>
    </w:p>
    <w:p>
      <w:pPr>
        <w:spacing w:after="80" w:before="80"/>
      </w:pPr>
      <w:r>
        <w:rPr>
          <w:rFonts w:ascii="Arial" w:cs="Arial" w:eastAsia="Arial" w:hAnsi="Arial"/>
          <w:color w:val="4a4540"/>
          <w:sz w:val="22"/>
          <w:szCs w:val="22"/>
        </w:rPr>
        <w:t xml:space="preserve">Aucun acteur ne combine sport de combat, coffee shop, recovery et événementiel sur la zone. Les clubs existants opèrent tous dans des gymnases municipaux, sans lieu propre, sans marque, sans expérience. Les salles CrossFit adressent la même communauté sans proposer le combat.</w:t>
      </w:r>
    </w:p>
    <w:p>
      <w:pPr>
        <w:spacing w:after="80" w:before="80"/>
      </w:pPr>
      <w:r>
        <w:rPr>
          <w:rFonts w:ascii="Arial" w:cs="Arial" w:eastAsia="Arial" w:hAnsi="Arial"/>
          <w:color w:val="4a4540"/>
          <w:sz w:val="22"/>
          <w:szCs w:val="22"/>
        </w:rPr>
        <w:t xml:space="preserve">FightCoffee ne vient pas concurrencer ces structures — il crée une catégorie au-dessus. Son positionnement premium, son espace physique propriétaire et son modèle multi-revenus ne trouvent aucun équivalent local.</w:t>
      </w:r>
    </w:p>
    <w:p>
      <w:r>
        <w:br w:type="page"/>
      </w:r>
    </w:p>
    <w:p>
      <w:pPr>
        <w:spacing w:after="60" w:before="100"/>
      </w:pPr>
      <w:r>
        <w:rPr>
          <w:rFonts w:ascii="Arial" w:cs="Arial" w:eastAsia="Arial" w:hAnsi="Arial"/>
          <w:b/>
          <w:bCs/>
          <w:color w:val="C8241A"/>
          <w:sz w:val="17"/>
          <w:szCs w:val="17"/>
        </w:rPr>
        <w:t xml:space="preserve">— 04 — STRATÉGIE COMMERCIALE</w:t>
      </w:r>
    </w:p>
    <w:p>
      <w:pPr>
        <w:pStyle w:val="Heading1"/>
        <w:spacing w:after="200" w:before="400"/>
      </w:pPr>
      <w:r>
        <w:rPr>
          <w:rFonts w:ascii="Arial" w:cs="Arial" w:eastAsia="Arial" w:hAnsi="Arial"/>
          <w:b/>
          <w:bCs/>
          <w:color w:val="181614"/>
          <w:sz w:val="36"/>
          <w:szCs w:val="36"/>
        </w:rPr>
        <w:t xml:space="preserve">OFFRE &amp; STRATÉGIE</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Grille tarifaire indicative</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FORMULE</w:t>
            </w:r>
          </w:p>
        </w:tc>
        <w:tc>
          <w:tcPr>
            <w:tcW w:type="dxa" w:w="27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TARIF / MOIS</w:t>
            </w:r>
          </w:p>
        </w:tc>
        <w:tc>
          <w:tcPr>
            <w:tcW w:type="dxa" w:w="27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CONTENU</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Enfants (6–12 ans)</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55 – 75 €</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2 cours/sem · stages vacances</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Ados (13–17 ans)</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70 – 90 €</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3 cours/sem · sparring encadré</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Adulte Essentiel</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89 €</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1 discipline · cours collectifs illimités</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Adulte Combat+</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129 €</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Toutes disciplines · accès libre tatami</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Adulte Premium</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179 €</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Tout inclus + recovery (sauna, ice bath)</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Coaching privé (1h)</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60 – 90 €</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Par séance · tarifs dégressifs pack</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Semi-collectif (4–8 pers.)</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35 – 50 €/pers.</w:t>
            </w:r>
          </w:p>
        </w:tc>
        <w:tc>
          <w:tcPr>
            <w:tcW w:type="dxa" w:w="27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Par séance thématique</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Session recovery seule</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15 – 25 €</w:t>
            </w:r>
          </w:p>
        </w:tc>
        <w:tc>
          <w:tcPr>
            <w:tcW w:type="dxa" w:w="27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À l'unité · sauna + cold plunge</w:t>
            </w:r>
          </w:p>
        </w:tc>
      </w:tr>
    </w:tbl>
    <w:p>
      <w:pPr>
        <w:spacing w:after="80" w:before="160"/>
      </w:pPr>
    </w:p>
    <w:p>
      <w:pPr>
        <w:pStyle w:val="Heading2"/>
        <w:spacing w:after="160" w:before="300"/>
      </w:pPr>
      <w:r>
        <w:rPr>
          <w:rFonts w:ascii="Arial" w:cs="Arial" w:eastAsia="Arial" w:hAnsi="Arial"/>
          <w:b/>
          <w:bCs/>
          <w:color w:val="181614"/>
          <w:sz w:val="28"/>
          <w:szCs w:val="28"/>
        </w:rPr>
        <w:t xml:space="preserve">Stratégie d'acquisition membres</w:t>
      </w:r>
    </w:p>
    <w:p>
      <w:pPr>
        <w:spacing w:after="80" w:before="80"/>
      </w:pPr>
      <w:r>
        <w:rPr>
          <w:rFonts w:ascii="Arial" w:cs="Arial" w:eastAsia="Arial" w:hAnsi="Arial"/>
          <w:b/>
          <w:bCs/>
          <w:color w:val="181614"/>
          <w:sz w:val="22"/>
          <w:szCs w:val="22"/>
        </w:rPr>
        <w:t xml:space="preserve">Pré-lancement : </w:t>
      </w:r>
      <w:r>
        <w:rPr>
          <w:rFonts w:ascii="Arial" w:cs="Arial" w:eastAsia="Arial" w:hAnsi="Arial"/>
          <w:color w:val="4a4540"/>
          <w:sz w:val="22"/>
          <w:szCs w:val="22"/>
        </w:rPr>
        <w:t xml:space="preserve">Campagne de pré-inscription 3 mois avant ouverture. Objectif : 80 à 120 membres fondateurs avec tarif préférentiel (-15 %). Crée un effet de communauté immédiat à J+1.</w:t>
      </w:r>
    </w:p>
    <w:p>
      <w:pPr>
        <w:spacing w:after="80" w:before="80"/>
      </w:pPr>
      <w:r>
        <w:rPr>
          <w:rFonts w:ascii="Arial" w:cs="Arial" w:eastAsia="Arial" w:hAnsi="Arial"/>
          <w:b/>
          <w:bCs/>
          <w:color w:val="181614"/>
          <w:sz w:val="22"/>
          <w:szCs w:val="22"/>
        </w:rPr>
        <w:t xml:space="preserve">Marketing local : </w:t>
      </w:r>
      <w:r>
        <w:rPr>
          <w:rFonts w:ascii="Arial" w:cs="Arial" w:eastAsia="Arial" w:hAnsi="Arial"/>
          <w:color w:val="4a4540"/>
          <w:sz w:val="22"/>
          <w:szCs w:val="22"/>
        </w:rPr>
        <w:t xml:space="preserve">Réseaux sociaux (Instagram, TikTok), flyers dans les clubs CrossFit et gymnases environnants, partenariats avec les écoles primaires et collèges pour le segment kids.</w:t>
      </w:r>
    </w:p>
    <w:p>
      <w:pPr>
        <w:spacing w:after="80" w:before="80"/>
      </w:pPr>
      <w:r>
        <w:rPr>
          <w:rFonts w:ascii="Arial" w:cs="Arial" w:eastAsia="Arial" w:hAnsi="Arial"/>
          <w:b/>
          <w:bCs/>
          <w:color w:val="181614"/>
          <w:sz w:val="22"/>
          <w:szCs w:val="22"/>
        </w:rPr>
        <w:t xml:space="preserve">Bouche-à-oreille : </w:t>
      </w:r>
      <w:r>
        <w:rPr>
          <w:rFonts w:ascii="Arial" w:cs="Arial" w:eastAsia="Arial" w:hAnsi="Arial"/>
          <w:color w:val="4a4540"/>
          <w:sz w:val="22"/>
          <w:szCs w:val="22"/>
        </w:rPr>
        <w:t xml:space="preserve">Le meilleur levier dans ce secteur. Les cours de qualité + l'ambiance = recommandations naturelles. Encourager via parrainage (1 mois offert pour tout membre parrainé).</w:t>
      </w:r>
    </w:p>
    <w:p>
      <w:pPr>
        <w:spacing w:after="80" w:before="80"/>
      </w:pPr>
      <w:r>
        <w:rPr>
          <w:rFonts w:ascii="Arial" w:cs="Arial" w:eastAsia="Arial" w:hAnsi="Arial"/>
          <w:b/>
          <w:bCs/>
          <w:color w:val="181614"/>
          <w:sz w:val="22"/>
          <w:szCs w:val="22"/>
        </w:rPr>
        <w:t xml:space="preserve">B2B &amp; groupes : </w:t>
      </w:r>
      <w:r>
        <w:rPr>
          <w:rFonts w:ascii="Arial" w:cs="Arial" w:eastAsia="Arial" w:hAnsi="Arial"/>
          <w:color w:val="4a4540"/>
          <w:sz w:val="22"/>
          <w:szCs w:val="22"/>
        </w:rPr>
        <w:t xml:space="preserve">Démarche active auprès des comités d'entreprise locaux, agences d'événementiel, centres de loisirs. Créneaux exclusifs weekends et soirées.</w:t>
      </w:r>
    </w:p>
    <w:p>
      <w:r>
        <w:br w:type="page"/>
      </w:r>
    </w:p>
    <w:p>
      <w:pPr>
        <w:spacing w:after="60" w:before="100"/>
      </w:pPr>
      <w:r>
        <w:rPr>
          <w:rFonts w:ascii="Arial" w:cs="Arial" w:eastAsia="Arial" w:hAnsi="Arial"/>
          <w:b/>
          <w:bCs/>
          <w:color w:val="C8241A"/>
          <w:sz w:val="17"/>
          <w:szCs w:val="17"/>
        </w:rPr>
        <w:t xml:space="preserve">— 05 — INVESTISSEMENT</w:t>
      </w:r>
    </w:p>
    <w:p>
      <w:pPr>
        <w:pStyle w:val="Heading1"/>
        <w:spacing w:after="200" w:before="400"/>
      </w:pPr>
      <w:r>
        <w:rPr>
          <w:rFonts w:ascii="Arial" w:cs="Arial" w:eastAsia="Arial" w:hAnsi="Arial"/>
          <w:b/>
          <w:bCs/>
          <w:color w:val="181614"/>
          <w:sz w:val="36"/>
          <w:szCs w:val="36"/>
        </w:rPr>
        <w:t xml:space="preserve">BUDGET D'INVESTISSEMENT INITIAL</w:t>
      </w:r>
    </w:p>
    <w:p>
      <w:pPr>
        <w:pBdr>
          <w:bottom w:val="single" w:color="C8241A" w:sz="4"/>
        </w:pBdr>
        <w:spacing w:after="200" w:before="200"/>
      </w:pPr>
    </w:p>
    <w:p>
      <w:pPr>
        <w:spacing w:after="80" w:before="80"/>
      </w:pPr>
      <w:r>
        <w:rPr>
          <w:rFonts w:ascii="Arial" w:cs="Arial" w:eastAsia="Arial" w:hAnsi="Arial"/>
          <w:color w:val="4a4540"/>
          <w:sz w:val="22"/>
          <w:szCs w:val="22"/>
        </w:rPr>
        <w:t xml:space="preserve">L'investissement initial couvre l'aménagement du local, les équipements sportifs et lifestyle, le fonds de roulement des premiers mois et les coûts de lancement. La fourchette retenue est de 150 000 à 300 000 €, selon le niveau de finition choisi et l'état du local trouvé.</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POSTE</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DU BUDGET</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FOURCHETTE (200k€ base)</w:t>
            </w:r>
          </w:p>
        </w:tc>
      </w:tr>
      <w:tr>
        <w:tc>
          <w:tcPr>
            <w:tcW w:type="dxa" w:w="4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2"/>
                <w:szCs w:val="22"/>
              </w:rPr>
              <w:t xml:space="preserve">Aménagement &amp; travaux</w:t>
            </w:r>
          </w:p>
        </w:tc>
        <w:tc>
          <w:tcPr>
            <w:tcW w:type="dxa" w:w="25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30 %</w:t>
            </w:r>
          </w:p>
        </w:tc>
        <w:tc>
          <w:tcPr>
            <w:tcW w:type="dxa" w:w="25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181614"/>
                <w:sz w:val="22"/>
                <w:szCs w:val="22"/>
              </w:rPr>
              <w:t xml:space="preserve">55 000 – 75 000 €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2"/>
                <w:szCs w:val="22"/>
              </w:rPr>
              <w:t xml:space="preserve">Équipements combat (sacs, ring, tatamis, cages)</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25 %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2"/>
                <w:szCs w:val="22"/>
              </w:rPr>
              <w:t xml:space="preserve">45 000 – 60 000 €</w:t>
            </w:r>
          </w:p>
        </w:tc>
      </w:tr>
      <w:tr>
        <w:tc>
          <w:tcPr>
            <w:tcW w:type="dxa" w:w="42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2"/>
                <w:szCs w:val="22"/>
              </w:rPr>
              <w:t xml:space="preserve">Mobilier &amp; équipement coffee shop</w:t>
            </w:r>
          </w:p>
        </w:tc>
        <w:tc>
          <w:tcPr>
            <w:tcW w:type="dxa" w:w="25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10 %</w:t>
            </w:r>
          </w:p>
        </w:tc>
        <w:tc>
          <w:tcPr>
            <w:tcW w:type="dxa" w:w="25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181614"/>
                <w:sz w:val="22"/>
                <w:szCs w:val="22"/>
              </w:rPr>
              <w:t xml:space="preserve">18 000 – 25 000 €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2"/>
                <w:szCs w:val="22"/>
              </w:rPr>
              <w:t xml:space="preserve">Systèmes (POS, logiciel salle, sécurité)</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5 %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2"/>
                <w:szCs w:val="22"/>
              </w:rPr>
              <w:t xml:space="preserve">8 000 – 12 000 €</w:t>
            </w:r>
          </w:p>
        </w:tc>
      </w:tr>
      <w:tr>
        <w:tc>
          <w:tcPr>
            <w:tcW w:type="dxa" w:w="42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2"/>
                <w:szCs w:val="22"/>
              </w:rPr>
              <w:t xml:space="preserve">Fonds de roulement (3 mois de charges)</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20 %</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181614"/>
                <w:sz w:val="22"/>
                <w:szCs w:val="22"/>
              </w:rPr>
              <w:t xml:space="preserve">36 000 – 55 000 €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2"/>
                <w:szCs w:val="22"/>
              </w:rPr>
              <w:t xml:space="preserve">Marketing &amp; pré-lancement</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7 %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2"/>
                <w:szCs w:val="22"/>
              </w:rPr>
              <w:t xml:space="preserve">12 000 – 18 000 €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2"/>
                <w:szCs w:val="22"/>
              </w:rPr>
              <w:t xml:space="preserve">Frais juridiques, comptabilité, divers</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2"/>
                <w:szCs w:val="22"/>
              </w:rPr>
              <w:t xml:space="preserve">3 %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2"/>
                <w:szCs w:val="22"/>
              </w:rPr>
              <w:t xml:space="preserve">5 000 – 8 000 €</w:t>
            </w:r>
          </w:p>
        </w:tc>
      </w:tr>
      <w:tr>
        <w:tc>
          <w:tcPr>
            <w:tcW w:type="dxa" w:w="4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F0E4"/>
                <w:sz w:val="22"/>
                <w:szCs w:val="22"/>
              </w:rPr>
              <w:t xml:space="preserve">100 %</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F0E4"/>
                <w:sz w:val="22"/>
                <w:szCs w:val="22"/>
              </w:rPr>
              <w:t xml:space="preserve">179 000 – 253 000 €</w:t>
            </w:r>
          </w:p>
        </w:tc>
      </w:tr>
    </w:tbl>
    <w:p>
      <w:pPr>
        <w:spacing w:after="80" w:before="160"/>
      </w:pPr>
    </w:p>
    <w:p>
      <w:pPr>
        <w:pStyle w:val="Heading2"/>
        <w:spacing w:after="160" w:before="300"/>
      </w:pPr>
      <w:r>
        <w:rPr>
          <w:rFonts w:ascii="Arial" w:cs="Arial" w:eastAsia="Arial" w:hAnsi="Arial"/>
          <w:b/>
          <w:bCs/>
          <w:color w:val="181614"/>
          <w:sz w:val="28"/>
          <w:szCs w:val="28"/>
        </w:rPr>
        <w:t xml:space="preserve">Hypothèses de financement</w:t>
      </w:r>
    </w:p>
    <w:p>
      <w:pPr>
        <w:spacing w:after="80" w:before="80"/>
      </w:pPr>
      <w:r>
        <w:rPr>
          <w:rFonts w:ascii="Arial" w:cs="Arial" w:eastAsia="Arial" w:hAnsi="Arial"/>
          <w:b/>
          <w:bCs/>
          <w:color w:val="181614"/>
          <w:sz w:val="22"/>
          <w:szCs w:val="22"/>
        </w:rPr>
        <w:t xml:space="preserve">Apport en fonds propres : </w:t>
      </w:r>
      <w:r>
        <w:rPr>
          <w:rFonts w:ascii="Arial" w:cs="Arial" w:eastAsia="Arial" w:hAnsi="Arial"/>
          <w:color w:val="4a4540"/>
          <w:sz w:val="22"/>
          <w:szCs w:val="22"/>
        </w:rPr>
        <w:t xml:space="preserve">30 à 40 % minimum recommandé pour confort de trésorerie et crédibilité bancaire.</w:t>
      </w:r>
    </w:p>
    <w:p>
      <w:pPr>
        <w:spacing w:after="80" w:before="80"/>
      </w:pPr>
      <w:r>
        <w:rPr>
          <w:rFonts w:ascii="Arial" w:cs="Arial" w:eastAsia="Arial" w:hAnsi="Arial"/>
          <w:b/>
          <w:bCs/>
          <w:color w:val="181614"/>
          <w:sz w:val="22"/>
          <w:szCs w:val="22"/>
        </w:rPr>
        <w:t xml:space="preserve">Emprunt bancaire : </w:t>
      </w:r>
      <w:r>
        <w:rPr>
          <w:rFonts w:ascii="Arial" w:cs="Arial" w:eastAsia="Arial" w:hAnsi="Arial"/>
          <w:color w:val="4a4540"/>
          <w:sz w:val="22"/>
          <w:szCs w:val="22"/>
        </w:rPr>
        <w:t xml:space="preserve">Prêt professionnel sur 5 à 7 ans. Taux actuel 4,5–6 % selon garanties. Mensualité estimée : 2 500 à 4 500 €/mois selon montant.</w:t>
      </w:r>
    </w:p>
    <w:p>
      <w:pPr>
        <w:spacing w:after="80" w:before="80"/>
      </w:pPr>
      <w:r>
        <w:rPr>
          <w:rFonts w:ascii="Arial" w:cs="Arial" w:eastAsia="Arial" w:hAnsi="Arial"/>
          <w:b/>
          <w:bCs/>
          <w:color w:val="181614"/>
          <w:sz w:val="22"/>
          <w:szCs w:val="22"/>
        </w:rPr>
        <w:t xml:space="preserve">Dispositifs d'aide : </w:t>
      </w:r>
      <w:r>
        <w:rPr>
          <w:rFonts w:ascii="Arial" w:cs="Arial" w:eastAsia="Arial" w:hAnsi="Arial"/>
          <w:color w:val="4a4540"/>
          <w:sz w:val="22"/>
          <w:szCs w:val="22"/>
        </w:rPr>
        <w:t xml:space="preserve">ACRE (exonération charges 1ère année), prêt d'honneur Réseau Entreprendre ou Initiative France, aides Région Bretagne à l'innovation et au tourisme sportif, appels à projets Communauté de Communes.</w:t>
      </w:r>
    </w:p>
    <w:p>
      <w:pPr>
        <w:spacing w:after="80" w:before="80"/>
      </w:pPr>
      <w:r>
        <w:rPr>
          <w:rFonts w:ascii="Arial" w:cs="Arial" w:eastAsia="Arial" w:hAnsi="Arial"/>
          <w:b/>
          <w:bCs/>
          <w:color w:val="181614"/>
          <w:sz w:val="22"/>
          <w:szCs w:val="22"/>
        </w:rPr>
        <w:t xml:space="preserve">Investisseurs privés : </w:t>
      </w:r>
      <w:r>
        <w:rPr>
          <w:rFonts w:ascii="Arial" w:cs="Arial" w:eastAsia="Arial" w:hAnsi="Arial"/>
          <w:color w:val="4a4540"/>
          <w:sz w:val="22"/>
          <w:szCs w:val="22"/>
        </w:rPr>
        <w:t xml:space="preserve">Business angels, love money, ou actionnariat partiel. À structurer en SAS avec pacte d'associés si ouverture du capital.</w:t>
      </w:r>
    </w:p>
    <w:p>
      <w:r>
        <w:br w:type="page"/>
      </w:r>
    </w:p>
    <w:p>
      <w:pPr>
        <w:spacing w:after="60" w:before="100"/>
      </w:pPr>
      <w:r>
        <w:rPr>
          <w:rFonts w:ascii="Arial" w:cs="Arial" w:eastAsia="Arial" w:hAnsi="Arial"/>
          <w:b/>
          <w:bCs/>
          <w:color w:val="C8241A"/>
          <w:sz w:val="17"/>
          <w:szCs w:val="17"/>
        </w:rPr>
        <w:t xml:space="preserve">— 06 — CHARGES</w:t>
      </w:r>
    </w:p>
    <w:p>
      <w:pPr>
        <w:pStyle w:val="Heading1"/>
        <w:spacing w:after="200" w:before="400"/>
      </w:pPr>
      <w:r>
        <w:rPr>
          <w:rFonts w:ascii="Arial" w:cs="Arial" w:eastAsia="Arial" w:hAnsi="Arial"/>
          <w:b/>
          <w:bCs/>
          <w:color w:val="181614"/>
          <w:sz w:val="36"/>
          <w:szCs w:val="36"/>
        </w:rPr>
        <w:t xml:space="preserve">STRUCTURE DES CHARGES FIXES</w:t>
      </w:r>
    </w:p>
    <w:p>
      <w:pPr>
        <w:pBdr>
          <w:bottom w:val="single" w:color="C8241A" w:sz="4"/>
        </w:pBdr>
        <w:spacing w:after="200" w:before="200"/>
      </w:pPr>
    </w:p>
    <w:p>
      <w:pPr>
        <w:spacing w:after="80" w:before="80"/>
      </w:pPr>
      <w:r>
        <w:rPr>
          <w:rFonts w:ascii="Arial" w:cs="Arial" w:eastAsia="Arial" w:hAnsi="Arial"/>
          <w:color w:val="4a4540"/>
          <w:sz w:val="22"/>
          <w:szCs w:val="22"/>
        </w:rPr>
        <w:t xml:space="preserve">Les charges fixes mensuelles sont estimées entre 17 300 € et 24 700 € selon le loyer et la masse salariale. Le seuil de rentabilité opérationnel se situe entre 18 000 € et 25 000 € de chiffre d'affaires mensuel — atteignable dès 120 à 150 membres actifs.</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POSTE DE CHARGE</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MENSUEL</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ANNUEL</w:t>
            </w:r>
          </w:p>
        </w:tc>
      </w:tr>
      <w:tr>
        <w:tc>
          <w:tcPr>
            <w:tcW w:type="dxa" w:w="4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Loyer + charges (15–20 €/m² · 350 m²)</w:t>
            </w:r>
          </w:p>
        </w:tc>
        <w:tc>
          <w:tcPr>
            <w:tcW w:type="dxa" w:w="25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181614"/>
                <w:sz w:val="21"/>
                <w:szCs w:val="21"/>
              </w:rPr>
              <w:t xml:space="preserve">5 250 – 7 000 €</w:t>
            </w:r>
          </w:p>
        </w:tc>
        <w:tc>
          <w:tcPr>
            <w:tcW w:type="dxa" w:w="25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63 000 – 84 000 €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Masse salariale brute (2 coachs + 1 barista + gérant)</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1"/>
                <w:szCs w:val="21"/>
              </w:rPr>
              <w:t xml:space="preserve">8 000 – 11 000 €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96 000 – 132 000 €</w:t>
            </w:r>
          </w:p>
        </w:tc>
      </w:tr>
      <w:tr>
        <w:tc>
          <w:tcPr>
            <w:tcW w:type="dxa" w:w="42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Approvisionnement coffee &amp; snacking</w:t>
            </w:r>
          </w:p>
        </w:tc>
        <w:tc>
          <w:tcPr>
            <w:tcW w:type="dxa" w:w="25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181614"/>
                <w:sz w:val="21"/>
                <w:szCs w:val="21"/>
              </w:rPr>
              <w:t xml:space="preserve">1 500 – 2 500 €</w:t>
            </w:r>
          </w:p>
        </w:tc>
        <w:tc>
          <w:tcPr>
            <w:tcW w:type="dxa" w:w="25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18 000 – 30 000 €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Assurances (RC Pro, multirisque, sportive)</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1"/>
                <w:szCs w:val="21"/>
              </w:rPr>
              <w:t xml:space="preserve">400 – 600 €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4 800 – 7 200 €</w:t>
            </w:r>
          </w:p>
        </w:tc>
      </w:tr>
      <w:tr>
        <w:tc>
          <w:tcPr>
            <w:tcW w:type="dxa" w:w="42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Logiciels (POS, gestion salle, compta)</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181614"/>
                <w:sz w:val="21"/>
                <w:szCs w:val="21"/>
              </w:rPr>
              <w:t xml:space="preserve">250 – 400 €</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3 000 – 4 800 €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Marketing &amp; communication courante</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1"/>
                <w:szCs w:val="21"/>
              </w:rPr>
              <w:t xml:space="preserve">500 – 1 000 €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6 000 – 12 000 €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Entretien, petits équipements, consommables</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1"/>
                <w:szCs w:val="21"/>
              </w:rPr>
              <w:t xml:space="preserve">500 – 800 €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6 000 – 9 600 €</w:t>
            </w:r>
          </w:p>
        </w:tc>
      </w:tr>
      <w:tr>
        <w:tc>
          <w:tcPr>
            <w:tcW w:type="dxa" w:w="42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Énergie (électricité, eau, internet)</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181614"/>
                <w:sz w:val="21"/>
                <w:szCs w:val="21"/>
              </w:rPr>
              <w:t xml:space="preserve">600 – 900 €</w:t>
            </w:r>
          </w:p>
        </w:tc>
        <w:tc>
          <w:tcPr>
            <w:tcW w:type="dxa" w:w="25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7 200 – 10 800 €</w:t>
            </w:r>
          </w:p>
        </w:tc>
      </w:tr>
      <w:tr>
        <w:tc>
          <w:tcPr>
            <w:tcW w:type="dxa" w:w="4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Comptabilité &amp; frais bancaires</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181614"/>
                <w:sz w:val="21"/>
                <w:szCs w:val="21"/>
              </w:rPr>
              <w:t xml:space="preserve">300 – 500 €</w:t>
            </w:r>
          </w:p>
        </w:tc>
        <w:tc>
          <w:tcPr>
            <w:tcW w:type="dxa" w:w="25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3 600 – 6 000 €</w:t>
            </w:r>
          </w:p>
        </w:tc>
      </w:tr>
      <w:tr>
        <w:tc>
          <w:tcPr>
            <w:tcW w:type="dxa" w:w="4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22"/>
                <w:szCs w:val="22"/>
              </w:rPr>
              <w:t xml:space="preserve">TOTAL CHARGES FIXES</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2"/>
                <w:szCs w:val="22"/>
              </w:rPr>
              <w:t xml:space="preserve">17 300 – 24 700 €</w:t>
            </w:r>
          </w:p>
        </w:tc>
        <w:tc>
          <w:tcPr>
            <w:tcW w:type="dxa" w:w="25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2"/>
                <w:szCs w:val="22"/>
              </w:rPr>
              <w:t xml:space="preserve">207 600 – 296 400 €</w:t>
            </w:r>
          </w:p>
        </w:tc>
      </w:tr>
    </w:tbl>
    <w:p>
      <w:pPr>
        <w:spacing w:after="80" w:before="160"/>
      </w:pPr>
    </w:p>
    <w:p>
      <w:pPr>
        <w:pStyle w:val="Heading2"/>
        <w:spacing w:after="160" w:before="300"/>
      </w:pPr>
      <w:r>
        <w:rPr>
          <w:rFonts w:ascii="Arial" w:cs="Arial" w:eastAsia="Arial" w:hAnsi="Arial"/>
          <w:b/>
          <w:bCs/>
          <w:color w:val="181614"/>
          <w:sz w:val="28"/>
          <w:szCs w:val="28"/>
        </w:rPr>
        <w:t xml:space="preserve">Notes sur les charges variables</w:t>
      </w:r>
    </w:p>
    <w:p>
      <w:pPr>
        <w:pStyle w:val="ListParagraph"/>
        <w:numPr>
          <w:ilvl w:val="0"/>
          <w:numId w:val="2"/>
        </w:numPr>
        <w:spacing w:after="60" w:before="60"/>
      </w:pPr>
      <w:r>
        <w:rPr>
          <w:rFonts w:ascii="Arial" w:cs="Arial" w:eastAsia="Arial" w:hAnsi="Arial"/>
          <w:color w:val="4a4540"/>
          <w:sz w:val="22"/>
          <w:szCs w:val="22"/>
        </w:rPr>
        <w:t xml:space="preserve">COGS coffee &amp; snacking : ~35 % du CA F&amp;B (marge brute ~65 %).</w:t>
      </w:r>
    </w:p>
    <w:p>
      <w:pPr>
        <w:pStyle w:val="ListParagraph"/>
        <w:numPr>
          <w:ilvl w:val="0"/>
          <w:numId w:val="2"/>
        </w:numPr>
        <w:spacing w:after="60" w:before="60"/>
      </w:pPr>
      <w:r>
        <w:rPr>
          <w:rFonts w:ascii="Arial" w:cs="Arial" w:eastAsia="Arial" w:hAnsi="Arial"/>
          <w:color w:val="4a4540"/>
          <w:sz w:val="22"/>
          <w:szCs w:val="22"/>
        </w:rPr>
        <w:t xml:space="preserve">COGS boutique &amp; merch : ~40–45 % du CA retail (marge brute ~55 %).</w:t>
      </w:r>
    </w:p>
    <w:p>
      <w:pPr>
        <w:pStyle w:val="ListParagraph"/>
        <w:numPr>
          <w:ilvl w:val="0"/>
          <w:numId w:val="2"/>
        </w:numPr>
        <w:spacing w:after="60" w:before="60"/>
      </w:pPr>
      <w:r>
        <w:rPr>
          <w:rFonts w:ascii="Arial" w:cs="Arial" w:eastAsia="Arial" w:hAnsi="Arial"/>
          <w:color w:val="4a4540"/>
          <w:sz w:val="22"/>
          <w:szCs w:val="22"/>
        </w:rPr>
        <w:t xml:space="preserve">Commissions partenaires / affiliés : 5–8 % sur certaines ventes équipements.</w:t>
      </w:r>
    </w:p>
    <w:p>
      <w:pPr>
        <w:pStyle w:val="ListParagraph"/>
        <w:numPr>
          <w:ilvl w:val="0"/>
          <w:numId w:val="2"/>
        </w:numPr>
        <w:spacing w:after="60" w:before="60"/>
      </w:pPr>
      <w:r>
        <w:rPr>
          <w:rFonts w:ascii="Arial" w:cs="Arial" w:eastAsia="Arial" w:hAnsi="Arial"/>
          <w:color w:val="4a4540"/>
          <w:sz w:val="22"/>
          <w:szCs w:val="22"/>
        </w:rPr>
        <w:t xml:space="preserve">Coûts événementiels variables : ringside, figurants, communication fight nights — ~30 % du CA événementiel.</w:t>
      </w:r>
    </w:p>
    <w:p>
      <w:r>
        <w:br w:type="page"/>
      </w:r>
    </w:p>
    <w:p>
      <w:pPr>
        <w:spacing w:after="60" w:before="100"/>
      </w:pPr>
      <w:r>
        <w:rPr>
          <w:rFonts w:ascii="Arial" w:cs="Arial" w:eastAsia="Arial" w:hAnsi="Arial"/>
          <w:b/>
          <w:bCs/>
          <w:color w:val="C8241A"/>
          <w:sz w:val="17"/>
          <w:szCs w:val="17"/>
        </w:rPr>
        <w:t xml:space="preserve">— 07 — PRÉVISIONNEL REVENUS</w:t>
      </w:r>
    </w:p>
    <w:p>
      <w:pPr>
        <w:pStyle w:val="Heading1"/>
        <w:spacing w:after="200" w:before="400"/>
      </w:pPr>
      <w:r>
        <w:rPr>
          <w:rFonts w:ascii="Arial" w:cs="Arial" w:eastAsia="Arial" w:hAnsi="Arial"/>
          <w:b/>
          <w:bCs/>
          <w:color w:val="181614"/>
          <w:sz w:val="36"/>
          <w:szCs w:val="36"/>
        </w:rPr>
        <w:t xml:space="preserve">PRÉVISIONNEL DES REVENUS — 3 ANS</w:t>
      </w:r>
    </w:p>
    <w:p>
      <w:pPr>
        <w:pBdr>
          <w:bottom w:val="single" w:color="C8241A" w:sz="4"/>
        </w:pBdr>
        <w:spacing w:after="200" w:before="200"/>
      </w:pPr>
    </w:p>
    <w:p>
      <w:pPr>
        <w:spacing w:after="80" w:before="80"/>
      </w:pPr>
      <w:r>
        <w:rPr>
          <w:rFonts w:ascii="Arial" w:cs="Arial" w:eastAsia="Arial" w:hAnsi="Arial"/>
          <w:color w:val="4a4540"/>
          <w:sz w:val="22"/>
          <w:szCs w:val="22"/>
        </w:rPr>
        <w:t xml:space="preserve">Le prévisionnel ci-dessous est établi sur le scénario cible (250 membres fin An 1, panier moyen 260 €/mois). Les colonnes An 2 et An 3 intègrent une croissance des abonnements de 20 % / an et une montée en puissance des flux lifestyle et événementiels.</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560"/>
        <w:gridCol w:w="1560"/>
        <w:gridCol w:w="1360"/>
      </w:tblGrid>
      <w:tr>
        <w:tc>
          <w:tcPr>
            <w:tcW w:type="dxa" w:w="3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FLUX DE REVENUS</w:t>
            </w:r>
          </w:p>
        </w:tc>
        <w:tc>
          <w:tcPr>
            <w:tcW w:type="dxa" w:w="16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CA</w:t>
            </w:r>
          </w:p>
        </w:tc>
        <w:tc>
          <w:tcPr>
            <w:tcW w:type="dxa" w:w="15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1</w:t>
            </w:r>
          </w:p>
        </w:tc>
        <w:tc>
          <w:tcPr>
            <w:tcW w:type="dxa" w:w="15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2</w:t>
            </w:r>
          </w:p>
        </w:tc>
        <w:tc>
          <w:tcPr>
            <w:tcW w:type="dxa" w:w="13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3</w:t>
            </w:r>
          </w:p>
        </w:tc>
      </w:tr>
      <w:tr>
        <w:tc>
          <w:tcPr>
            <w:tcW w:type="dxa" w:w="3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Abonnements sport (adultes)</w:t>
            </w:r>
          </w:p>
        </w:tc>
        <w:tc>
          <w:tcPr>
            <w:tcW w:type="dxa" w:w="1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27 %</w:t>
            </w:r>
          </w:p>
        </w:tc>
        <w:tc>
          <w:tcPr>
            <w:tcW w:type="dxa" w:w="15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202 k€</w:t>
            </w:r>
          </w:p>
        </w:tc>
        <w:tc>
          <w:tcPr>
            <w:tcW w:type="dxa" w:w="15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256 k€</w:t>
            </w:r>
          </w:p>
        </w:tc>
        <w:tc>
          <w:tcPr>
            <w:tcW w:type="dxa" w:w="13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324 k€</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Coaching privé</w:t>
            </w:r>
          </w:p>
        </w:tc>
        <w:tc>
          <w:tcPr>
            <w:tcW w:type="dxa" w:w="1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13 %</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97 k€</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133 k€</w:t>
            </w:r>
          </w:p>
        </w:tc>
        <w:tc>
          <w:tcPr>
            <w:tcW w:type="dxa" w:w="13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156 k€</w:t>
            </w:r>
          </w:p>
        </w:tc>
      </w:tr>
      <w:tr>
        <w:tc>
          <w:tcPr>
            <w:tcW w:type="dxa" w:w="3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Cours semi-collectifs</w:t>
            </w:r>
          </w:p>
        </w:tc>
        <w:tc>
          <w:tcPr>
            <w:tcW w:type="dxa" w:w="1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9 %</w:t>
            </w:r>
          </w:p>
        </w:tc>
        <w:tc>
          <w:tcPr>
            <w:tcW w:type="dxa" w:w="15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67 k€</w:t>
            </w:r>
          </w:p>
        </w:tc>
        <w:tc>
          <w:tcPr>
            <w:tcW w:type="dxa" w:w="15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95 k€</w:t>
            </w:r>
          </w:p>
        </w:tc>
        <w:tc>
          <w:tcPr>
            <w:tcW w:type="dxa" w:w="13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108 k€</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Cours enfants &amp; ados</w:t>
            </w:r>
          </w:p>
        </w:tc>
        <w:tc>
          <w:tcPr>
            <w:tcW w:type="dxa" w:w="1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9 %</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67 k€</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86 k€</w:t>
            </w:r>
          </w:p>
        </w:tc>
        <w:tc>
          <w:tcPr>
            <w:tcW w:type="dxa" w:w="13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108 k€</w:t>
            </w:r>
          </w:p>
        </w:tc>
      </w:tr>
      <w:tr>
        <w:tc>
          <w:tcPr>
            <w:tcW w:type="dxa" w:w="32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Coffee shop</w:t>
            </w:r>
          </w:p>
        </w:tc>
        <w:tc>
          <w:tcPr>
            <w:tcW w:type="dxa" w:w="1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12 %</w:t>
            </w:r>
          </w:p>
        </w:tc>
        <w:tc>
          <w:tcPr>
            <w:tcW w:type="dxa" w:w="15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90 k€</w:t>
            </w:r>
          </w:p>
        </w:tc>
        <w:tc>
          <w:tcPr>
            <w:tcW w:type="dxa" w:w="15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114 k€</w:t>
            </w:r>
          </w:p>
        </w:tc>
        <w:tc>
          <w:tcPr>
            <w:tcW w:type="dxa" w:w="13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144 k€</w:t>
            </w:r>
          </w:p>
        </w:tc>
      </w:tr>
      <w:tr>
        <w:tc>
          <w:tcPr>
            <w:tcW w:type="dxa" w:w="32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Snacking premium</w:t>
            </w:r>
          </w:p>
        </w:tc>
        <w:tc>
          <w:tcPr>
            <w:tcW w:type="dxa" w:w="1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7 %</w:t>
            </w:r>
          </w:p>
        </w:tc>
        <w:tc>
          <w:tcPr>
            <w:tcW w:type="dxa" w:w="15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52 k€</w:t>
            </w:r>
          </w:p>
        </w:tc>
        <w:tc>
          <w:tcPr>
            <w:tcW w:type="dxa" w:w="15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67 k€</w:t>
            </w:r>
          </w:p>
        </w:tc>
        <w:tc>
          <w:tcPr>
            <w:tcW w:type="dxa" w:w="136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84 k€</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Boutique &amp; merch</w:t>
            </w:r>
          </w:p>
        </w:tc>
        <w:tc>
          <w:tcPr>
            <w:tcW w:type="dxa" w:w="1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6 %</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45 k€</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57 k€</w:t>
            </w:r>
          </w:p>
        </w:tc>
        <w:tc>
          <w:tcPr>
            <w:tcW w:type="dxa" w:w="13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72 k€</w:t>
            </w:r>
          </w:p>
        </w:tc>
      </w:tr>
      <w:tr>
        <w:tc>
          <w:tcPr>
            <w:tcW w:type="dxa" w:w="32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B2B &amp; privatisation</w:t>
            </w:r>
          </w:p>
        </w:tc>
        <w:tc>
          <w:tcPr>
            <w:tcW w:type="dxa" w:w="168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9 %</w:t>
            </w:r>
          </w:p>
        </w:tc>
        <w:tc>
          <w:tcPr>
            <w:tcW w:type="dxa" w:w="156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67 k€</w:t>
            </w:r>
          </w:p>
        </w:tc>
        <w:tc>
          <w:tcPr>
            <w:tcW w:type="dxa" w:w="156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86 k€</w:t>
            </w:r>
          </w:p>
        </w:tc>
        <w:tc>
          <w:tcPr>
            <w:tcW w:type="dxa" w:w="136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color w:val="4a4540"/>
                <w:sz w:val="21"/>
                <w:szCs w:val="21"/>
              </w:rPr>
              <w:t xml:space="preserve">108 k€</w:t>
            </w:r>
          </w:p>
        </w:tc>
      </w:tr>
      <w:tr>
        <w:tc>
          <w:tcPr>
            <w:tcW w:type="dxa" w:w="32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Événements &amp; fight nights</w:t>
            </w:r>
          </w:p>
        </w:tc>
        <w:tc>
          <w:tcPr>
            <w:tcW w:type="dxa" w:w="1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8 %</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60 k€</w:t>
            </w:r>
          </w:p>
        </w:tc>
        <w:tc>
          <w:tcPr>
            <w:tcW w:type="dxa" w:w="15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76 k€</w:t>
            </w:r>
          </w:p>
        </w:tc>
        <w:tc>
          <w:tcPr>
            <w:tcW w:type="dxa" w:w="13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96 k€</w:t>
            </w:r>
          </w:p>
        </w:tc>
      </w:tr>
      <w:tr>
        <w:tc>
          <w:tcPr>
            <w:tcW w:type="dxa" w:w="3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22"/>
                <w:szCs w:val="22"/>
              </w:rPr>
              <w:t xml:space="preserve">TOTAL CA (scénario cible)</w:t>
            </w:r>
          </w:p>
        </w:tc>
        <w:tc>
          <w:tcPr>
            <w:tcW w:type="dxa" w:w="16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F0E4"/>
                <w:sz w:val="22"/>
                <w:szCs w:val="22"/>
              </w:rPr>
              <w:t xml:space="preserve">100 %</w:t>
            </w:r>
          </w:p>
        </w:tc>
        <w:tc>
          <w:tcPr>
            <w:tcW w:type="dxa" w:w="15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2"/>
                <w:szCs w:val="22"/>
              </w:rPr>
              <w:t xml:space="preserve">~750 k€</w:t>
            </w:r>
          </w:p>
        </w:tc>
        <w:tc>
          <w:tcPr>
            <w:tcW w:type="dxa" w:w="15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2"/>
                <w:szCs w:val="22"/>
              </w:rPr>
              <w:t xml:space="preserve">~970 k€</w:t>
            </w:r>
          </w:p>
        </w:tc>
        <w:tc>
          <w:tcPr>
            <w:tcW w:type="dxa" w:w="13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5ECE9"/>
                <w:sz w:val="22"/>
                <w:szCs w:val="22"/>
              </w:rPr>
              <w:t xml:space="preserve">~1,2 M€</w:t>
            </w:r>
          </w:p>
        </w:tc>
      </w:tr>
    </w:tbl>
    <w:p>
      <w:pPr>
        <w:spacing w:after="80" w:before="200"/>
      </w:pPr>
    </w:p>
    <w:p>
      <w:pPr>
        <w:pStyle w:val="Heading2"/>
        <w:spacing w:after="160" w:before="300"/>
      </w:pPr>
      <w:r>
        <w:rPr>
          <w:rFonts w:ascii="Arial" w:cs="Arial" w:eastAsia="Arial" w:hAnsi="Arial"/>
          <w:b/>
          <w:bCs/>
          <w:color w:val="181614"/>
          <w:sz w:val="28"/>
          <w:szCs w:val="28"/>
        </w:rPr>
        <w:t xml:space="preserve">Montée en charge — calendrier mensuel An 1</w:t>
      </w:r>
    </w:p>
    <w:p>
      <w:pPr>
        <w:spacing w:after="80" w:before="80"/>
      </w:pPr>
      <w:r>
        <w:rPr>
          <w:rFonts w:ascii="Arial" w:cs="Arial" w:eastAsia="Arial" w:hAnsi="Arial"/>
          <w:color w:val="4a4540"/>
          <w:sz w:val="22"/>
          <w:szCs w:val="22"/>
        </w:rPr>
        <w:t xml:space="preserve">La courbe de montée en charge est critique pour la trésorerie. Le modèle suivant est établi sur une base de 250 membres en fin d'année, avec un pré-lancement actif.</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M1–M2
(Pré-ouv.)</w:t>
            </w:r>
          </w:p>
        </w:tc>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M3–M4
(Lancement)</w:t>
            </w:r>
          </w:p>
        </w:tc>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M5–M6</w:t>
            </w:r>
          </w:p>
        </w:tc>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M7–M8</w:t>
            </w:r>
          </w:p>
        </w:tc>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M9–M10</w:t>
            </w:r>
          </w:p>
        </w:tc>
        <w:tc>
          <w:tcPr>
            <w:tcW w:type="dxa" w:w="1560"/>
            <w:tcBorders>
              <w:top w:val="single" w:color="D8D4CC" w:sz="1"/>
              <w:left w:val="single" w:color="D8D4CC" w:sz="1"/>
              <w:bottom w:val="single" w:color="D8D4CC" w:sz="1"/>
              <w:right w:val="single" w:color="D8D4CC" w:sz="1"/>
            </w:tcBorders>
            <w:shd w:fill="18161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M11–M12</w:t>
            </w:r>
          </w:p>
        </w:tc>
      </w:tr>
      <w:tr>
        <w:tc>
          <w:tcPr>
            <w:tcW w:type="dxa" w:w="1560"/>
            <w:tcBorders>
              <w:top w:val="single" w:color="D8D4CC" w:sz="1"/>
              <w:left w:val="single" w:color="D8D4CC" w:sz="1"/>
              <w:bottom w:val="single" w:color="D8D4CC" w:sz="1"/>
              <w:right w:val="single" w:color="D8D4CC" w:sz="1"/>
            </w:tcBorders>
            <w:shd w:fill="F5ECE9" w:val="clear"/>
            <w:tcMar>
              <w:top w:type="dxa" w:w="80"/>
              <w:left w:type="dxa" w:w="80"/>
              <w:bottom w:type="dxa" w:w="80"/>
              <w:right w:type="dxa" w:w="80"/>
            </w:tcMar>
          </w:tcPr>
          <w:p>
            <w:pPr>
              <w:jc w:val="center"/>
            </w:pPr>
            <w:r>
              <w:rPr>
                <w:rFonts w:ascii="Arial" w:cs="Arial" w:eastAsia="Arial" w:hAnsi="Arial"/>
                <w:color w:val="C8241A"/>
                <w:sz w:val="18"/>
                <w:szCs w:val="18"/>
              </w:rPr>
              <w:t xml:space="preserve">Pré-vente
80–100 mbr</w:t>
            </w:r>
          </w:p>
        </w:tc>
        <w:tc>
          <w:tcPr>
            <w:tcW w:type="dxa" w:w="1560"/>
            <w:tcBorders>
              <w:top w:val="single" w:color="D8D4CC" w:sz="1"/>
              <w:left w:val="single" w:color="D8D4CC" w:sz="1"/>
              <w:bottom w:val="single" w:color="D8D4CC" w:sz="1"/>
              <w:right w:val="single" w:color="D8D4CC" w:sz="1"/>
            </w:tcBorders>
            <w:shd w:fill="F5ECE9" w:val="clear"/>
            <w:tcMar>
              <w:top w:type="dxa" w:w="80"/>
              <w:left w:type="dxa" w:w="80"/>
              <w:bottom w:type="dxa" w:w="80"/>
              <w:right w:type="dxa" w:w="80"/>
            </w:tcMar>
          </w:tcPr>
          <w:p>
            <w:pPr>
              <w:jc w:val="center"/>
            </w:pPr>
            <w:r>
              <w:rPr>
                <w:rFonts w:ascii="Arial" w:cs="Arial" w:eastAsia="Arial" w:hAnsi="Arial"/>
                <w:color w:val="C8241A"/>
                <w:sz w:val="18"/>
                <w:szCs w:val="18"/>
              </w:rPr>
              <w:t xml:space="preserve">Ouverture
110 mbr</w:t>
            </w:r>
          </w:p>
        </w:tc>
        <w:tc>
          <w:tcPr>
            <w:tcW w:type="dxa" w:w="1560"/>
            <w:tcBorders>
              <w:top w:val="single" w:color="D8D4CC" w:sz="1"/>
              <w:left w:val="single" w:color="D8D4CC" w:sz="1"/>
              <w:bottom w:val="single" w:color="D8D4CC" w:sz="1"/>
              <w:right w:val="single" w:color="D8D4CC" w:sz="1"/>
            </w:tcBorders>
            <w:shd w:fill="FFFFFF" w:val="clear"/>
            <w:tcMar>
              <w:top w:type="dxa" w:w="80"/>
              <w:left w:type="dxa" w:w="80"/>
              <w:bottom w:type="dxa" w:w="80"/>
              <w:right w:type="dxa" w:w="80"/>
            </w:tcMar>
          </w:tcPr>
          <w:p>
            <w:pPr>
              <w:jc w:val="center"/>
            </w:pPr>
            <w:r>
              <w:rPr>
                <w:rFonts w:ascii="Arial" w:cs="Arial" w:eastAsia="Arial" w:hAnsi="Arial"/>
                <w:color w:val="181614"/>
                <w:sz w:val="18"/>
                <w:szCs w:val="18"/>
              </w:rPr>
              <w:t xml:space="preserve">130 mbr
+Coffee up</w:t>
            </w:r>
          </w:p>
        </w:tc>
        <w:tc>
          <w:tcPr>
            <w:tcW w:type="dxa" w:w="1560"/>
            <w:tcBorders>
              <w:top w:val="single" w:color="D8D4CC" w:sz="1"/>
              <w:left w:val="single" w:color="D8D4CC" w:sz="1"/>
              <w:bottom w:val="single" w:color="D8D4CC" w:sz="1"/>
              <w:right w:val="single" w:color="D8D4CC" w:sz="1"/>
            </w:tcBorders>
            <w:shd w:fill="FFFFFF" w:val="clear"/>
            <w:tcMar>
              <w:top w:type="dxa" w:w="80"/>
              <w:left w:type="dxa" w:w="80"/>
              <w:bottom w:type="dxa" w:w="80"/>
              <w:right w:type="dxa" w:w="80"/>
            </w:tcMar>
          </w:tcPr>
          <w:p>
            <w:pPr>
              <w:jc w:val="center"/>
            </w:pPr>
            <w:r>
              <w:rPr>
                <w:rFonts w:ascii="Arial" w:cs="Arial" w:eastAsia="Arial" w:hAnsi="Arial"/>
                <w:color w:val="181614"/>
                <w:sz w:val="18"/>
                <w:szCs w:val="18"/>
              </w:rPr>
              <w:t xml:space="preserve">160 mbr
+B2B</w:t>
            </w:r>
          </w:p>
        </w:tc>
        <w:tc>
          <w:tcPr>
            <w:tcW w:type="dxa" w:w="1560"/>
            <w:tcBorders>
              <w:top w:val="single" w:color="D8D4CC" w:sz="1"/>
              <w:left w:val="single" w:color="D8D4CC" w:sz="1"/>
              <w:bottom w:val="single" w:color="D8D4CC" w:sz="1"/>
              <w:right w:val="single" w:color="D8D4CC" w:sz="1"/>
            </w:tcBorders>
            <w:shd w:fill="FFFFFF" w:val="clear"/>
            <w:tcMar>
              <w:top w:type="dxa" w:w="80"/>
              <w:left w:type="dxa" w:w="80"/>
              <w:bottom w:type="dxa" w:w="80"/>
              <w:right w:type="dxa" w:w="80"/>
            </w:tcMar>
          </w:tcPr>
          <w:p>
            <w:pPr>
              <w:jc w:val="center"/>
            </w:pPr>
            <w:r>
              <w:rPr>
                <w:rFonts w:ascii="Arial" w:cs="Arial" w:eastAsia="Arial" w:hAnsi="Arial"/>
                <w:color w:val="181614"/>
                <w:sz w:val="18"/>
                <w:szCs w:val="18"/>
              </w:rPr>
              <w:t xml:space="preserve">200 mbr
+Events</w:t>
            </w:r>
          </w:p>
        </w:tc>
        <w:tc>
          <w:tcPr>
            <w:tcW w:type="dxa" w:w="1560"/>
            <w:tcBorders>
              <w:top w:val="single" w:color="D8D4CC" w:sz="1"/>
              <w:left w:val="single" w:color="D8D4CC" w:sz="1"/>
              <w:bottom w:val="single" w:color="D8D4CC" w:sz="1"/>
              <w:right w:val="single" w:color="D8D4CC" w:sz="1"/>
            </w:tcBorders>
            <w:shd w:fill="F5F0E4" w:val="clear"/>
            <w:tcMar>
              <w:top w:type="dxa" w:w="80"/>
              <w:left w:type="dxa" w:w="80"/>
              <w:bottom w:type="dxa" w:w="80"/>
              <w:right w:type="dxa" w:w="80"/>
            </w:tcMar>
          </w:tcPr>
          <w:p>
            <w:pPr>
              <w:jc w:val="center"/>
            </w:pPr>
            <w:r>
              <w:rPr>
                <w:rFonts w:ascii="Arial" w:cs="Arial" w:eastAsia="Arial" w:hAnsi="Arial"/>
                <w:color w:val="9A7A2E"/>
                <w:sz w:val="18"/>
                <w:szCs w:val="18"/>
              </w:rPr>
              <w:t xml:space="preserve">250 mbr
★ Cible</w:t>
            </w:r>
          </w:p>
        </w:tc>
      </w:tr>
    </w:tbl>
    <w:p>
      <w:r>
        <w:br w:type="page"/>
      </w:r>
    </w:p>
    <w:p>
      <w:pPr>
        <w:spacing w:after="60" w:before="100"/>
      </w:pPr>
      <w:r>
        <w:rPr>
          <w:rFonts w:ascii="Arial" w:cs="Arial" w:eastAsia="Arial" w:hAnsi="Arial"/>
          <w:b/>
          <w:bCs/>
          <w:color w:val="C8241A"/>
          <w:sz w:val="17"/>
          <w:szCs w:val="17"/>
        </w:rPr>
        <w:t xml:space="preserve">— 08 — COMPTE DE RÉSULTAT</w:t>
      </w:r>
    </w:p>
    <w:p>
      <w:pPr>
        <w:pStyle w:val="Heading1"/>
        <w:spacing w:after="200" w:before="400"/>
      </w:pPr>
      <w:r>
        <w:rPr>
          <w:rFonts w:ascii="Arial" w:cs="Arial" w:eastAsia="Arial" w:hAnsi="Arial"/>
          <w:b/>
          <w:bCs/>
          <w:color w:val="181614"/>
          <w:sz w:val="36"/>
          <w:szCs w:val="36"/>
        </w:rPr>
        <w:t xml:space="preserve">COMPTE DE RÉSULTAT PRÉVISIONNEL</w:t>
      </w:r>
    </w:p>
    <w:p>
      <w:pPr>
        <w:pBdr>
          <w:bottom w:val="single" w:color="C8241A"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3"/>
        <w:gridCol w:w="1853"/>
        <w:gridCol w:w="1854"/>
      </w:tblGrid>
      <w:tr>
        <w:tc>
          <w:tcPr>
            <w:tcW w:type="dxa" w:w="38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LIGNE</w:t>
            </w:r>
          </w:p>
        </w:tc>
        <w:tc>
          <w:tcPr>
            <w:tcW w:type="dxa" w:w="1853"/>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1</w:t>
            </w:r>
          </w:p>
        </w:tc>
        <w:tc>
          <w:tcPr>
            <w:tcW w:type="dxa" w:w="1853"/>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2</w:t>
            </w:r>
          </w:p>
        </w:tc>
        <w:tc>
          <w:tcPr>
            <w:tcW w:type="dxa" w:w="1853"/>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 3</w:t>
            </w:r>
          </w:p>
        </w:tc>
      </w:tr>
      <w:tr>
        <w:tc>
          <w:tcPr>
            <w:tcW w:type="dxa" w:w="3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b/>
                <w:bCs/>
                <w:color w:val="181614"/>
                <w:sz w:val="21"/>
                <w:szCs w:val="21"/>
              </w:rPr>
              <w:t xml:space="preserve">Chiffre d'affaires total</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750 000 €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970 000 €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1 200 000 €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dont Sport (58 %)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435 000 €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563 000 €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696 000 €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dont Lifestyle F&amp;B (19 %)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142 000 €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184 000 €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228 000 €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dont Boutique (6 %)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45 000 €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58 000 €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72 000 €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dont Événementiel &amp; B2B (17 %)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128 000 €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165 000 €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204 000 €</w:t>
            </w:r>
          </w:p>
        </w:tc>
      </w:tr>
      <w:tr>
        <w:tc>
          <w:tcPr>
            <w:tcW w:type="dxa" w:w="3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b w:val="false"/>
                <w:bCs w:val="false"/>
                <w:color w:val="181614"/>
                <w:sz w:val="21"/>
                <w:szCs w:val="21"/>
              </w:rPr>
              <w:t xml:space="preserve">— Coût des ventes (COGS)</w:t>
            </w:r>
          </w:p>
        </w:tc>
        <w:tc>
          <w:tcPr>
            <w:tcW w:type="dxa" w:w="1853"/>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210 000 €</w:t>
            </w:r>
          </w:p>
        </w:tc>
        <w:tc>
          <w:tcPr>
            <w:tcW w:type="dxa" w:w="1853"/>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272 000 €</w:t>
            </w:r>
          </w:p>
        </w:tc>
        <w:tc>
          <w:tcPr>
            <w:tcW w:type="dxa" w:w="1853"/>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336 000 €</w:t>
            </w:r>
          </w:p>
        </w:tc>
      </w:tr>
      <w:tr>
        <w:tc>
          <w:tcPr>
            <w:tcW w:type="dxa" w:w="3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bCs/>
                <w:color w:val="181614"/>
                <w:sz w:val="21"/>
                <w:szCs w:val="21"/>
              </w:rPr>
              <w:t xml:space="preserve">= Marge brute</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540 000 €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698 000 €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864 000 €</w:t>
            </w:r>
          </w:p>
        </w:tc>
      </w:tr>
      <w:tr>
        <w:tc>
          <w:tcPr>
            <w:tcW w:type="dxa" w:w="3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val="false"/>
                <w:bCs w:val="false"/>
                <w:color w:val="181614"/>
                <w:sz w:val="21"/>
                <w:szCs w:val="21"/>
              </w:rPr>
              <w:t xml:space="preserve">Taux de marge brute</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72 %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72 %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72 %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 Charges fixes (loyer, salaires, etc.)</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240 000 €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265 000 €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290 000 €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 Amortissements (sur 5 ans, base 220k€)</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44 000 €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44 000 €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44 000 €</w:t>
            </w:r>
          </w:p>
        </w:tc>
      </w:tr>
      <w:tr>
        <w:tc>
          <w:tcPr>
            <w:tcW w:type="dxa" w:w="3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b/>
                <w:bCs/>
                <w:color w:val="181614"/>
                <w:sz w:val="21"/>
                <w:szCs w:val="21"/>
              </w:rPr>
              <w:t xml:space="preserve">= Résultat d'exploitation (REX)</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256 000 €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389 000 €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530 000 €</w:t>
            </w:r>
          </w:p>
        </w:tc>
      </w:tr>
      <w:tr>
        <w:tc>
          <w:tcPr>
            <w:tcW w:type="dxa" w:w="3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b w:val="false"/>
                <w:bCs w:val="false"/>
                <w:color w:val="181614"/>
                <w:sz w:val="21"/>
                <w:szCs w:val="21"/>
              </w:rPr>
              <w:t xml:space="preserve">Taux REX</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34 %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40 %</w:t>
            </w:r>
          </w:p>
        </w:tc>
        <w:tc>
          <w:tcPr>
            <w:tcW w:type="dxa" w:w="1853"/>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44 %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 Charges financières (emprunt)</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40 000 €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38 000 €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34 000 €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 Résultat avant impôt</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216 000 €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351 000 €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496 000 €</w:t>
            </w:r>
          </w:p>
        </w:tc>
      </w:tr>
      <w:tr>
        <w:tc>
          <w:tcPr>
            <w:tcW w:type="dxa" w:w="3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 IS (25 %)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54 000 €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88 000 €</w:t>
            </w:r>
          </w:p>
        </w:tc>
        <w:tc>
          <w:tcPr>
            <w:tcW w:type="dxa" w:w="1853"/>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540"/>
                <w:sz w:val="21"/>
                <w:szCs w:val="21"/>
              </w:rPr>
              <w:t xml:space="preserve">– 124 000 €</w:t>
            </w:r>
          </w:p>
        </w:tc>
      </w:tr>
      <w:tr>
        <w:tc>
          <w:tcPr>
            <w:tcW w:type="dxa" w:w="3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bCs/>
                <w:color w:val="181614"/>
                <w:sz w:val="21"/>
                <w:szCs w:val="21"/>
              </w:rPr>
              <w:t xml:space="preserve">= Résultat net</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162 000 €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263 000 €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372 000 €</w:t>
            </w:r>
          </w:p>
        </w:tc>
      </w:tr>
      <w:tr>
        <w:tc>
          <w:tcPr>
            <w:tcW w:type="dxa" w:w="3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bCs/>
                <w:color w:val="181614"/>
                <w:sz w:val="21"/>
                <w:szCs w:val="21"/>
              </w:rPr>
              <w:t xml:space="preserve">Marge nette</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21,6 %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27,1 %</w:t>
            </w:r>
          </w:p>
        </w:tc>
        <w:tc>
          <w:tcPr>
            <w:tcW w:type="dxa" w:w="1853"/>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31 %</w:t>
            </w:r>
          </w:p>
        </w:tc>
      </w:tr>
    </w:tbl>
    <w:p>
      <w:pPr>
        <w:spacing w:after="80" w:before="160"/>
      </w:pPr>
    </w:p>
    <w:p>
      <w:pPr>
        <w:spacing w:after="80" w:before="80"/>
      </w:pPr>
      <w:r>
        <w:rPr>
          <w:rFonts w:ascii="Arial" w:cs="Arial" w:eastAsia="Arial" w:hAnsi="Arial"/>
          <w:color w:val="4a4540"/>
          <w:sz w:val="22"/>
          <w:szCs w:val="22"/>
        </w:rPr>
        <w:t xml:space="preserve">Note : ce compte de résultat est établi sur le scénario cible. Les charges salariales An 1 intègrent 2 coachs à temps partiel + 1 barista + la rémunération partielle des fondateurs. La montée en charge salariale An 2–3 intègre 1 coach supplémentaire et un responsable opérationnel.</w:t>
      </w:r>
    </w:p>
    <w:p>
      <w:r>
        <w:br w:type="page"/>
      </w:r>
    </w:p>
    <w:p>
      <w:pPr>
        <w:spacing w:after="60" w:before="100"/>
      </w:pPr>
      <w:r>
        <w:rPr>
          <w:rFonts w:ascii="Arial" w:cs="Arial" w:eastAsia="Arial" w:hAnsi="Arial"/>
          <w:b/>
          <w:bCs/>
          <w:color w:val="C8241A"/>
          <w:sz w:val="17"/>
          <w:szCs w:val="17"/>
        </w:rPr>
        <w:t xml:space="preserve">— 09 — TRÉSORERIE &amp; SEUIL</w:t>
      </w:r>
    </w:p>
    <w:p>
      <w:pPr>
        <w:pStyle w:val="Heading1"/>
        <w:spacing w:after="200" w:before="400"/>
      </w:pPr>
      <w:r>
        <w:rPr>
          <w:rFonts w:ascii="Arial" w:cs="Arial" w:eastAsia="Arial" w:hAnsi="Arial"/>
          <w:b/>
          <w:bCs/>
          <w:color w:val="181614"/>
          <w:sz w:val="36"/>
          <w:szCs w:val="36"/>
        </w:rPr>
        <w:t xml:space="preserve">TRÉSORERIE &amp; SEUIL DE RENTABILITÉ</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Seuil de rentabilité opérationnel</w:t>
      </w:r>
    </w:p>
    <w:p>
      <w:pPr>
        <w:spacing w:after="80" w:before="80"/>
      </w:pPr>
      <w:r>
        <w:rPr>
          <w:rFonts w:ascii="Arial" w:cs="Arial" w:eastAsia="Arial" w:hAnsi="Arial"/>
          <w:color w:val="4a4540"/>
          <w:sz w:val="22"/>
          <w:szCs w:val="22"/>
        </w:rPr>
        <w:t xml:space="preserve">Le point mort opérationnel (seuil de rentabilité) est atteint lorsque la marge brute couvre les charges fixes. Sur la base d'une marge brute de 72 % et de charges fixes de 20 000 €/mois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CALCUL</w:t>
            </w:r>
          </w:p>
        </w:tc>
        <w:tc>
          <w:tcPr>
            <w:tcW w:type="dxa" w:w="46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VALEUR</w:t>
            </w:r>
          </w:p>
        </w:tc>
      </w:tr>
      <w:tr>
        <w:tc>
          <w:tcPr>
            <w:tcW w:type="dxa" w:w="4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CA mensuel nécessaire (point mort)</w:t>
            </w:r>
          </w:p>
        </w:tc>
        <w:tc>
          <w:tcPr>
            <w:tcW w:type="dxa" w:w="46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~27 800 €/mois</w:t>
            </w:r>
          </w:p>
        </w:tc>
      </w:tr>
      <w:tr>
        <w:tc>
          <w:tcPr>
            <w:tcW w:type="dxa" w:w="4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En nombre de membres (scénario cible 260€)</w:t>
            </w:r>
          </w:p>
        </w:tc>
        <w:tc>
          <w:tcPr>
            <w:tcW w:type="dxa" w:w="4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~107 membres</w:t>
            </w:r>
          </w:p>
        </w:tc>
      </w:tr>
      <w:tr>
        <w:tc>
          <w:tcPr>
            <w:tcW w:type="dxa" w:w="4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En % de la capacité cible An 1 (250 mbr)</w:t>
            </w:r>
          </w:p>
        </w:tc>
        <w:tc>
          <w:tcPr>
            <w:tcW w:type="dxa" w:w="468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~43 %</w:t>
            </w:r>
          </w:p>
        </w:tc>
      </w:tr>
      <w:tr>
        <w:tc>
          <w:tcPr>
            <w:tcW w:type="dxa" w:w="4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Mois estimé d'atteinte (scénario cible)</w:t>
            </w:r>
          </w:p>
        </w:tc>
        <w:tc>
          <w:tcPr>
            <w:tcW w:type="dxa" w:w="4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Mois 6–7 après ouverture</w:t>
            </w:r>
          </w:p>
        </w:tc>
      </w:tr>
      <w:tr>
        <w:tc>
          <w:tcPr>
            <w:tcW w:type="dxa" w:w="4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color w:val="181614"/>
                <w:sz w:val="21"/>
                <w:szCs w:val="21"/>
              </w:rPr>
              <w:t xml:space="preserve">Mois estimé d'atteinte (scénario dynamique)</w:t>
            </w:r>
          </w:p>
        </w:tc>
        <w:tc>
          <w:tcPr>
            <w:tcW w:type="dxa" w:w="468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b/>
                <w:bCs/>
                <w:color w:val="C8241A"/>
                <w:sz w:val="21"/>
                <w:szCs w:val="21"/>
              </w:rPr>
              <w:t xml:space="preserve">Mois 3–4 après ouverture</w:t>
            </w:r>
          </w:p>
        </w:tc>
      </w:tr>
    </w:tbl>
    <w:p>
      <w:pPr>
        <w:spacing w:after="80" w:before="160"/>
      </w:pPr>
    </w:p>
    <w:p>
      <w:pPr>
        <w:pStyle w:val="Heading2"/>
        <w:spacing w:after="160" w:before="300"/>
      </w:pPr>
      <w:r>
        <w:rPr>
          <w:rFonts w:ascii="Arial" w:cs="Arial" w:eastAsia="Arial" w:hAnsi="Arial"/>
          <w:b/>
          <w:bCs/>
          <w:color w:val="181614"/>
          <w:sz w:val="28"/>
          <w:szCs w:val="28"/>
        </w:rPr>
        <w:t xml:space="preserve">Plan de trésorerie — An 1 (trimestriel)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LIGNE</w:t>
            </w:r>
          </w:p>
        </w:tc>
        <w:tc>
          <w:tcPr>
            <w:tcW w:type="dxa" w:w="164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T1</w:t>
            </w:r>
          </w:p>
        </w:tc>
        <w:tc>
          <w:tcPr>
            <w:tcW w:type="dxa" w:w="164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T2</w:t>
            </w:r>
          </w:p>
        </w:tc>
        <w:tc>
          <w:tcPr>
            <w:tcW w:type="dxa" w:w="164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T3</w:t>
            </w:r>
          </w:p>
        </w:tc>
        <w:tc>
          <w:tcPr>
            <w:tcW w:type="dxa" w:w="164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T4</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Encaissements (CA)</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90 000 €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160 000 €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230 000 €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270 000 €</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Décaissements charges fixes</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55 000 €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58 000 €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60 000 €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62 000 €</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COGS variables</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25 000 €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45 000 €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65 000 €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76 000 €</w:t>
            </w:r>
          </w:p>
        </w:tc>
      </w:tr>
      <w:tr>
        <w:tc>
          <w:tcPr>
            <w:tcW w:type="dxa" w:w="2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b w:val="false"/>
                <w:bCs w:val="false"/>
                <w:color w:val="181614"/>
                <w:sz w:val="21"/>
                <w:szCs w:val="21"/>
              </w:rPr>
              <w:t xml:space="preserve">Investissement initial</w:t>
            </w:r>
          </w:p>
        </w:tc>
        <w:tc>
          <w:tcPr>
            <w:tcW w:type="dxa" w:w="164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C8241A"/>
                <w:sz w:val="21"/>
                <w:szCs w:val="21"/>
              </w:rPr>
              <w:t xml:space="preserve">– 220 000 €</w:t>
            </w:r>
          </w:p>
        </w:tc>
        <w:tc>
          <w:tcPr>
            <w:tcW w:type="dxa" w:w="164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0 €</w:t>
            </w:r>
          </w:p>
        </w:tc>
        <w:tc>
          <w:tcPr>
            <w:tcW w:type="dxa" w:w="164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0 €</w:t>
            </w:r>
          </w:p>
        </w:tc>
        <w:tc>
          <w:tcPr>
            <w:tcW w:type="dxa" w:w="164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color w:val="4a4540"/>
                <w:sz w:val="21"/>
                <w:szCs w:val="21"/>
              </w:rPr>
              <w:t xml:space="preserve">0 €</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b w:val="false"/>
                <w:bCs w:val="false"/>
                <w:color w:val="181614"/>
                <w:sz w:val="21"/>
                <w:szCs w:val="21"/>
              </w:rPr>
              <w:t xml:space="preserve">Remboursement emprunt</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9 000 €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9 000 €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9 000 €</w:t>
            </w:r>
          </w:p>
        </w:tc>
        <w:tc>
          <w:tcPr>
            <w:tcW w:type="dxa" w:w="164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color w:val="4a4540"/>
                <w:sz w:val="21"/>
                <w:szCs w:val="21"/>
              </w:rPr>
              <w:t xml:space="preserve">– 9 000 €</w:t>
            </w:r>
          </w:p>
        </w:tc>
      </w:tr>
      <w:tr>
        <w:tc>
          <w:tcPr>
            <w:tcW w:type="dxa" w:w="2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bCs/>
                <w:color w:val="181614"/>
                <w:sz w:val="21"/>
                <w:szCs w:val="21"/>
              </w:rPr>
              <w:t xml:space="preserve">Flux net de trésorerie</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C8241A"/>
                <w:sz w:val="21"/>
                <w:szCs w:val="21"/>
              </w:rPr>
              <w:t xml:space="preserve">– 219 000 €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48 000 €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96 000 €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4a4540"/>
                <w:sz w:val="21"/>
                <w:szCs w:val="21"/>
              </w:rPr>
              <w:t xml:space="preserve">123 000 €</w:t>
            </w:r>
          </w:p>
        </w:tc>
      </w:tr>
      <w:tr>
        <w:tc>
          <w:tcPr>
            <w:tcW w:type="dxa" w:w="280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r>
              <w:rPr>
                <w:rFonts w:ascii="Arial" w:cs="Arial" w:eastAsia="Arial" w:hAnsi="Arial"/>
                <w:b/>
                <w:bCs/>
                <w:color w:val="181614"/>
                <w:sz w:val="21"/>
                <w:szCs w:val="21"/>
              </w:rPr>
              <w:t xml:space="preserve">Trésorerie cumulée</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C8241A"/>
                <w:sz w:val="21"/>
                <w:szCs w:val="21"/>
              </w:rPr>
              <w:t xml:space="preserve">– 219 000 €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C8241A"/>
                <w:sz w:val="21"/>
                <w:szCs w:val="21"/>
              </w:rPr>
              <w:t xml:space="preserve">– 171 000 €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C8241A"/>
                <w:sz w:val="21"/>
                <w:szCs w:val="21"/>
              </w:rPr>
              <w:t xml:space="preserve">– 75 000 €</w:t>
            </w:r>
          </w:p>
        </w:tc>
        <w:tc>
          <w:tcPr>
            <w:tcW w:type="dxa" w:w="1640"/>
            <w:tcBorders>
              <w:top w:val="single" w:color="D8D4CC" w:sz="1"/>
              <w:left w:val="single" w:color="D8D4CC" w:sz="1"/>
              <w:bottom w:val="single" w:color="D8D4CC" w:sz="1"/>
              <w:right w:val="single" w:color="D8D4CC" w:sz="1"/>
            </w:tcBorders>
            <w:shd w:fill="F5F0E4" w:val="clear"/>
            <w:tcMar>
              <w:top w:type="dxa" w:w="80"/>
              <w:left w:type="dxa" w:w="120"/>
              <w:bottom w:type="dxa" w:w="80"/>
              <w:right w:type="dxa" w:w="120"/>
            </w:tcMar>
          </w:tcPr>
          <w:p>
            <w:pPr>
              <w:jc w:val="center"/>
            </w:pPr>
            <w:r>
              <w:rPr>
                <w:rFonts w:ascii="Arial" w:cs="Arial" w:eastAsia="Arial" w:hAnsi="Arial"/>
                <w:color w:val="2E7D32"/>
                <w:sz w:val="21"/>
                <w:szCs w:val="21"/>
              </w:rPr>
              <w:t xml:space="preserve">+ 48 000 €</w:t>
            </w:r>
          </w:p>
        </w:tc>
      </w:tr>
    </w:tbl>
    <w:p>
      <w:pPr>
        <w:spacing w:after="80" w:before="160"/>
      </w:pPr>
    </w:p>
    <w:p>
      <w:pPr>
        <w:spacing w:after="80" w:before="80"/>
      </w:pPr>
      <w:r>
        <w:rPr>
          <w:rFonts w:ascii="Arial" w:cs="Arial" w:eastAsia="Arial" w:hAnsi="Arial"/>
          <w:color w:val="4a4540"/>
          <w:sz w:val="22"/>
          <w:szCs w:val="22"/>
        </w:rPr>
        <w:t xml:space="preserve">Note : la trésorerie redevient positive en fin T4 An 1 dans le scénario cible. Le financement initial (fonds propres + emprunt) doit couvrir le pic négatif de T1 + T2. Un fonds de roulement de 3 mois de charges (environ 55 000 €) est intégré au budget d'investissement.</w:t>
      </w:r>
    </w:p>
    <w:p>
      <w:r>
        <w:br w:type="page"/>
      </w:r>
    </w:p>
    <w:p>
      <w:pPr>
        <w:spacing w:after="60" w:before="100"/>
      </w:pPr>
      <w:r>
        <w:rPr>
          <w:rFonts w:ascii="Arial" w:cs="Arial" w:eastAsia="Arial" w:hAnsi="Arial"/>
          <w:b/>
          <w:bCs/>
          <w:color w:val="C8241A"/>
          <w:sz w:val="17"/>
          <w:szCs w:val="17"/>
        </w:rPr>
        <w:t xml:space="preserve">— 10 — SCÉNARIOS</w:t>
      </w:r>
    </w:p>
    <w:p>
      <w:pPr>
        <w:pStyle w:val="Heading1"/>
        <w:spacing w:after="200" w:before="400"/>
      </w:pPr>
      <w:r>
        <w:rPr>
          <w:rFonts w:ascii="Arial" w:cs="Arial" w:eastAsia="Arial" w:hAnsi="Arial"/>
          <w:b/>
          <w:bCs/>
          <w:color w:val="181614"/>
          <w:sz w:val="36"/>
          <w:szCs w:val="36"/>
        </w:rPr>
        <w:t xml:space="preserve">SCÉNARIOS &amp; SENSIBILITÉ</w:t>
      </w:r>
    </w:p>
    <w:p>
      <w:pPr>
        <w:pBdr>
          <w:bottom w:val="single" w:color="C8241A" w:sz="4"/>
        </w:pBdr>
        <w:spacing w:after="200" w:before="200"/>
      </w:pPr>
    </w:p>
    <w:p>
      <w:pPr>
        <w:spacing w:after="80" w:before="80"/>
      </w:pPr>
      <w:r>
        <w:rPr>
          <w:rFonts w:ascii="Arial" w:cs="Arial" w:eastAsia="Arial" w:hAnsi="Arial"/>
          <w:color w:val="4a4540"/>
          <w:sz w:val="22"/>
          <w:szCs w:val="22"/>
        </w:rPr>
        <w:t xml:space="preserve">Trois scénarios sont modélisés pour encadrer les décisions. Le scénario cible est celui retenu pour le pilotage. Les scénarios prudent et dynamique servent de bornes de sensibilité.</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Indicateur</w:t>
            </w:r>
          </w:p>
        </w:tc>
        <w:tc>
          <w:tcPr>
            <w:tcW w:type="dxa" w:w="21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prudent</w:t>
            </w:r>
          </w:p>
        </w:tc>
        <w:tc>
          <w:tcPr>
            <w:tcW w:type="dxa" w:w="218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cible ★</w:t>
            </w:r>
          </w:p>
        </w:tc>
        <w:tc>
          <w:tcPr>
            <w:tcW w:type="dxa" w:w="22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Scénario dynamique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Membres fin An 1</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180</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250</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380</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Panier moyen / mois</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210 €</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260 €</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320 €</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CA Année 1</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~450 k€</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~750 k€</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~1,1 M€</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CA Année 2</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~540 k€</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~950 k€</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~1,4 M€</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CA Année 3</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~650 k€</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~1,2 M€</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~1,8 M€</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Marge nette An 3</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8–12 %</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15–20 %</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20–28 %</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left"/>
            </w:pPr>
            <w:r>
              <w:rPr>
                <w:rFonts w:ascii="Arial" w:cs="Arial" w:eastAsia="Arial" w:hAnsi="Arial"/>
                <w:b/>
                <w:bCs/>
                <w:color w:val="181614"/>
                <w:sz w:val="22"/>
                <w:szCs w:val="22"/>
              </w:rPr>
              <w:t xml:space="preserve">Break-even</w:t>
            </w:r>
          </w:p>
        </w:tc>
        <w:tc>
          <w:tcPr>
            <w:tcW w:type="dxa" w:w="218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30–36 mois</w:t>
            </w:r>
          </w:p>
        </w:tc>
        <w:tc>
          <w:tcPr>
            <w:tcW w:type="dxa" w:w="2180"/>
            <w:tcBorders>
              <w:top w:val="single" w:color="D8D4CC" w:sz="1"/>
              <w:left w:val="single" w:color="D8D4CC" w:sz="1"/>
              <w:bottom w:val="single" w:color="D8D4CC" w:sz="1"/>
              <w:right w:val="single" w:color="D8D4CC" w:sz="1"/>
            </w:tcBorders>
            <w:shd w:fill="FFF8E8" w:val="clear"/>
            <w:tcMar>
              <w:top w:type="dxa" w:w="80"/>
              <w:left w:type="dxa" w:w="120"/>
              <w:bottom w:type="dxa" w:w="80"/>
              <w:right w:type="dxa" w:w="120"/>
            </w:tcMar>
          </w:tcPr>
          <w:p>
            <w:pPr>
              <w:jc w:val="center"/>
            </w:pPr>
            <w:r>
              <w:rPr>
                <w:rFonts w:ascii="Arial" w:cs="Arial" w:eastAsia="Arial" w:hAnsi="Arial"/>
                <w:b w:val="false"/>
                <w:bCs w:val="false"/>
                <w:color w:val="181614"/>
                <w:sz w:val="22"/>
                <w:szCs w:val="22"/>
              </w:rPr>
              <w:t xml:space="preserve">16–20 mois</w:t>
            </w:r>
          </w:p>
        </w:tc>
        <w:tc>
          <w:tcPr>
            <w:tcW w:type="dxa" w:w="22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val="false"/>
                <w:bCs w:val="false"/>
                <w:color w:val="C8241A"/>
                <w:sz w:val="22"/>
                <w:szCs w:val="22"/>
              </w:rPr>
              <w:t xml:space="preserve">10–14 mois</w:t>
            </w:r>
          </w:p>
        </w:tc>
      </w:tr>
    </w:tbl>
    <w:p>
      <w:pPr>
        <w:spacing w:after="80" w:before="200"/>
      </w:pPr>
    </w:p>
    <w:p>
      <w:pPr>
        <w:pStyle w:val="Heading2"/>
        <w:spacing w:after="160" w:before="300"/>
      </w:pPr>
      <w:r>
        <w:rPr>
          <w:rFonts w:ascii="Arial" w:cs="Arial" w:eastAsia="Arial" w:hAnsi="Arial"/>
          <w:b/>
          <w:bCs/>
          <w:color w:val="181614"/>
          <w:sz w:val="28"/>
          <w:szCs w:val="28"/>
        </w:rPr>
        <w:t xml:space="preserve">Hypothèses différenciantes par scénario</w:t>
      </w:r>
    </w:p>
    <w:p>
      <w:pPr>
        <w:spacing w:after="80" w:before="80"/>
      </w:pPr>
      <w:r>
        <w:rPr>
          <w:rFonts w:ascii="Arial" w:cs="Arial" w:eastAsia="Arial" w:hAnsi="Arial"/>
          <w:b/>
          <w:bCs/>
          <w:color w:val="181614"/>
          <w:sz w:val="22"/>
          <w:szCs w:val="22"/>
        </w:rPr>
        <w:t xml:space="preserve">Scénario prudent : </w:t>
      </w:r>
      <w:r>
        <w:rPr>
          <w:rFonts w:ascii="Arial" w:cs="Arial" w:eastAsia="Arial" w:hAnsi="Arial"/>
          <w:color w:val="4a4540"/>
          <w:sz w:val="22"/>
          <w:szCs w:val="22"/>
        </w:rPr>
        <w:t xml:space="preserve">Pas de pré-lancement structuré. Montée en charge progressive sur 18 mois. Pas d'effet saisonnier exploité. Boutique non activée en An 1. Pas de Fighter in Residence.</w:t>
      </w:r>
    </w:p>
    <w:p>
      <w:pPr>
        <w:spacing w:after="80" w:before="80"/>
      </w:pPr>
      <w:r>
        <w:rPr>
          <w:rFonts w:ascii="Arial" w:cs="Arial" w:eastAsia="Arial" w:hAnsi="Arial"/>
          <w:b/>
          <w:bCs/>
          <w:color w:val="181614"/>
          <w:sz w:val="22"/>
          <w:szCs w:val="22"/>
        </w:rPr>
        <w:t xml:space="preserve">Scénario cible ★ : </w:t>
      </w:r>
      <w:r>
        <w:rPr>
          <w:rFonts w:ascii="Arial" w:cs="Arial" w:eastAsia="Arial" w:hAnsi="Arial"/>
          <w:color w:val="4a4540"/>
          <w:sz w:val="22"/>
          <w:szCs w:val="22"/>
        </w:rPr>
        <w:t xml:space="preserve">Pré-vente 80–100 membres fondateurs. Snacking et boutique actifs dès J1. Offre B2B ciblée. Fight night mensuel dès M6. Partenariats RDX Sports et RVCA actifs.</w:t>
      </w:r>
    </w:p>
    <w:p>
      <w:pPr>
        <w:spacing w:after="80" w:before="80"/>
      </w:pPr>
      <w:r>
        <w:rPr>
          <w:rFonts w:ascii="Arial" w:cs="Arial" w:eastAsia="Arial" w:hAnsi="Arial"/>
          <w:b/>
          <w:bCs/>
          <w:color w:val="181614"/>
          <w:sz w:val="22"/>
          <w:szCs w:val="22"/>
        </w:rPr>
        <w:t xml:space="preserve">Scénario dynamique : </w:t>
      </w:r>
      <w:r>
        <w:rPr>
          <w:rFonts w:ascii="Arial" w:cs="Arial" w:eastAsia="Arial" w:hAnsi="Arial"/>
          <w:color w:val="4a4540"/>
          <w:sz w:val="22"/>
          <w:szCs w:val="22"/>
        </w:rPr>
        <w:t xml:space="preserve">Pré-vente 120+ membres. Effet été pleinement exploité (tourisme côtier +40 %). Fighter in Residence dès An 1. Studio contenu actif. Partenariat RVCA avec visibilité nationale.</w:t>
      </w:r>
    </w:p>
    <w:p>
      <w:r>
        <w:br w:type="page"/>
      </w:r>
    </w:p>
    <w:p>
      <w:pPr>
        <w:spacing w:after="60" w:before="100"/>
      </w:pPr>
      <w:r>
        <w:rPr>
          <w:rFonts w:ascii="Arial" w:cs="Arial" w:eastAsia="Arial" w:hAnsi="Arial"/>
          <w:b/>
          <w:bCs/>
          <w:color w:val="C8241A"/>
          <w:sz w:val="17"/>
          <w:szCs w:val="17"/>
        </w:rPr>
        <w:t xml:space="preserve">— 11 — ROADMAP</w:t>
      </w:r>
    </w:p>
    <w:p>
      <w:pPr>
        <w:pStyle w:val="Heading1"/>
        <w:spacing w:after="200" w:before="400"/>
      </w:pPr>
      <w:r>
        <w:rPr>
          <w:rFonts w:ascii="Arial" w:cs="Arial" w:eastAsia="Arial" w:hAnsi="Arial"/>
          <w:b/>
          <w:bCs/>
          <w:color w:val="181614"/>
          <w:sz w:val="36"/>
          <w:szCs w:val="36"/>
        </w:rPr>
        <w:t xml:space="preserve">PLAN DE DÉPLOIEMENT</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Phase 1 · M-3 à M0 — Pré-lancement</w:t>
      </w:r>
    </w:p>
    <w:p>
      <w:pPr>
        <w:pStyle w:val="ListParagraph"/>
        <w:numPr>
          <w:ilvl w:val="0"/>
          <w:numId w:val="2"/>
        </w:numPr>
        <w:spacing w:after="60" w:before="60"/>
      </w:pPr>
      <w:r>
        <w:rPr>
          <w:rFonts w:ascii="Arial" w:cs="Arial" w:eastAsia="Arial" w:hAnsi="Arial"/>
          <w:color w:val="4a4540"/>
          <w:sz w:val="22"/>
          <w:szCs w:val="22"/>
        </w:rPr>
        <w:t xml:space="preserve">Finalisation structure juridique (SAS / SARL)</w:t>
      </w:r>
    </w:p>
    <w:p>
      <w:pPr>
        <w:pStyle w:val="ListParagraph"/>
        <w:numPr>
          <w:ilvl w:val="0"/>
          <w:numId w:val="2"/>
        </w:numPr>
        <w:spacing w:after="60" w:before="60"/>
      </w:pPr>
      <w:r>
        <w:rPr>
          <w:rFonts w:ascii="Arial" w:cs="Arial" w:eastAsia="Arial" w:hAnsi="Arial"/>
          <w:color w:val="4a4540"/>
          <w:sz w:val="22"/>
          <w:szCs w:val="22"/>
        </w:rPr>
        <w:t xml:space="preserve">Signature du bail commercial</w:t>
      </w:r>
    </w:p>
    <w:p>
      <w:pPr>
        <w:pStyle w:val="ListParagraph"/>
        <w:numPr>
          <w:ilvl w:val="0"/>
          <w:numId w:val="2"/>
        </w:numPr>
        <w:spacing w:after="60" w:before="60"/>
      </w:pPr>
      <w:r>
        <w:rPr>
          <w:rFonts w:ascii="Arial" w:cs="Arial" w:eastAsia="Arial" w:hAnsi="Arial"/>
          <w:color w:val="4a4540"/>
          <w:sz w:val="22"/>
          <w:szCs w:val="22"/>
        </w:rPr>
        <w:t xml:space="preserve">Lancement réseaux sociaux &amp; campagne pré-inscription</w:t>
      </w:r>
    </w:p>
    <w:p>
      <w:pPr>
        <w:pStyle w:val="ListParagraph"/>
        <w:numPr>
          <w:ilvl w:val="0"/>
          <w:numId w:val="2"/>
        </w:numPr>
        <w:spacing w:after="60" w:before="60"/>
      </w:pPr>
      <w:r>
        <w:rPr>
          <w:rFonts w:ascii="Arial" w:cs="Arial" w:eastAsia="Arial" w:hAnsi="Arial"/>
          <w:color w:val="4a4540"/>
          <w:sz w:val="22"/>
          <w:szCs w:val="22"/>
        </w:rPr>
        <w:t xml:space="preserve">Démarche partenariats (RDX Sports, RVCA, CE locaux)</w:t>
      </w:r>
    </w:p>
    <w:p>
      <w:pPr>
        <w:pStyle w:val="ListParagraph"/>
        <w:numPr>
          <w:ilvl w:val="0"/>
          <w:numId w:val="2"/>
        </w:numPr>
        <w:spacing w:after="60" w:before="60"/>
      </w:pPr>
      <w:r>
        <w:rPr>
          <w:rFonts w:ascii="Arial" w:cs="Arial" w:eastAsia="Arial" w:hAnsi="Arial"/>
          <w:color w:val="4a4540"/>
          <w:sz w:val="22"/>
          <w:szCs w:val="22"/>
        </w:rPr>
        <w:t xml:space="preserve">Recrutement 2 coachs titulaires (BPJEPS minimum)</w:t>
      </w:r>
    </w:p>
    <w:p>
      <w:pPr>
        <w:pStyle w:val="ListParagraph"/>
        <w:numPr>
          <w:ilvl w:val="0"/>
          <w:numId w:val="2"/>
        </w:numPr>
        <w:spacing w:after="60" w:before="60"/>
      </w:pPr>
      <w:r>
        <w:rPr>
          <w:rFonts w:ascii="Arial" w:cs="Arial" w:eastAsia="Arial" w:hAnsi="Arial"/>
          <w:color w:val="4a4540"/>
          <w:sz w:val="22"/>
          <w:szCs w:val="22"/>
        </w:rPr>
        <w:t xml:space="preserve">Aménagement &amp; travaux du local (durée 6–8 semaines)</w:t>
      </w:r>
    </w:p>
    <w:p>
      <w:pPr>
        <w:pStyle w:val="ListParagraph"/>
        <w:numPr>
          <w:ilvl w:val="0"/>
          <w:numId w:val="2"/>
        </w:numPr>
        <w:spacing w:after="60" w:before="60"/>
      </w:pPr>
      <w:r>
        <w:rPr>
          <w:rFonts w:ascii="Arial" w:cs="Arial" w:eastAsia="Arial" w:hAnsi="Arial"/>
          <w:color w:val="4a4540"/>
          <w:sz w:val="22"/>
          <w:szCs w:val="22"/>
        </w:rPr>
        <w:t xml:space="preserve">Formation barista &amp; mise en place coffee shop</w:t>
      </w:r>
    </w:p>
    <w:p>
      <w:pPr>
        <w:pStyle w:val="ListParagraph"/>
        <w:numPr>
          <w:ilvl w:val="0"/>
          <w:numId w:val="2"/>
        </w:numPr>
        <w:spacing w:after="60" w:before="60"/>
      </w:pPr>
      <w:r>
        <w:rPr>
          <w:rFonts w:ascii="Arial" w:cs="Arial" w:eastAsia="Arial" w:hAnsi="Arial"/>
          <w:color w:val="4a4540"/>
          <w:sz w:val="22"/>
          <w:szCs w:val="22"/>
        </w:rPr>
        <w:t xml:space="preserve">Objectif : 80–120 membres fondateurs avant J1</w:t>
      </w:r>
    </w:p>
    <w:p>
      <w:pPr>
        <w:pStyle w:val="Heading2"/>
        <w:spacing w:after="160" w:before="300"/>
      </w:pPr>
      <w:r>
        <w:rPr>
          <w:rFonts w:ascii="Arial" w:cs="Arial" w:eastAsia="Arial" w:hAnsi="Arial"/>
          <w:b/>
          <w:bCs/>
          <w:color w:val="181614"/>
          <w:sz w:val="28"/>
          <w:szCs w:val="28"/>
        </w:rPr>
        <w:t xml:space="preserve">Phase 2 · M1 à M6 — Lancement</w:t>
      </w:r>
    </w:p>
    <w:p>
      <w:pPr>
        <w:pStyle w:val="ListParagraph"/>
        <w:numPr>
          <w:ilvl w:val="0"/>
          <w:numId w:val="2"/>
        </w:numPr>
        <w:spacing w:after="60" w:before="60"/>
      </w:pPr>
      <w:r>
        <w:rPr>
          <w:rFonts w:ascii="Arial" w:cs="Arial" w:eastAsia="Arial" w:hAnsi="Arial"/>
          <w:color w:val="4a4540"/>
          <w:sz w:val="22"/>
          <w:szCs w:val="22"/>
        </w:rPr>
        <w:t xml:space="preserve">Ouverture publique : combat + coffee + snacking + boutique</w:t>
      </w:r>
    </w:p>
    <w:p>
      <w:pPr>
        <w:pStyle w:val="ListParagraph"/>
        <w:numPr>
          <w:ilvl w:val="0"/>
          <w:numId w:val="2"/>
        </w:numPr>
        <w:spacing w:after="60" w:before="60"/>
      </w:pPr>
      <w:r>
        <w:rPr>
          <w:rFonts w:ascii="Arial" w:cs="Arial" w:eastAsia="Arial" w:hAnsi="Arial"/>
          <w:color w:val="4a4540"/>
          <w:sz w:val="22"/>
          <w:szCs w:val="22"/>
        </w:rPr>
        <w:t xml:space="preserve">Cours adultes 5 jours/semaine · cours kids 3 jours/semaine</w:t>
      </w:r>
    </w:p>
    <w:p>
      <w:pPr>
        <w:pStyle w:val="ListParagraph"/>
        <w:numPr>
          <w:ilvl w:val="0"/>
          <w:numId w:val="2"/>
        </w:numPr>
        <w:spacing w:after="60" w:before="60"/>
      </w:pPr>
      <w:r>
        <w:rPr>
          <w:rFonts w:ascii="Arial" w:cs="Arial" w:eastAsia="Arial" w:hAnsi="Arial"/>
          <w:color w:val="4a4540"/>
          <w:sz w:val="22"/>
          <w:szCs w:val="22"/>
        </w:rPr>
        <w:t xml:space="preserve">Offre B2B activée : premier contact CE &amp; agences événementielles</w:t>
      </w:r>
    </w:p>
    <w:p>
      <w:pPr>
        <w:pStyle w:val="ListParagraph"/>
        <w:numPr>
          <w:ilvl w:val="0"/>
          <w:numId w:val="2"/>
        </w:numPr>
        <w:spacing w:after="60" w:before="60"/>
      </w:pPr>
      <w:r>
        <w:rPr>
          <w:rFonts w:ascii="Arial" w:cs="Arial" w:eastAsia="Arial" w:hAnsi="Arial"/>
          <w:color w:val="4a4540"/>
          <w:sz w:val="22"/>
          <w:szCs w:val="22"/>
        </w:rPr>
        <w:t xml:space="preserve">Planning fight nights : premier événement M4</w:t>
      </w:r>
    </w:p>
    <w:p>
      <w:pPr>
        <w:pStyle w:val="ListParagraph"/>
        <w:numPr>
          <w:ilvl w:val="0"/>
          <w:numId w:val="2"/>
        </w:numPr>
        <w:spacing w:after="60" w:before="60"/>
      </w:pPr>
      <w:r>
        <w:rPr>
          <w:rFonts w:ascii="Arial" w:cs="Arial" w:eastAsia="Arial" w:hAnsi="Arial"/>
          <w:color w:val="4a4540"/>
          <w:sz w:val="22"/>
          <w:szCs w:val="22"/>
        </w:rPr>
        <w:t xml:space="preserve">Objectif : 200 membres en fin de Phase 2</w:t>
      </w:r>
    </w:p>
    <w:p>
      <w:pPr>
        <w:pStyle w:val="Heading2"/>
        <w:spacing w:after="160" w:before="300"/>
      </w:pPr>
      <w:r>
        <w:rPr>
          <w:rFonts w:ascii="Arial" w:cs="Arial" w:eastAsia="Arial" w:hAnsi="Arial"/>
          <w:b/>
          <w:bCs/>
          <w:color w:val="181614"/>
          <w:sz w:val="28"/>
          <w:szCs w:val="28"/>
        </w:rPr>
        <w:t xml:space="preserve">Phase 3 · M6 à M18 — Croissance</w:t>
      </w:r>
    </w:p>
    <w:p>
      <w:pPr>
        <w:pStyle w:val="ListParagraph"/>
        <w:numPr>
          <w:ilvl w:val="0"/>
          <w:numId w:val="2"/>
        </w:numPr>
        <w:spacing w:after="60" w:before="60"/>
      </w:pPr>
      <w:r>
        <w:rPr>
          <w:rFonts w:ascii="Arial" w:cs="Arial" w:eastAsia="Arial" w:hAnsi="Arial"/>
          <w:color w:val="4a4540"/>
          <w:sz w:val="22"/>
          <w:szCs w:val="22"/>
        </w:rPr>
        <w:t xml:space="preserve">Activation module Recovery (sauna + ice bath)</w:t>
      </w:r>
    </w:p>
    <w:p>
      <w:pPr>
        <w:pStyle w:val="ListParagraph"/>
        <w:numPr>
          <w:ilvl w:val="0"/>
          <w:numId w:val="2"/>
        </w:numPr>
        <w:spacing w:after="60" w:before="60"/>
      </w:pPr>
      <w:r>
        <w:rPr>
          <w:rFonts w:ascii="Arial" w:cs="Arial" w:eastAsia="Arial" w:hAnsi="Arial"/>
          <w:color w:val="4a4540"/>
          <w:sz w:val="22"/>
          <w:szCs w:val="22"/>
        </w:rPr>
        <w:t xml:space="preserve">Premier Fighter in Residence · masterclass + media day</w:t>
      </w:r>
    </w:p>
    <w:p>
      <w:pPr>
        <w:pStyle w:val="ListParagraph"/>
        <w:numPr>
          <w:ilvl w:val="0"/>
          <w:numId w:val="2"/>
        </w:numPr>
        <w:spacing w:after="60" w:before="60"/>
      </w:pPr>
      <w:r>
        <w:rPr>
          <w:rFonts w:ascii="Arial" w:cs="Arial" w:eastAsia="Arial" w:hAnsi="Arial"/>
          <w:color w:val="4a4540"/>
          <w:sz w:val="22"/>
          <w:szCs w:val="22"/>
        </w:rPr>
        <w:t xml:space="preserve">Développement studio contenu (photo/vidéo)</w:t>
      </w:r>
    </w:p>
    <w:p>
      <w:pPr>
        <w:pStyle w:val="ListParagraph"/>
        <w:numPr>
          <w:ilvl w:val="0"/>
          <w:numId w:val="2"/>
        </w:numPr>
        <w:spacing w:after="60" w:before="60"/>
      </w:pPr>
      <w:r>
        <w:rPr>
          <w:rFonts w:ascii="Arial" w:cs="Arial" w:eastAsia="Arial" w:hAnsi="Arial"/>
          <w:color w:val="4a4540"/>
          <w:sz w:val="22"/>
          <w:szCs w:val="22"/>
        </w:rPr>
        <w:t xml:space="preserve">Programme compétition kids : tournois internes + régionaux</w:t>
      </w:r>
    </w:p>
    <w:p>
      <w:pPr>
        <w:pStyle w:val="ListParagraph"/>
        <w:numPr>
          <w:ilvl w:val="0"/>
          <w:numId w:val="2"/>
        </w:numPr>
        <w:spacing w:after="60" w:before="60"/>
      </w:pPr>
      <w:r>
        <w:rPr>
          <w:rFonts w:ascii="Arial" w:cs="Arial" w:eastAsia="Arial" w:hAnsi="Arial"/>
          <w:color w:val="4a4540"/>
          <w:sz w:val="22"/>
          <w:szCs w:val="22"/>
        </w:rPr>
        <w:t xml:space="preserve">Objectif : 380 membres · CA mensuel 82 000 €</w:t>
      </w:r>
    </w:p>
    <w:p>
      <w:pPr>
        <w:pStyle w:val="Heading2"/>
        <w:spacing w:after="160" w:before="300"/>
      </w:pPr>
      <w:r>
        <w:rPr>
          <w:rFonts w:ascii="Arial" w:cs="Arial" w:eastAsia="Arial" w:hAnsi="Arial"/>
          <w:b/>
          <w:bCs/>
          <w:color w:val="181614"/>
          <w:sz w:val="28"/>
          <w:szCs w:val="28"/>
        </w:rPr>
        <w:t xml:space="preserve">Phase 4 · M18+ — Expansion</w:t>
      </w:r>
    </w:p>
    <w:p>
      <w:pPr>
        <w:pStyle w:val="ListParagraph"/>
        <w:numPr>
          <w:ilvl w:val="0"/>
          <w:numId w:val="2"/>
        </w:numPr>
        <w:spacing w:after="60" w:before="60"/>
      </w:pPr>
      <w:r>
        <w:rPr>
          <w:rFonts w:ascii="Arial" w:cs="Arial" w:eastAsia="Arial" w:hAnsi="Arial"/>
          <w:color w:val="4a4540"/>
          <w:sz w:val="22"/>
          <w:szCs w:val="22"/>
        </w:rPr>
        <w:t xml:space="preserve">Étude d'un second site (Saint-Malo ou Rennes)</w:t>
      </w:r>
    </w:p>
    <w:p>
      <w:pPr>
        <w:pStyle w:val="ListParagraph"/>
        <w:numPr>
          <w:ilvl w:val="0"/>
          <w:numId w:val="2"/>
        </w:numPr>
        <w:spacing w:after="60" w:before="60"/>
      </w:pPr>
      <w:r>
        <w:rPr>
          <w:rFonts w:ascii="Arial" w:cs="Arial" w:eastAsia="Arial" w:hAnsi="Arial"/>
          <w:color w:val="4a4540"/>
          <w:sz w:val="22"/>
          <w:szCs w:val="22"/>
        </w:rPr>
        <w:t xml:space="preserve">Développement de la marque nationale (merch, digital)</w:t>
      </w:r>
    </w:p>
    <w:p>
      <w:pPr>
        <w:pStyle w:val="ListParagraph"/>
        <w:numPr>
          <w:ilvl w:val="0"/>
          <w:numId w:val="2"/>
        </w:numPr>
        <w:spacing w:after="60" w:before="60"/>
      </w:pPr>
      <w:r>
        <w:rPr>
          <w:rFonts w:ascii="Arial" w:cs="Arial" w:eastAsia="Arial" w:hAnsi="Arial"/>
          <w:color w:val="4a4540"/>
          <w:sz w:val="22"/>
          <w:szCs w:val="22"/>
        </w:rPr>
        <w:t xml:space="preserve">Franchise ou licensing : déploiement du modèle</w:t>
      </w:r>
    </w:p>
    <w:p>
      <w:pPr>
        <w:pStyle w:val="ListParagraph"/>
        <w:numPr>
          <w:ilvl w:val="0"/>
          <w:numId w:val="2"/>
        </w:numPr>
        <w:spacing w:after="60" w:before="60"/>
      </w:pPr>
      <w:r>
        <w:rPr>
          <w:rFonts w:ascii="Arial" w:cs="Arial" w:eastAsia="Arial" w:hAnsi="Arial"/>
          <w:color w:val="4a4540"/>
          <w:sz w:val="22"/>
          <w:szCs w:val="22"/>
        </w:rPr>
        <w:t xml:space="preserve">Objectif : 450+ membres · CA annuel 1,2 M€</w:t>
      </w:r>
    </w:p>
    <w:p>
      <w:r>
        <w:br w:type="page"/>
      </w:r>
    </w:p>
    <w:p>
      <w:pPr>
        <w:spacing w:after="60" w:before="100"/>
      </w:pPr>
      <w:r>
        <w:rPr>
          <w:rFonts w:ascii="Arial" w:cs="Arial" w:eastAsia="Arial" w:hAnsi="Arial"/>
          <w:b/>
          <w:bCs/>
          <w:color w:val="C8241A"/>
          <w:sz w:val="17"/>
          <w:szCs w:val="17"/>
        </w:rPr>
        <w:t xml:space="preserve">— 12 — FACTEURS CLÉS &amp; RISQUES</w:t>
      </w:r>
    </w:p>
    <w:p>
      <w:pPr>
        <w:pStyle w:val="Heading1"/>
        <w:spacing w:after="200" w:before="400"/>
      </w:pPr>
      <w:r>
        <w:rPr>
          <w:rFonts w:ascii="Arial" w:cs="Arial" w:eastAsia="Arial" w:hAnsi="Arial"/>
          <w:b/>
          <w:bCs/>
          <w:color w:val="181614"/>
          <w:sz w:val="36"/>
          <w:szCs w:val="36"/>
        </w:rPr>
        <w:t xml:space="preserve">FACTEURS CLÉS DE SUCCÈS &amp; RISQUES</w:t>
      </w:r>
    </w:p>
    <w:p>
      <w:pPr>
        <w:pBdr>
          <w:bottom w:val="single" w:color="C8241A" w:sz="4"/>
        </w:pBdr>
        <w:spacing w:after="200" w:before="200"/>
      </w:pPr>
    </w:p>
    <w:p>
      <w:pPr>
        <w:pStyle w:val="Heading2"/>
        <w:spacing w:after="160" w:before="300"/>
      </w:pPr>
      <w:r>
        <w:rPr>
          <w:rFonts w:ascii="Arial" w:cs="Arial" w:eastAsia="Arial" w:hAnsi="Arial"/>
          <w:b/>
          <w:bCs/>
          <w:color w:val="181614"/>
          <w:sz w:val="28"/>
          <w:szCs w:val="28"/>
        </w:rPr>
        <w:t xml:space="preserve">Facteurs clés de succès</w:t>
      </w:r>
    </w:p>
    <w:p>
      <w:pPr>
        <w:spacing w:after="80" w:before="80"/>
      </w:pPr>
      <w:r>
        <w:rPr>
          <w:rFonts w:ascii="Arial" w:cs="Arial" w:eastAsia="Arial" w:hAnsi="Arial"/>
          <w:b/>
          <w:bCs/>
          <w:color w:val="181614"/>
          <w:sz w:val="22"/>
          <w:szCs w:val="22"/>
        </w:rPr>
        <w:t xml:space="preserve">1. Branding &amp; identité forte : </w:t>
      </w:r>
      <w:r>
        <w:rPr>
          <w:rFonts w:ascii="Arial" w:cs="Arial" w:eastAsia="Arial" w:hAnsi="Arial"/>
          <w:color w:val="4a4540"/>
          <w:sz w:val="22"/>
          <w:szCs w:val="22"/>
        </w:rPr>
        <w:t xml:space="preserve">FightCoffee doit être reconnaissable immédiatement. L'identité visuelle, le naming, le merch et la présence digitale sont des investissements prioritaires dès le pré-lancement.</w:t>
      </w:r>
    </w:p>
    <w:p>
      <w:pPr>
        <w:spacing w:after="80" w:before="80"/>
      </w:pPr>
      <w:r>
        <w:rPr>
          <w:rFonts w:ascii="Arial" w:cs="Arial" w:eastAsia="Arial" w:hAnsi="Arial"/>
          <w:b/>
          <w:bCs/>
          <w:color w:val="181614"/>
          <w:sz w:val="22"/>
          <w:szCs w:val="22"/>
        </w:rPr>
        <w:t xml:space="preserve">2. Qualité pédagogique : </w:t>
      </w:r>
      <w:r>
        <w:rPr>
          <w:rFonts w:ascii="Arial" w:cs="Arial" w:eastAsia="Arial" w:hAnsi="Arial"/>
          <w:color w:val="4a4540"/>
          <w:sz w:val="22"/>
          <w:szCs w:val="22"/>
        </w:rPr>
        <w:t xml:space="preserve">Les coachs sont l'actif principal. Un mauvais recrutement détruit la réputation en quelques semaines. Profils : BPJEPS + compétition + pédagogie débutants.</w:t>
      </w:r>
    </w:p>
    <w:p>
      <w:pPr>
        <w:spacing w:after="80" w:before="80"/>
      </w:pPr>
      <w:r>
        <w:rPr>
          <w:rFonts w:ascii="Arial" w:cs="Arial" w:eastAsia="Arial" w:hAnsi="Arial"/>
          <w:b/>
          <w:bCs/>
          <w:color w:val="181614"/>
          <w:sz w:val="22"/>
          <w:szCs w:val="22"/>
        </w:rPr>
        <w:t xml:space="preserve">3. Pré-lancement structuré : </w:t>
      </w:r>
      <w:r>
        <w:rPr>
          <w:rFonts w:ascii="Arial" w:cs="Arial" w:eastAsia="Arial" w:hAnsi="Arial"/>
          <w:color w:val="4a4540"/>
          <w:sz w:val="22"/>
          <w:szCs w:val="22"/>
        </w:rPr>
        <w:t xml:space="preserve">Les membres fondateurs créent l'élan et la preuve sociale. Sans pré-lancement, la montée en charge est plus lente et la trésorerie plus tendue.</w:t>
      </w:r>
    </w:p>
    <w:p>
      <w:pPr>
        <w:spacing w:after="80" w:before="80"/>
      </w:pPr>
      <w:r>
        <w:rPr>
          <w:rFonts w:ascii="Arial" w:cs="Arial" w:eastAsia="Arial" w:hAnsi="Arial"/>
          <w:b/>
          <w:bCs/>
          <w:color w:val="181614"/>
          <w:sz w:val="22"/>
          <w:szCs w:val="22"/>
        </w:rPr>
        <w:t xml:space="preserve">4. Offre kids bien exécutée : </w:t>
      </w:r>
      <w:r>
        <w:rPr>
          <w:rFonts w:ascii="Arial" w:cs="Arial" w:eastAsia="Arial" w:hAnsi="Arial"/>
          <w:color w:val="4a4540"/>
          <w:sz w:val="22"/>
          <w:szCs w:val="22"/>
        </w:rPr>
        <w:t xml:space="preserve">Le segment enfants / ados génère un double revenu (cours + café parents) et des membres long terme. Il nécessite un encadrement irréprochable et des certifications spécifiques.</w:t>
      </w:r>
    </w:p>
    <w:p>
      <w:pPr>
        <w:spacing w:after="80" w:before="80"/>
      </w:pPr>
      <w:r>
        <w:rPr>
          <w:rFonts w:ascii="Arial" w:cs="Arial" w:eastAsia="Arial" w:hAnsi="Arial"/>
          <w:b/>
          <w:bCs/>
          <w:color w:val="181614"/>
          <w:sz w:val="22"/>
          <w:szCs w:val="22"/>
        </w:rPr>
        <w:t xml:space="preserve">5. Expérience &amp; atmosphère : </w:t>
      </w:r>
      <w:r>
        <w:rPr>
          <w:rFonts w:ascii="Arial" w:cs="Arial" w:eastAsia="Arial" w:hAnsi="Arial"/>
          <w:color w:val="4a4540"/>
          <w:sz w:val="22"/>
          <w:szCs w:val="22"/>
        </w:rPr>
        <w:t xml:space="preserve">L'ambiance du lieu est le produit autant que les cours. Musique, éclairage, odeur du café, signalétique, propreté : chaque détail compte.</w:t>
      </w:r>
    </w:p>
    <w:p>
      <w:pPr>
        <w:pStyle w:val="Heading2"/>
        <w:spacing w:after="160" w:before="300"/>
      </w:pPr>
      <w:r>
        <w:rPr>
          <w:rFonts w:ascii="Arial" w:cs="Arial" w:eastAsia="Arial" w:hAnsi="Arial"/>
          <w:b/>
          <w:bCs/>
          <w:color w:val="181614"/>
          <w:sz w:val="28"/>
          <w:szCs w:val="28"/>
        </w:rPr>
        <w:t xml:space="preserve">Risques identifiés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RISQUE</w:t>
            </w:r>
          </w:p>
        </w:tc>
        <w:tc>
          <w:tcPr>
            <w:tcW w:type="dxa" w:w="140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NIVEAU</w:t>
            </w:r>
          </w:p>
        </w:tc>
        <w:tc>
          <w:tcPr>
            <w:tcW w:type="dxa" w:w="5160"/>
            <w:tcBorders>
              <w:top w:val="single" w:color="D8D4CC" w:sz="1"/>
              <w:left w:val="single" w:color="D8D4CC" w:sz="1"/>
              <w:bottom w:val="single" w:color="D8D4CC" w:sz="1"/>
              <w:right w:val="single" w:color="D8D4CC" w:sz="1"/>
            </w:tcBorders>
            <w:shd w:fill="18161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Montée en charge trop lente</w:t>
            </w:r>
          </w:p>
        </w:tc>
        <w:tc>
          <w:tcPr>
            <w:tcW w:type="dxa" w:w="14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9A7A2E"/>
                <w:sz w:val="20"/>
                <w:szCs w:val="20"/>
              </w:rPr>
              <w:t xml:space="preserve">MODÉRÉ</w:t>
            </w:r>
          </w:p>
        </w:tc>
        <w:tc>
          <w:tcPr>
            <w:tcW w:type="dxa" w:w="51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4a4540"/>
                <w:sz w:val="20"/>
                <w:szCs w:val="20"/>
              </w:rPr>
              <w:t xml:space="preserve">Pré-lancement actif. Offre B2B dès J1. Tarif fondateur limité dans le temps.</w:t>
            </w:r>
          </w:p>
        </w:tc>
      </w:tr>
      <w:tr>
        <w:tc>
          <w:tcPr>
            <w:tcW w:type="dxa" w:w="28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181614"/>
                <w:sz w:val="21"/>
                <w:szCs w:val="21"/>
              </w:rPr>
              <w:t xml:space="preserve">Loyer trop élevé / local inadapté</w:t>
            </w:r>
          </w:p>
        </w:tc>
        <w:tc>
          <w:tcPr>
            <w:tcW w:type="dxa" w:w="140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pPr>
              <w:jc w:val="center"/>
            </w:pPr>
            <w:r>
              <w:rPr>
                <w:rFonts w:ascii="Arial" w:cs="Arial" w:eastAsia="Arial" w:hAnsi="Arial"/>
                <w:b/>
                <w:bCs/>
                <w:color w:val="C8241A"/>
                <w:sz w:val="20"/>
                <w:szCs w:val="20"/>
              </w:rPr>
              <w:t xml:space="preserve">ÉLEVÉ</w:t>
            </w:r>
          </w:p>
        </w:tc>
        <w:tc>
          <w:tcPr>
            <w:tcW w:type="dxa" w:w="5160"/>
            <w:tcBorders>
              <w:top w:val="single" w:color="D8D4CC" w:sz="1"/>
              <w:left w:val="single" w:color="D8D4CC" w:sz="1"/>
              <w:bottom w:val="single" w:color="D8D4CC" w:sz="1"/>
              <w:right w:val="single" w:color="D8D4CC" w:sz="1"/>
            </w:tcBorders>
            <w:shd w:fill="F5ECE9" w:val="clear"/>
            <w:tcMar>
              <w:top w:type="dxa" w:w="80"/>
              <w:left w:type="dxa" w:w="120"/>
              <w:bottom w:type="dxa" w:w="80"/>
              <w:right w:type="dxa" w:w="120"/>
            </w:tcMar>
          </w:tcPr>
          <w:p>
            <w:r>
              <w:rPr>
                <w:rFonts w:ascii="Arial" w:cs="Arial" w:eastAsia="Arial" w:hAnsi="Arial"/>
                <w:color w:val="4a4540"/>
                <w:sz w:val="20"/>
                <w:szCs w:val="20"/>
              </w:rPr>
              <w:t xml:space="preserve">Analyse rigoureuse avant signature. Négocier franchise de loyer 3–6 mois. Clause de sortie.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Départ d'un coach clé</w:t>
            </w:r>
          </w:p>
        </w:tc>
        <w:tc>
          <w:tcPr>
            <w:tcW w:type="dxa" w:w="1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9A7A2E"/>
                <w:sz w:val="20"/>
                <w:szCs w:val="20"/>
              </w:rPr>
              <w:t xml:space="preserve">MODÉRÉ</w:t>
            </w:r>
          </w:p>
        </w:tc>
        <w:tc>
          <w:tcPr>
            <w:tcW w:type="dxa" w:w="51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2 coachs minimum par discipline principale. Contrat avec clause de non-concurrence.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Sous-performance coffee shop</w:t>
            </w:r>
          </w:p>
        </w:tc>
        <w:tc>
          <w:tcPr>
            <w:tcW w:type="dxa" w:w="1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4a4540"/>
                <w:sz w:val="20"/>
                <w:szCs w:val="20"/>
              </w:rPr>
              <w:t xml:space="preserve">FAIBLE</w:t>
            </w:r>
          </w:p>
        </w:tc>
        <w:tc>
          <w:tcPr>
            <w:tcW w:type="dxa" w:w="51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Barista formé dès J1. Offre simple et sans cuisine lourde. Réajustement tarifs rapide.</w:t>
            </w:r>
          </w:p>
        </w:tc>
      </w:tr>
      <w:tr>
        <w:tc>
          <w:tcPr>
            <w:tcW w:type="dxa" w:w="2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Saisonnalité (creux hiver)</w:t>
            </w:r>
          </w:p>
        </w:tc>
        <w:tc>
          <w:tcPr>
            <w:tcW w:type="dxa" w:w="14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9A7A2E"/>
                <w:sz w:val="20"/>
                <w:szCs w:val="20"/>
              </w:rPr>
              <w:t xml:space="preserve">MODÉRÉ</w:t>
            </w:r>
          </w:p>
        </w:tc>
        <w:tc>
          <w:tcPr>
            <w:tcW w:type="dxa" w:w="516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Stages vacances, offre B2B en creux, fight nights pour animer. Abonnements annuels.</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181614"/>
                <w:sz w:val="21"/>
                <w:szCs w:val="21"/>
              </w:rPr>
              <w:t xml:space="preserve">Entrée d'un concurrent lifestyle</w:t>
            </w:r>
          </w:p>
        </w:tc>
        <w:tc>
          <w:tcPr>
            <w:tcW w:type="dxa" w:w="1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jc w:val="center"/>
            </w:pPr>
            <w:r>
              <w:rPr>
                <w:rFonts w:ascii="Arial" w:cs="Arial" w:eastAsia="Arial" w:hAnsi="Arial"/>
                <w:b/>
                <w:bCs/>
                <w:color w:val="4a4540"/>
                <w:sz w:val="20"/>
                <w:szCs w:val="20"/>
              </w:rPr>
              <w:t xml:space="preserve">FAIBLE (3 ans)</w:t>
            </w:r>
          </w:p>
        </w:tc>
        <w:tc>
          <w:tcPr>
            <w:tcW w:type="dxa" w:w="516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r>
              <w:rPr>
                <w:rFonts w:ascii="Arial" w:cs="Arial" w:eastAsia="Arial" w:hAnsi="Arial"/>
                <w:color w:val="4a4540"/>
                <w:sz w:val="20"/>
                <w:szCs w:val="20"/>
              </w:rPr>
              <w:t xml:space="preserve">Avance à l'allumage. Communauté = barrière à l'entrée. Marque forte dès An 1.</w:t>
            </w:r>
          </w:p>
        </w:tc>
      </w:tr>
      <w:tr>
        <w:tc>
          <w:tcPr>
            <w:tcW w:type="dxa" w:w="28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181614"/>
                <w:sz w:val="21"/>
                <w:szCs w:val="21"/>
              </w:rPr>
              <w:t xml:space="preserve">Réglementation ERP / sécurité</w:t>
            </w:r>
          </w:p>
        </w:tc>
        <w:tc>
          <w:tcPr>
            <w:tcW w:type="dxa" w:w="140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pPr>
              <w:jc w:val="center"/>
            </w:pPr>
            <w:r>
              <w:rPr>
                <w:rFonts w:ascii="Arial" w:cs="Arial" w:eastAsia="Arial" w:hAnsi="Arial"/>
                <w:b/>
                <w:bCs/>
                <w:color w:val="9A7A2E"/>
                <w:sz w:val="20"/>
                <w:szCs w:val="20"/>
              </w:rPr>
              <w:t xml:space="preserve">MODÉRÉ</w:t>
            </w:r>
          </w:p>
        </w:tc>
        <w:tc>
          <w:tcPr>
            <w:tcW w:type="dxa" w:w="5160"/>
            <w:tcBorders>
              <w:top w:val="single" w:color="D8D4CC" w:sz="1"/>
              <w:left w:val="single" w:color="D8D4CC" w:sz="1"/>
              <w:bottom w:val="single" w:color="D8D4CC" w:sz="1"/>
              <w:right w:val="single" w:color="D8D4CC" w:sz="1"/>
            </w:tcBorders>
            <w:shd w:fill="F0EDE7" w:val="clear"/>
            <w:tcMar>
              <w:top w:type="dxa" w:w="80"/>
              <w:left w:type="dxa" w:w="120"/>
              <w:bottom w:type="dxa" w:w="80"/>
              <w:right w:type="dxa" w:w="120"/>
            </w:tcMar>
          </w:tcPr>
          <w:p>
            <w:r>
              <w:rPr>
                <w:rFonts w:ascii="Arial" w:cs="Arial" w:eastAsia="Arial" w:hAnsi="Arial"/>
                <w:color w:val="4a4540"/>
                <w:sz w:val="20"/>
                <w:szCs w:val="20"/>
              </w:rPr>
              <w:t xml:space="preserve">Conformité ERP type S dès l'aménagement. Accompagnement par cabinet spécialisé.</w:t>
            </w:r>
          </w:p>
        </w:tc>
      </w:tr>
    </w:tbl>
    <w:p>
      <w:pPr>
        <w:spacing w:after="80" w:before="200"/>
      </w:pPr>
    </w:p>
    <w:p>
      <w:pPr>
        <w:pBdr>
          <w:bottom w:val="single" w:color="C8241A" w:sz="4"/>
        </w:pBdr>
        <w:spacing w:after="200" w:before="200"/>
      </w:pPr>
    </w:p>
    <w:p>
      <w:pPr>
        <w:spacing w:after="80" w:before="200"/>
        <w:jc w:val="center"/>
      </w:pPr>
      <w:r>
        <w:rPr>
          <w:rFonts w:ascii="Arial" w:cs="Arial" w:eastAsia="Arial" w:hAnsi="Arial"/>
          <w:color w:val="4a4540"/>
          <w:sz w:val="18"/>
          <w:szCs w:val="18"/>
        </w:rPr>
        <w:t xml:space="preserve">FIGHTCOFFEE — Document confidentiel — Usage interne uniquement</w:t>
      </w:r>
    </w:p>
    <w:p>
      <w:pPr>
        <w:spacing w:after="40" w:before="40"/>
        <w:jc w:val="center"/>
      </w:pPr>
      <w:r>
        <w:rPr>
          <w:rFonts w:ascii="Arial" w:cs="Arial" w:eastAsia="Arial" w:hAnsi="Arial"/>
          <w:color w:val="C8241A"/>
          <w:sz w:val="18"/>
          <w:szCs w:val="18"/>
        </w:rPr>
        <w:t xml:space="preserve">contact@fightcoffee.fr  ·  fightcoffee.fr  ·  Pleurtuit, Bretagne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pBdr>
      <w:spacing w:before="80"/>
      <w:jc w:val="right"/>
    </w:pPr>
    <w:r>
      <w:rPr>
        <w:rFonts w:ascii="Arial" w:cs="Arial" w:eastAsia="Arial" w:hAnsi="Arial"/>
        <w:color w:val="4a4540"/>
        <w:sz w:val="18"/>
        <w:szCs w:val="18"/>
      </w:rPr>
      <w:t xml:space="preserve">Page </w:t>
    </w:r>
    <w:fldSimple w:instr="PAGE"/>
    <w:r>
      <w:rPr>
        <w:rFonts w:ascii="Arial" w:cs="Arial" w:eastAsia="Arial" w:hAnsi="Arial"/>
        <w:color w:val="4a4540"/>
        <w:sz w:val="18"/>
        <w:szCs w:val="18"/>
      </w:rPr>
      <w:t xml:space="preserve">   ·   Confidentiel — Ne pas diffuser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C" w:sz="4"/>
      </w:pBdr>
      <w:spacing w:after="0"/>
    </w:pPr>
    <w:r>
      <w:rPr>
        <w:rFonts w:ascii="Arial" w:cs="Arial" w:eastAsia="Arial" w:hAnsi="Arial"/>
        <w:b/>
        <w:bCs/>
        <w:color w:val="C8241A"/>
        <w:sz w:val="18"/>
        <w:szCs w:val="18"/>
      </w:rPr>
      <w:t xml:space="preserve">FIGHTCOFFEE</w:t>
    </w:r>
    <w:r>
      <w:rPr>
        <w:rFonts w:ascii="Arial" w:cs="Arial" w:eastAsia="Arial" w:hAnsi="Arial"/>
        <w:color w:val="4a4540"/>
        <w:sz w:val="18"/>
        <w:szCs w:val="18"/>
      </w:rPr>
      <w:t xml:space="preserve">   —   Business Plan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8161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C824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2026-03-24T14:19:51.130Z</dcterms:created>
  <dcterms:modified xsi:type="dcterms:W3CDTF">2026-03-24T14:19:51.131Z</dcterms:modified>
</cp:coreProperties>
</file>

<file path=docProps/custom.xml><?xml version="1.0" encoding="utf-8"?>
<Properties xmlns="http://schemas.openxmlformats.org/officeDocument/2006/custom-properties" xmlns:vt="http://schemas.openxmlformats.org/officeDocument/2006/docPropsVTypes"/>
</file>