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54ADB4EA"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6F2D40">
        <w:rPr>
          <w:rFonts w:ascii="Helvetica Neue" w:hAnsi="Helvetica Neue"/>
          <w:color w:val="555555"/>
          <w:sz w:val="22"/>
        </w:rPr>
        <w:t xml:space="preserve">If you don’t want to worry about finding a data </w:t>
      </w:r>
      <w:proofErr w:type="gramStart"/>
      <w:r w:rsidR="006F2D40">
        <w:rPr>
          <w:rFonts w:ascii="Helvetica Neue" w:hAnsi="Helvetica Neue"/>
          <w:color w:val="555555"/>
          <w:sz w:val="22"/>
        </w:rPr>
        <w:t>set, or</w:t>
      </w:r>
      <w:proofErr w:type="gramEnd"/>
      <w:r w:rsidR="006F2D40">
        <w:rPr>
          <w:rFonts w:ascii="Helvetica Neue" w:hAnsi="Helvetica Neue"/>
          <w:color w:val="555555"/>
          <w:sz w:val="22"/>
        </w:rPr>
        <w:t xml:space="preserve"> are concerned that you might pick a data set that is too ambitious, then you can use one of the data sets below as I know they are doable.</w:t>
      </w:r>
    </w:p>
    <w:p w14:paraId="5DF1100F" w14:textId="331C3A03" w:rsidR="00B1733F" w:rsidRDefault="006F2D40"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6F2D40"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047072BA"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For this project, you only need to have train/test split.   While having a third validation set would be great, unbalanced response levels and/or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I’ll let the group make the final call, but I’m not expecting you to do it this time.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4268B8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w:t>
      </w:r>
      <w:proofErr w:type="gramStart"/>
      <w:r w:rsidRPr="00591955">
        <w:rPr>
          <w:rFonts w:ascii="Helvetica Neue" w:hAnsi="Helvetica Neue"/>
          <w:color w:val="555555"/>
          <w:sz w:val="22"/>
        </w:rPr>
        <w:t>factors.</w:t>
      </w:r>
      <w:r w:rsidRPr="007F47BE">
        <w:rPr>
          <w:rFonts w:ascii="Helvetica Neue" w:hAnsi="Helvetica Neue"/>
          <w:color w:val="555555"/>
          <w:sz w:val="22"/>
        </w:rPr>
        <w:t>.</w:t>
      </w:r>
      <w:proofErr w:type="gramEnd"/>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lastRenderedPageBreak/>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43274EF3" w:rsidR="007F47BE" w:rsidRDefault="000D55A8" w:rsidP="000312CC">
      <w:pPr>
        <w:pStyle w:val="ListParagraph"/>
        <w:numPr>
          <w:ilvl w:val="0"/>
          <w:numId w:val="3"/>
        </w:numPr>
      </w:pPr>
      <w:r>
        <w:t>(Optional</w:t>
      </w:r>
      <w:r w:rsidR="006F2D40">
        <w:t>/Bonus</w:t>
      </w:r>
      <w:r>
        <w:t xml:space="preserve">)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6CEABBA7"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6F2D40">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w:t>
      </w:r>
      <w:r w:rsidR="006F2D40">
        <w:rPr>
          <w:rFonts w:asciiTheme="minorHAnsi" w:hAnsiTheme="minorHAnsi" w:cstheme="minorHAnsi"/>
          <w:color w:val="555555"/>
          <w:sz w:val="22"/>
        </w:rPr>
        <w:t>if</w:t>
      </w:r>
      <w:r w:rsidR="003C4EBC">
        <w:rPr>
          <w:rFonts w:asciiTheme="minorHAnsi" w:hAnsiTheme="minorHAnsi" w:cstheme="minorHAnsi"/>
          <w:color w:val="555555"/>
          <w:sz w:val="22"/>
        </w:rPr>
        <w:t xml:space="preserve"> you</w:t>
      </w:r>
      <w:r w:rsidR="006F2D40">
        <w:rPr>
          <w:rFonts w:asciiTheme="minorHAnsi" w:hAnsiTheme="minorHAnsi" w:cstheme="minorHAnsi"/>
          <w:color w:val="555555"/>
          <w:sz w:val="22"/>
        </w:rPr>
        <w:t xml:space="preserve"> are</w:t>
      </w:r>
      <w:r w:rsidR="003C4EBC">
        <w:rPr>
          <w:rFonts w:asciiTheme="minorHAnsi" w:hAnsiTheme="minorHAnsi" w:cstheme="minorHAnsi"/>
          <w:color w:val="555555"/>
          <w:sz w:val="22"/>
        </w:rPr>
        <w:t xml:space="preserve"> us</w:t>
      </w:r>
      <w:r w:rsidR="006F2D40">
        <w:rPr>
          <w:rFonts w:asciiTheme="minorHAnsi" w:hAnsiTheme="minorHAnsi" w:cstheme="minorHAnsi"/>
          <w:color w:val="555555"/>
          <w:sz w:val="22"/>
        </w:rPr>
        <w:t>ing</w:t>
      </w:r>
      <w:r w:rsidR="003C4EBC">
        <w:rPr>
          <w:rFonts w:asciiTheme="minorHAnsi" w:hAnsiTheme="minorHAnsi" w:cstheme="minorHAnsi"/>
          <w:color w:val="555555"/>
          <w:sz w:val="22"/>
        </w:rPr>
        <w:t xml:space="preserve"> lasso,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lastRenderedPageBreak/>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proofErr w:type="gramStart"/>
      <w:r w:rsidR="003C4EBC">
        <w:rPr>
          <w:b/>
        </w:rPr>
        <w:t>Optional</w:t>
      </w:r>
      <w:r w:rsidR="003C4EBC" w:rsidRPr="002006B0">
        <w:t xml:space="preserve"> </w:t>
      </w:r>
      <w:r w:rsidR="003C4EBC">
        <w:t xml:space="preserve"> </w:t>
      </w:r>
      <w:r w:rsidRPr="002006B0">
        <w:t>Lack</w:t>
      </w:r>
      <w:proofErr w:type="gramEnd"/>
      <w:r w:rsidRPr="002006B0">
        <w:t xml:space="preserve">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proofErr w:type="spellStart"/>
      <w:proofErr w:type="gramStart"/>
      <w:r w:rsidR="003C4EBC">
        <w:t>etc</w:t>
      </w:r>
      <w:proofErr w:type="spellEnd"/>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7F8B0504"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74E44B99" w:rsidR="00C2187F" w:rsidRDefault="00C2187F" w:rsidP="00C218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23F2"/>
    <w:rsid w:val="00263635"/>
    <w:rsid w:val="002A6024"/>
    <w:rsid w:val="00315DFD"/>
    <w:rsid w:val="003935E3"/>
    <w:rsid w:val="003C4EBC"/>
    <w:rsid w:val="00444D24"/>
    <w:rsid w:val="004C5692"/>
    <w:rsid w:val="004F1E24"/>
    <w:rsid w:val="0050311F"/>
    <w:rsid w:val="00507028"/>
    <w:rsid w:val="00510BE6"/>
    <w:rsid w:val="00581F16"/>
    <w:rsid w:val="00591955"/>
    <w:rsid w:val="00696E46"/>
    <w:rsid w:val="006F2D40"/>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3</cp:revision>
  <dcterms:created xsi:type="dcterms:W3CDTF">2021-03-16T04:50:00Z</dcterms:created>
  <dcterms:modified xsi:type="dcterms:W3CDTF">2021-11-05T04:00:00Z</dcterms:modified>
</cp:coreProperties>
</file>