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34440" cy="1234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ta-cre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1234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D5A928"/>
          <w:sz w:val="28"/>
        </w:rPr>
        <w:t>INFORME ESTADÍSTICO</w:t>
      </w:r>
    </w:p>
    <w:p>
      <w:pPr>
        <w:pStyle w:val="Title"/>
        <w:jc w:val="center"/>
      </w:pPr>
      <w:r>
        <w:t>Uso de la plataforma</w:t>
        <w:br/>
        <w:t>Open LMS</w:t>
      </w:r>
    </w:p>
    <w:p>
      <w:pPr>
        <w:jc w:val="center"/>
      </w:pPr>
      <w:r>
        <w:rPr>
          <w:color w:val="2878B5"/>
          <w:sz w:val="34"/>
        </w:rPr>
        <w:t>Ingeniería de Sistemas · Periodo 2026-1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7"/>
              </w:rPr>
              <w:t>Registros analizados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7"/>
              </w:rPr>
              <w:t>400.568</w:t>
            </w:r>
          </w:p>
        </w:tc>
      </w:tr>
      <w:tr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Usuarios únicos</w:t>
            </w:r>
          </w:p>
        </w:tc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520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7"/>
              </w:rPr>
              <w:t>Estudiantes / docentes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7"/>
              </w:rPr>
              <w:t>509 / 11</w:t>
            </w:r>
          </w:p>
        </w:tc>
      </w:tr>
      <w:tr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Cursos con actividad</w:t>
            </w:r>
          </w:p>
        </w:tc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63</w:t>
            </w:r>
          </w:p>
        </w:tc>
      </w:tr>
    </w:tbl>
    <w:p/>
    <w:p>
      <w:pPr>
        <w:jc w:val="center"/>
      </w:pPr>
      <w:r>
        <w:rPr>
          <w:color w:val="5D6874"/>
          <w:sz w:val="20"/>
        </w:rPr>
        <w:t>Campus Virtual · Universidad Santo Tomás, Seccional Tunja</w:t>
        <w:br/>
        <w:t>Documento de muestra para revisión</w:t>
      </w:r>
    </w:p>
    <w:p>
      <w:r>
        <w:br w:type="page"/>
      </w:r>
    </w:p>
    <w:p>
      <w:pPr>
        <w:pStyle w:val="Heading1"/>
        <w:spacing w:before="240" w:after="120"/>
      </w:pPr>
      <w:r>
        <w:t>Resumen ejecutivo</w:t>
      </w:r>
    </w:p>
    <w:p>
      <w:pPr>
        <w:spacing w:after="120" w:line="269" w:lineRule="auto"/>
      </w:pPr>
      <w:r>
        <w:t>Durante el periodo académico 2026-1 se analizaron 400.568 eventos generados en Open LMS por la comunidad de Ingeniería de Sistemas. Los registros corresponden a 520 usuarios únicos: 509 estudiantes y 11 docentes. La participación estudiantil representa el 80,8 % de los eventos y la docente el 19,2 %.</w:t>
      </w:r>
    </w:p>
    <w:p>
      <w:pPr>
        <w:spacing w:after="120" w:line="269" w:lineRule="auto"/>
      </w:pPr>
      <w:r>
        <w:t>Los estudiantes utilizaron la plataforma durante un promedio de 39,1 días en el semestre, con una mediana de 38 días. En los docentes, el promedio fue de 71,4 días y la mediana de 75. Marzo concentró el mayor volumen de actividad, seguido de mayo. Las tareas y los cuestionarios reunieron cerca del 60 % de las interacciones observadas.</w:t>
      </w:r>
    </w:p>
    <w:p>
      <w:pPr>
        <w:spacing w:after="120" w:line="269" w:lineRule="auto"/>
      </w:pPr>
      <w:r>
        <w:t>Los resultados evidencian un uso sostenido de la plataforma. Sin embargo, la cantidad de eventos debe interpretarse como un indicador de actividad digital y no como una medición directa del aprendizaje, el desempeño académico o la calidad de los contenidos.</w:t>
      </w:r>
    </w:p>
    <w:p>
      <w:pPr>
        <w:pStyle w:val="Heading2"/>
        <w:spacing w:before="240" w:after="120"/>
      </w:pPr>
      <w:r>
        <w:t>Indicadores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2B4A"/>
          </w:tcPr>
          <w:p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3293"/>
            <w:shd w:fill="142B4A"/>
          </w:tcPr>
          <w:p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3293"/>
            <w:shd w:fill="142B4A"/>
          </w:tcPr>
          <w:p>
            <w:r>
              <w:rPr>
                <w:b/>
                <w:color w:val="FFFFFF"/>
                <w:sz w:val="18"/>
              </w:rPr>
              <w:t>Lectura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7"/>
              </w:rPr>
              <w:t>Eventos totales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7"/>
              </w:rPr>
              <w:t>400.568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7"/>
              </w:rPr>
              <w:t>Interacciones registradas por la plataforma</w:t>
            </w:r>
          </w:p>
        </w:tc>
      </w:tr>
      <w:tr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Usuarios únicos</w:t>
            </w:r>
          </w:p>
        </w:tc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520</w:t>
            </w:r>
          </w:p>
        </w:tc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509 estudiantes y 11 docentes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7"/>
              </w:rPr>
              <w:t>Actividad estudiantil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7"/>
              </w:rPr>
              <w:t>323.790 eventos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7"/>
              </w:rPr>
              <w:t>80,8 % del total</w:t>
            </w:r>
          </w:p>
        </w:tc>
      </w:tr>
      <w:tr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Actividad docente</w:t>
            </w:r>
          </w:p>
        </w:tc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76.778 eventos</w:t>
            </w:r>
          </w:p>
        </w:tc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19,2 % del total</w:t>
            </w:r>
          </w:p>
        </w:tc>
      </w:tr>
      <w:tr>
        <w:tc>
          <w:tcPr>
            <w:tcW w:type="dxa" w:w="3293"/>
            <w:vAlign w:val="center"/>
          </w:tcPr>
          <w:p>
            <w:r>
              <w:rPr>
                <w:sz w:val="17"/>
              </w:rPr>
              <w:t>Días activos por estudiante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7"/>
              </w:rPr>
              <w:t>39,1 promedio</w:t>
            </w:r>
          </w:p>
        </w:tc>
        <w:tc>
          <w:tcPr>
            <w:tcW w:type="dxa" w:w="3293"/>
            <w:vAlign w:val="center"/>
          </w:tcPr>
          <w:p>
            <w:r>
              <w:rPr>
                <w:sz w:val="17"/>
              </w:rPr>
              <w:t>Mediana: 38 días</w:t>
            </w:r>
          </w:p>
        </w:tc>
      </w:tr>
      <w:tr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Días activos por docente</w:t>
            </w:r>
          </w:p>
        </w:tc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71,4 promedio</w:t>
            </w:r>
          </w:p>
        </w:tc>
        <w:tc>
          <w:tcPr>
            <w:tcW w:type="dxa" w:w="3293"/>
            <w:vAlign w:val="center"/>
            <w:shd w:fill="EEF3F7"/>
          </w:tcPr>
          <w:p>
            <w:r>
              <w:rPr>
                <w:sz w:val="17"/>
              </w:rPr>
              <w:t>Mediana: 75 días</w:t>
            </w:r>
          </w:p>
        </w:tc>
      </w:tr>
    </w:tbl>
    <w:p/>
    <w:p>
      <w:pPr>
        <w:pStyle w:val="Heading1"/>
        <w:spacing w:before="240" w:after="120"/>
      </w:pPr>
      <w:r>
        <w:t>1. Introducción</w:t>
      </w:r>
    </w:p>
    <w:p>
      <w:pPr>
        <w:spacing w:after="120" w:line="269" w:lineRule="auto"/>
      </w:pPr>
      <w:r>
        <w:t>El presente informe describe el uso de Open LMS por parte del programa de Ingeniería de Sistemas durante el periodo 2026-1. Su propósito es ofrecer una lectura clara de la participación de estudiantes y docentes, identificar patrones temporales de uso y reconocer los cursos y recursos con mayor actividad.</w:t>
      </w:r>
    </w:p>
    <w:p>
      <w:pPr>
        <w:pStyle w:val="Heading1"/>
        <w:spacing w:before="240" w:after="120"/>
      </w:pPr>
      <w:r>
        <w:t>2. Metodología</w:t>
      </w:r>
    </w:p>
    <w:p>
      <w:pPr>
        <w:spacing w:after="120" w:line="269" w:lineRule="auto"/>
      </w:pPr>
      <w:r>
        <w:t>La fuente analizada contiene 400.568 registros del sistema de seguimiento de Open LMS. Cada registro representa un evento realizado por un usuario, por ejemplo: visualizar un recurso, actualizar contenido, crear una actividad, calificar o entregar una tarea.</w:t>
      </w:r>
    </w:p>
    <w:p>
      <w:pPr>
        <w:spacing w:after="120" w:line="269" w:lineRule="auto"/>
      </w:pPr>
      <w:r>
        <w:t>Para evitar interpretaciones ambiguas, se emplean tres unidades diferentes: evento, usuario único y día activo. Un mismo usuario puede producir muchos eventos en un día y participar en varios meses; por ello estas unidades no deben presentarse como equivalentes.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7"/>
              </w:rPr>
              <w:t>Evento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7"/>
              </w:rPr>
              <w:t>Acción individual almacenada en el registro de Open LMS.</w:t>
            </w:r>
          </w:p>
        </w:tc>
      </w:tr>
      <w:tr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Usuario único</w:t>
            </w:r>
          </w:p>
        </w:tc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Persona diferente identificada en el conjunto de datos.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7"/>
              </w:rPr>
              <w:t>Día activo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7"/>
              </w:rPr>
              <w:t>Fecha diferente en la que un usuario o curso registró al menos un evento.</w:t>
            </w:r>
          </w:p>
        </w:tc>
      </w:tr>
      <w:tr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Usuario-mes</w:t>
            </w:r>
          </w:p>
        </w:tc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Usuario contado una vez en cada mes en el que tuvo actividad; puede repetirse entre meses.</w:t>
            </w:r>
          </w:p>
        </w:tc>
      </w:tr>
    </w:tbl>
    <w:p/>
    <w:p>
      <w:pPr>
        <w:pStyle w:val="Heading1"/>
        <w:spacing w:before="240" w:after="120"/>
      </w:pPr>
      <w:r>
        <w:t>3. Comportamiento mensual</w:t>
      </w:r>
    </w:p>
    <w:p>
      <w:pPr>
        <w:spacing w:after="120" w:line="269" w:lineRule="auto"/>
      </w:pPr>
      <w:r>
        <w:t>Marzo fue el mes de mayor actividad, con 132.140 eventos combinados, seguido de mayo con 116.725. La reducción observada en junio debe analizarse junto con el calendario académico y la fecha efectiva de corte antes de considerarla una disminución de participación.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dad_mensu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 1. Eventos mensuales por tipo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Eventos estudiantes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Estudiantes activos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Eventos docentes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sz w:val="17"/>
              </w:rPr>
              <w:t>Febrero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56.480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497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12.400</w:t>
            </w:r>
          </w:p>
        </w:tc>
      </w:tr>
      <w:tr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Marzo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106.884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503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25.256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sz w:val="17"/>
              </w:rPr>
              <w:t>Abril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64.000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500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12.586</w:t>
            </w:r>
          </w:p>
        </w:tc>
      </w:tr>
      <w:tr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Mayo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93.527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499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23.198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sz w:val="17"/>
              </w:rPr>
              <w:t>Junio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2.899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141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3.338</w:t>
            </w:r>
          </w:p>
        </w:tc>
      </w:tr>
    </w:tbl>
    <w:p/>
    <w:p>
      <w:pPr>
        <w:pStyle w:val="Heading1"/>
        <w:spacing w:before="240" w:after="120"/>
      </w:pPr>
      <w:r>
        <w:t>4. Participación estudiantil</w:t>
      </w:r>
    </w:p>
    <w:p>
      <w:pPr>
        <w:spacing w:after="120" w:line="269" w:lineRule="auto"/>
      </w:pPr>
      <w:r>
        <w:t>Los 509 estudiantes generaron 323.790 eventos. La mediana de 38 días activos muestra que al menos la mitad de los estudiantes ingresó o interactuó con sus cursos durante 38 días o más. Este indicador describe frecuencia de participación, pero debe complementarse con entregas, calificaciones y resultados académicos para valorar el proceso formativo.</w:t>
      </w:r>
    </w:p>
    <w:p>
      <w:pPr>
        <w:pStyle w:val="Heading1"/>
        <w:spacing w:before="240" w:after="120"/>
      </w:pPr>
      <w:r>
        <w:t>5. Actividad docente</w:t>
      </w:r>
    </w:p>
    <w:p>
      <w:pPr>
        <w:spacing w:after="120" w:line="269" w:lineRule="auto"/>
      </w:pPr>
      <w:r>
        <w:t>Los 11 docentes generaron 76.778 eventos y registraron actividad durante una mediana de 75 días. Entre los ejemplos de presencia sostenida se encuentran Andrea Cruz Yomayusa en Optimización 6A–6B, con 67 días activos; Andrea Cruz Yomayusa en Introducción a la Ingeniería de Sistemas 1A, con 59 días; y Henry Alfonso Guío Ávila en Auditoría de Sistemas 9A, con 56 días.</w:t>
      </w:r>
    </w:p>
    <w:p>
      <w:pPr>
        <w:pStyle w:val="Heading1"/>
        <w:spacing w:before="240" w:after="120"/>
      </w:pPr>
      <w:r>
        <w:t>6. Cursos destacados</w:t>
      </w:r>
    </w:p>
    <w:p>
      <w:pPr>
        <w:spacing w:after="120" w:line="269" w:lineRule="auto"/>
      </w:pPr>
      <w:r>
        <w:t>La comparación se presenta mediante eventos estudiantiles, estudiantes únicos y días con actividad. Esta separación permite distinguir volumen, alcance y continuidad.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1510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s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51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Ilustración 2. Cursos con mayor volumen de eventos estudiantiles.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Eventos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Estudiantes únicos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Días activos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sz w:val="17"/>
              </w:rPr>
              <w:t>Optimización 6A–6B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22.789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100</w:t>
            </w:r>
          </w:p>
        </w:tc>
      </w:tr>
      <w:tr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Cloud Computing 8A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14.524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102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sz w:val="17"/>
              </w:rPr>
              <w:t>Bases de Datos 2A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13.014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95</w:t>
            </w:r>
          </w:p>
        </w:tc>
      </w:tr>
      <w:tr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Introducción a Ingeniería de Sistemas 1A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12.418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94</w:t>
            </w:r>
          </w:p>
        </w:tc>
      </w:tr>
      <w:tr>
        <w:tc>
          <w:tcPr>
            <w:tcW w:type="dxa" w:w="2469"/>
            <w:vAlign w:val="center"/>
          </w:tcPr>
          <w:p>
            <w:r>
              <w:rPr>
                <w:sz w:val="17"/>
              </w:rPr>
              <w:t>Redes 6A–6B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11.990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2469"/>
            <w:vAlign w:val="center"/>
          </w:tcPr>
          <w:p>
            <w:r>
              <w:rPr>
                <w:sz w:val="17"/>
              </w:rPr>
              <w:t>96</w:t>
            </w:r>
          </w:p>
        </w:tc>
      </w:tr>
      <w:tr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Ciberseguridad 9B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11.889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2469"/>
            <w:vAlign w:val="center"/>
            <w:shd w:fill="EEF3F7"/>
          </w:tcPr>
          <w:p>
            <w:r>
              <w:rPr>
                <w:sz w:val="17"/>
              </w:rPr>
              <w:t>106</w:t>
            </w:r>
          </w:p>
        </w:tc>
      </w:tr>
    </w:tbl>
    <w:p/>
    <w:p>
      <w:pPr>
        <w:pStyle w:val="Heading1"/>
        <w:spacing w:before="240" w:after="120"/>
      </w:pPr>
      <w:r>
        <w:t>7. Tipos de interacción</w:t>
      </w:r>
    </w:p>
    <w:p>
      <w:pPr>
        <w:spacing w:after="120" w:line="269" w:lineRule="auto"/>
      </w:pPr>
      <w:r>
        <w:t>Las visualizaciones constituyen la acción más frecuente, con 265.535 eventos. También se registraron 63.871 actualizaciones, 16.394 creaciones, 13.882 calificaciones, 11.213 entregas y 8.051 cargas de archivos. Los componentes con mayor actividad fueron tareas (123.900 eventos), cuestionarios (118.015) y funciones generales del curso (105.350).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Eventos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7"/>
              </w:rPr>
              <w:t>Visualizaciones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7"/>
              </w:rPr>
              <w:t>265.535</w:t>
            </w:r>
          </w:p>
        </w:tc>
      </w:tr>
      <w:tr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Actualizaciones</w:t>
            </w:r>
          </w:p>
        </w:tc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63.871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7"/>
              </w:rPr>
              <w:t>Creaciones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7"/>
              </w:rPr>
              <w:t>16.394</w:t>
            </w:r>
          </w:p>
        </w:tc>
      </w:tr>
      <w:tr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Calificaciones</w:t>
            </w:r>
          </w:p>
        </w:tc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13.882</w:t>
            </w:r>
          </w:p>
        </w:tc>
      </w:tr>
      <w:tr>
        <w:tc>
          <w:tcPr>
            <w:tcW w:type="dxa" w:w="4939"/>
            <w:vAlign w:val="center"/>
          </w:tcPr>
          <w:p>
            <w:r>
              <w:rPr>
                <w:sz w:val="17"/>
              </w:rPr>
              <w:t>Entregas</w:t>
            </w:r>
          </w:p>
        </w:tc>
        <w:tc>
          <w:tcPr>
            <w:tcW w:type="dxa" w:w="4939"/>
            <w:vAlign w:val="center"/>
          </w:tcPr>
          <w:p>
            <w:r>
              <w:rPr>
                <w:sz w:val="17"/>
              </w:rPr>
              <w:t>11.213</w:t>
            </w:r>
          </w:p>
        </w:tc>
      </w:tr>
      <w:tr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Cargas de archivos</w:t>
            </w:r>
          </w:p>
        </w:tc>
        <w:tc>
          <w:tcPr>
            <w:tcW w:type="dxa" w:w="4939"/>
            <w:vAlign w:val="center"/>
            <w:shd w:fill="EEF3F7"/>
          </w:tcPr>
          <w:p>
            <w:r>
              <w:rPr>
                <w:sz w:val="17"/>
              </w:rPr>
              <w:t>8.051</w:t>
            </w:r>
          </w:p>
        </w:tc>
      </w:tr>
    </w:tbl>
    <w:p/>
    <w:p>
      <w:pPr>
        <w:pStyle w:val="Heading1"/>
        <w:spacing w:before="240" w:after="120"/>
      </w:pPr>
      <w:r>
        <w:t>8. Diseño y cobertura de cursos</w:t>
      </w:r>
    </w:p>
    <w:p>
      <w:pPr>
        <w:spacing w:after="120" w:line="269" w:lineRule="auto"/>
      </w:pPr>
      <w:r>
        <w:t>La fuente de diseño reporta 59 cursos con contenido. Por otra parte, el registro de actividad contiene 63 identificadores de curso. Esta diferencia debe conciliarse antes de afirmar que el 100 % de los cursos está completo. También se recomienda documentar los criterios utilizados para considerar un curso como “con contenido completo”.</w:t>
      </w:r>
    </w:p>
    <w:p>
      <w:pPr>
        <w:pStyle w:val="Heading1"/>
        <w:spacing w:before="240" w:after="120"/>
      </w:pPr>
      <w:r>
        <w:t>9. Conclusiones</w:t>
      </w:r>
    </w:p>
    <w:p>
      <w:pPr>
        <w:pStyle w:val="ListBullet"/>
      </w:pPr>
      <w:r>
        <w:t>La plataforma presenta una participación amplia: 509 de los 520 usuarios identificados son estudiantes.</w:t>
      </w:r>
    </w:p>
    <w:p>
      <w:pPr>
        <w:pStyle w:val="ListBullet"/>
      </w:pPr>
      <w:r>
        <w:t>Marzo y mayo concentran los mayores volúmenes de interacción.</w:t>
      </w:r>
    </w:p>
    <w:p>
      <w:pPr>
        <w:pStyle w:val="ListBullet"/>
      </w:pPr>
      <w:r>
        <w:t>Optimización 6A–6B lidera en eventos; Redes 6A–6B presenta el mayor número de estudiantes únicos entre los cursos destacados.</w:t>
      </w:r>
    </w:p>
    <w:p>
      <w:pPr>
        <w:pStyle w:val="ListBullet"/>
      </w:pPr>
      <w:r>
        <w:t>Las tareas y los cuestionarios son el núcleo de la actividad registrada.</w:t>
      </w:r>
    </w:p>
    <w:p>
      <w:pPr>
        <w:pStyle w:val="ListBullet"/>
      </w:pPr>
      <w:r>
        <w:t>La frecuencia de uso no debe asumirse como evidencia directa de aprendizaje o calidad académica.</w:t>
      </w:r>
    </w:p>
    <w:p>
      <w:pPr>
        <w:pStyle w:val="Heading1"/>
        <w:spacing w:before="240" w:after="120"/>
      </w:pPr>
      <w:r>
        <w:t>10. Recomendaciones</w:t>
      </w:r>
    </w:p>
    <w:p>
      <w:pPr>
        <w:pStyle w:val="ListBullet"/>
      </w:pPr>
      <w:r>
        <w:t>Conciliar los 59 cursos evaluados en diseño con los 63 cursos presentes en los registros.</w:t>
      </w:r>
    </w:p>
    <w:p>
      <w:pPr>
        <w:pStyle w:val="ListBullet"/>
      </w:pPr>
      <w:r>
        <w:t>Definir formalmente qué significa curso con contenido completo.</w:t>
      </w:r>
    </w:p>
    <w:p>
      <w:pPr>
        <w:pStyle w:val="ListBullet"/>
      </w:pPr>
      <w:r>
        <w:t>Incorporar indicadores de estudiantes sin actividad o con participación baja.</w:t>
      </w:r>
    </w:p>
    <w:p>
      <w:pPr>
        <w:pStyle w:val="ListBullet"/>
      </w:pPr>
      <w:r>
        <w:t>Relacionar la actividad con entregas, aprobación y resultados académicos, cuando sea posible.</w:t>
      </w:r>
    </w:p>
    <w:p>
      <w:pPr>
        <w:pStyle w:val="ListBullet"/>
      </w:pPr>
      <w:r>
        <w:t>Explicar la fecha de corte y el comportamiento atípico de junio.</w:t>
      </w:r>
    </w:p>
    <w:p>
      <w:pPr>
        <w:pStyle w:val="ListBullet"/>
      </w:pPr>
      <w:r>
        <w:t>Mantener separados los conceptos de eventos, usuarios únicos, usuarios-mes y días activos.</w:t>
      </w:r>
    </w:p>
    <w:p>
      <w:pPr>
        <w:pStyle w:val="Heading1"/>
        <w:spacing w:before="240" w:after="120"/>
      </w:pPr>
      <w:r>
        <w:t>Nota de alcance</w:t>
      </w:r>
    </w:p>
    <w:p>
      <w:pPr>
        <w:spacing w:after="120" w:line="269" w:lineRule="auto"/>
      </w:pPr>
      <w:r>
        <w:t>Este documento es una muestra editorial construida a partir de los registros disponibles. Antes de su publicación institucional se recomienda validar el calendario académico, la fecha exacta de corte, la clasificación de cursos y los criterios de evaluación del diseño virtual.</w:t>
      </w:r>
    </w:p>
    <w:p>
      <w:r>
        <w:br w:type="page"/>
      </w:r>
    </w:p>
    <w:p>
      <w:pPr>
        <w:pStyle w:val="Heading1"/>
      </w:pPr>
      <w:r>
        <w:t>Análisis de las gráficas del Excel</w:t>
      </w:r>
    </w:p>
    <w:p>
      <w:pPr>
        <w:spacing w:line="269" w:lineRule="auto" w:after="140"/>
      </w:pPr>
      <w:r>
        <w:t>Esta sección incorpora los tres gráficos vinculados a las tablas dinámicas del archivo Informe_2026-1.xlsx. Los valores se presentan con el mismo criterio de cálculo del Excel y se acompañan de su definición para evitar confundir días de actividad, estudiantes activos y eventos individuales.</w:t>
      </w:r>
    </w:p>
    <w:p>
      <w:pPr>
        <w:pStyle w:val="Heading2"/>
      </w:pPr>
      <w:r>
        <w:t>Actividad docente por mes</w:t>
      </w:r>
    </w:p>
    <w:p>
      <w:pPr>
        <w:spacing w:line="269" w:lineRule="auto" w:after="140"/>
      </w:pPr>
      <w:r>
        <w:t>El indicador representa el promedio de días diferentes con actividad docente por curso en cada mes. Mayo presenta el valor más alto, con 10,1 días por curso; le siguen marzo (8,5), abril (7,8) y febrero (7,0). Junio registra 1,9 días, resultado que debe interpretarse considerando la fecha de corte y el cierre del semestre.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852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874"/>
          <w:sz w:val="18"/>
        </w:rPr>
        <w:t>Ilustración 3. Promedio mensual de días de actividad docente por curso. Fuente: hoja «Docentes DG».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Febrero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Marzo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Abril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Mayo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Junio</w:t>
            </w:r>
          </w:p>
        </w:tc>
      </w:tr>
      <w:tr>
        <w:tc>
          <w:tcPr>
            <w:tcW w:type="dxa" w:w="1646"/>
          </w:tcPr>
          <w:p>
            <w:r>
              <w:rPr>
                <w:sz w:val="17"/>
              </w:rPr>
              <w:t>Promedio de días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7,0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8,5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7,8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10,1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1,9</w:t>
            </w:r>
          </w:p>
        </w:tc>
      </w:tr>
    </w:tbl>
    <w:p/>
    <w:p>
      <w:pPr>
        <w:spacing w:line="269" w:lineRule="auto" w:after="140"/>
      </w:pPr>
      <w:r>
        <w:t>Los cursos con mayor continuidad docente acumulada fueron Optimización 6A–6B (67 días), Introducción a la Ingeniería de Sistemas 1A (59 días), Auditoría de Sistemas 9A (56 días), Estructuras de Datos 3D (56 días) y Desarrollo Empresarial 5C o Gerencia de Software 6B (55 días cada uno).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142B4A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293"/>
            <w:shd w:fill="142B4A"/>
          </w:tcPr>
          <w:p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293"/>
            <w:shd w:fill="142B4A"/>
          </w:tcPr>
          <w:p>
            <w:r>
              <w:rPr>
                <w:b/>
                <w:color w:val="FFFFFF"/>
                <w:sz w:val="18"/>
              </w:rPr>
              <w:t>Días activos</w:t>
            </w:r>
          </w:p>
        </w:tc>
      </w:tr>
      <w:tr>
        <w:tc>
          <w:tcPr>
            <w:tcW w:type="dxa" w:w="3293"/>
          </w:tcPr>
          <w:p>
            <w:r>
              <w:rPr>
                <w:sz w:val="17"/>
              </w:rPr>
              <w:t>Optimización 6A–6B</w:t>
            </w:r>
          </w:p>
        </w:tc>
        <w:tc>
          <w:tcPr>
            <w:tcW w:type="dxa" w:w="3293"/>
          </w:tcPr>
          <w:p>
            <w:r>
              <w:rPr>
                <w:sz w:val="17"/>
              </w:rPr>
              <w:t>Andrea Cruz Yomayusa</w:t>
            </w:r>
          </w:p>
        </w:tc>
        <w:tc>
          <w:tcPr>
            <w:tcW w:type="dxa" w:w="3293"/>
          </w:tcPr>
          <w:p>
            <w:r>
              <w:rPr>
                <w:sz w:val="17"/>
              </w:rPr>
              <w:t>67</w:t>
            </w:r>
          </w:p>
        </w:tc>
      </w:tr>
      <w:tr>
        <w:tc>
          <w:tcPr>
            <w:tcW w:type="dxa" w:w="3293"/>
            <w:shd w:fill="EEF3F7"/>
          </w:tcPr>
          <w:p>
            <w:r>
              <w:rPr>
                <w:sz w:val="17"/>
              </w:rPr>
              <w:t>Introducción a la Ingeniería de Sistemas 1A</w:t>
            </w:r>
          </w:p>
        </w:tc>
        <w:tc>
          <w:tcPr>
            <w:tcW w:type="dxa" w:w="3293"/>
            <w:shd w:fill="EEF3F7"/>
          </w:tcPr>
          <w:p>
            <w:r>
              <w:rPr>
                <w:sz w:val="17"/>
              </w:rPr>
              <w:t>Andrea Cruz Yomayusa</w:t>
            </w:r>
          </w:p>
        </w:tc>
        <w:tc>
          <w:tcPr>
            <w:tcW w:type="dxa" w:w="3293"/>
            <w:shd w:fill="EEF3F7"/>
          </w:tcPr>
          <w:p>
            <w:r>
              <w:rPr>
                <w:sz w:val="17"/>
              </w:rPr>
              <w:t>59</w:t>
            </w:r>
          </w:p>
        </w:tc>
      </w:tr>
      <w:tr>
        <w:tc>
          <w:tcPr>
            <w:tcW w:type="dxa" w:w="3293"/>
          </w:tcPr>
          <w:p>
            <w:r>
              <w:rPr>
                <w:sz w:val="17"/>
              </w:rPr>
              <w:t>Auditoría de Sistemas 9A</w:t>
            </w:r>
          </w:p>
        </w:tc>
        <w:tc>
          <w:tcPr>
            <w:tcW w:type="dxa" w:w="3293"/>
          </w:tcPr>
          <w:p>
            <w:r>
              <w:rPr>
                <w:sz w:val="17"/>
              </w:rPr>
              <w:t>Henry Alfonso Guío Ávila</w:t>
            </w:r>
          </w:p>
        </w:tc>
        <w:tc>
          <w:tcPr>
            <w:tcW w:type="dxa" w:w="3293"/>
          </w:tcPr>
          <w:p>
            <w:r>
              <w:rPr>
                <w:sz w:val="17"/>
              </w:rPr>
              <w:t>56</w:t>
            </w:r>
          </w:p>
        </w:tc>
      </w:tr>
      <w:tr>
        <w:tc>
          <w:tcPr>
            <w:tcW w:type="dxa" w:w="3293"/>
            <w:shd w:fill="EEF3F7"/>
          </w:tcPr>
          <w:p>
            <w:r>
              <w:rPr>
                <w:sz w:val="17"/>
              </w:rPr>
              <w:t>Estructuras de Datos 3D</w:t>
            </w:r>
          </w:p>
        </w:tc>
        <w:tc>
          <w:tcPr>
            <w:tcW w:type="dxa" w:w="3293"/>
            <w:shd w:fill="EEF3F7"/>
          </w:tcPr>
          <w:p>
            <w:r>
              <w:rPr>
                <w:sz w:val="17"/>
              </w:rPr>
              <w:t>Diego Alejandro Vela Beltrán</w:t>
            </w:r>
          </w:p>
        </w:tc>
        <w:tc>
          <w:tcPr>
            <w:tcW w:type="dxa" w:w="3293"/>
            <w:shd w:fill="EEF3F7"/>
          </w:tcPr>
          <w:p>
            <w:r>
              <w:rPr>
                <w:sz w:val="17"/>
              </w:rPr>
              <w:t>56</w:t>
            </w:r>
          </w:p>
        </w:tc>
      </w:tr>
      <w:tr>
        <w:tc>
          <w:tcPr>
            <w:tcW w:type="dxa" w:w="3293"/>
          </w:tcPr>
          <w:p>
            <w:r>
              <w:rPr>
                <w:sz w:val="17"/>
              </w:rPr>
              <w:t>Desarrollo Empresarial 5C</w:t>
            </w:r>
          </w:p>
        </w:tc>
        <w:tc>
          <w:tcPr>
            <w:tcW w:type="dxa" w:w="3293"/>
          </w:tcPr>
          <w:p>
            <w:r>
              <w:rPr>
                <w:sz w:val="17"/>
              </w:rPr>
              <w:t>Harrizon Alexander Soler Galindo</w:t>
            </w:r>
          </w:p>
        </w:tc>
        <w:tc>
          <w:tcPr>
            <w:tcW w:type="dxa" w:w="3293"/>
          </w:tcPr>
          <w:p>
            <w:r>
              <w:rPr>
                <w:sz w:val="17"/>
              </w:rPr>
              <w:t>55</w:t>
            </w:r>
          </w:p>
        </w:tc>
      </w:tr>
      <w:tr>
        <w:tc>
          <w:tcPr>
            <w:tcW w:type="dxa" w:w="3293"/>
            <w:shd w:fill="EEF3F7"/>
          </w:tcPr>
          <w:p>
            <w:r>
              <w:rPr>
                <w:sz w:val="17"/>
              </w:rPr>
              <w:t>Gerencia de Software 6B</w:t>
            </w:r>
          </w:p>
        </w:tc>
        <w:tc>
          <w:tcPr>
            <w:tcW w:type="dxa" w:w="3293"/>
            <w:shd w:fill="EEF3F7"/>
          </w:tcPr>
          <w:p>
            <w:r>
              <w:rPr>
                <w:sz w:val="17"/>
              </w:rPr>
              <w:t>Jhon Alexis Piracoca Arcos</w:t>
            </w:r>
          </w:p>
        </w:tc>
        <w:tc>
          <w:tcPr>
            <w:tcW w:type="dxa" w:w="3293"/>
            <w:shd w:fill="EEF3F7"/>
          </w:tcPr>
          <w:p>
            <w:r>
              <w:rPr>
                <w:sz w:val="17"/>
              </w:rPr>
              <w:t>55</w:t>
            </w:r>
          </w:p>
        </w:tc>
      </w:tr>
    </w:tbl>
    <w:p/>
    <w:p>
      <w:pPr>
        <w:pStyle w:val="Heading2"/>
      </w:pPr>
      <w:r>
        <w:t>Días de uso estudiantil</w:t>
      </w:r>
    </w:p>
    <w:p>
      <w:pPr>
        <w:spacing w:line="269" w:lineRule="auto" w:after="140"/>
      </w:pPr>
      <w:r>
        <w:t>Este gráfico muestra el promedio de días diferentes con actividad estudiantil por curso. Mayo alcanzó 20,5 días, el mayor resultado mensual; marzo y abril muestran valores similares, con 16,6 y 16,5 días respectivamente. El promedio simple de los cinco meses es cercano a 14 días por curso, aunque esta cifra se reduce por el valor parcial de junio.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852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s_di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874"/>
          <w:sz w:val="18"/>
        </w:rPr>
        <w:t>Ilustración 4. Promedio mensual de días de uso estudiantil por curso. Fuente: hoja «Estudiantes DG».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Febrero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Marzo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Abril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Mayo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Junio</w:t>
            </w:r>
          </w:p>
        </w:tc>
      </w:tr>
      <w:tr>
        <w:tc>
          <w:tcPr>
            <w:tcW w:type="dxa" w:w="1646"/>
          </w:tcPr>
          <w:p>
            <w:r>
              <w:rPr>
                <w:sz w:val="17"/>
              </w:rPr>
              <w:t>Promedio de días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15,0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16,6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16,5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20,5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1,5</w:t>
            </w:r>
          </w:p>
        </w:tc>
      </w:tr>
    </w:tbl>
    <w:p/>
    <w:p>
      <w:pPr>
        <w:pStyle w:val="Heading2"/>
      </w:pPr>
      <w:r>
        <w:t>Estudiantes activos por curso</w:t>
      </w:r>
    </w:p>
    <w:p>
      <w:pPr>
        <w:spacing w:line="269" w:lineRule="auto" w:after="140"/>
      </w:pPr>
      <w:r>
        <w:t>El indicador corresponde al promedio de estudiantes diferentes que tuvieron actividad en cada curso durante el mes. Entre febrero y mayo se mantuvo relativamente estable, entre 21,6 y 22,9 estudiantes por curso. Junio desciende a 3,0 estudiantes, por lo cual debe señalarse como un mes parcial o de cierre, según confirme el calendario institucional.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8852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tudiantes_activo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85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D6874"/>
          <w:sz w:val="18"/>
        </w:rPr>
        <w:t>Ilustración 5. Promedio mensual de estudiantes activos por curso. Fuente: hoja «Estudiantes DG2».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6"/>
        <w:gridCol w:w="1646"/>
        <w:gridCol w:w="1646"/>
        <w:gridCol w:w="1646"/>
        <w:gridCol w:w="1646"/>
        <w:gridCol w:w="1646"/>
      </w:tblGrid>
      <w:tr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Mes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Febrero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Marzo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Abril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Mayo</w:t>
            </w:r>
          </w:p>
        </w:tc>
        <w:tc>
          <w:tcPr>
            <w:tcW w:type="dxa" w:w="1646"/>
            <w:shd w:fill="142B4A"/>
          </w:tcPr>
          <w:p>
            <w:r>
              <w:rPr>
                <w:b/>
                <w:color w:val="FFFFFF"/>
                <w:sz w:val="18"/>
              </w:rPr>
              <w:t>Junio</w:t>
            </w:r>
          </w:p>
        </w:tc>
      </w:tr>
      <w:tr>
        <w:tc>
          <w:tcPr>
            <w:tcW w:type="dxa" w:w="1646"/>
          </w:tcPr>
          <w:p>
            <w:r>
              <w:rPr>
                <w:sz w:val="17"/>
              </w:rPr>
              <w:t>Promedio de estudiantes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21,6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22,7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21,8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22,9</w:t>
            </w:r>
          </w:p>
        </w:tc>
        <w:tc>
          <w:tcPr>
            <w:tcW w:type="dxa" w:w="1646"/>
          </w:tcPr>
          <w:p>
            <w:r>
              <w:rPr>
                <w:sz w:val="17"/>
              </w:rPr>
              <w:t>3,0</w:t>
            </w:r>
          </w:p>
        </w:tc>
      </w:tr>
    </w:tbl>
    <w:p/>
    <w:p>
      <w:pPr>
        <w:pStyle w:val="Heading2"/>
      </w:pPr>
      <w:r>
        <w:t>Lectura de los cursos destacados</w:t>
      </w:r>
    </w:p>
    <w:p>
      <w:pPr>
        <w:spacing w:line="269" w:lineRule="auto" w:after="140"/>
      </w:pPr>
      <w:r>
        <w:t>La columna «TOTAL» de estudiantes del Excel suma los estudiantes activos de cada mes. Por esta razón una misma persona puede aparecer hasta cinco veces y el resultado no equivale a estudiantes únicos matriculados. Por ejemplo, Ciberseguridad 9B presenta 146 usuarios-mes, pero 34 estudiantes únicos en los registros del semestre.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Días con actividad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Usuarios-mes</w:t>
            </w:r>
          </w:p>
        </w:tc>
        <w:tc>
          <w:tcPr>
            <w:tcW w:type="dxa" w:w="2469"/>
            <w:shd w:fill="142B4A"/>
          </w:tcPr>
          <w:p>
            <w:r>
              <w:rPr>
                <w:b/>
                <w:color w:val="FFFFFF"/>
                <w:sz w:val="18"/>
              </w:rPr>
              <w:t>Estudiantes únicos</w:t>
            </w:r>
          </w:p>
        </w:tc>
      </w:tr>
      <w:tr>
        <w:tc>
          <w:tcPr>
            <w:tcW w:type="dxa" w:w="2469"/>
          </w:tcPr>
          <w:p>
            <w:r>
              <w:rPr>
                <w:sz w:val="17"/>
              </w:rPr>
              <w:t>Ciberseguridad 9B</w:t>
            </w:r>
          </w:p>
        </w:tc>
        <w:tc>
          <w:tcPr>
            <w:tcW w:type="dxa" w:w="2469"/>
          </w:tcPr>
          <w:p>
            <w:r>
              <w:rPr>
                <w:sz w:val="17"/>
              </w:rPr>
              <w:t>106</w:t>
            </w:r>
          </w:p>
        </w:tc>
        <w:tc>
          <w:tcPr>
            <w:tcW w:type="dxa" w:w="2469"/>
          </w:tcPr>
          <w:p>
            <w:r>
              <w:rPr>
                <w:sz w:val="17"/>
              </w:rPr>
              <w:t>146</w:t>
            </w:r>
          </w:p>
        </w:tc>
        <w:tc>
          <w:tcPr>
            <w:tcW w:type="dxa" w:w="2469"/>
          </w:tcPr>
          <w:p>
            <w:r>
              <w:rPr>
                <w:sz w:val="17"/>
              </w:rPr>
              <w:t>34</w:t>
            </w:r>
          </w:p>
        </w:tc>
      </w:tr>
      <w:tr>
        <w:tc>
          <w:tcPr>
            <w:tcW w:type="dxa" w:w="2469"/>
            <w:shd w:fill="EEF3F7"/>
          </w:tcPr>
          <w:p>
            <w:r>
              <w:rPr>
                <w:sz w:val="17"/>
              </w:rPr>
              <w:t>Requerimientos y Diseño de Software 3E</w:t>
            </w:r>
          </w:p>
        </w:tc>
        <w:tc>
          <w:tcPr>
            <w:tcW w:type="dxa" w:w="2469"/>
            <w:shd w:fill="EEF3F7"/>
          </w:tcPr>
          <w:p>
            <w:r>
              <w:rPr>
                <w:sz w:val="17"/>
              </w:rPr>
              <w:t>106</w:t>
            </w:r>
          </w:p>
        </w:tc>
        <w:tc>
          <w:tcPr>
            <w:tcW w:type="dxa" w:w="2469"/>
            <w:shd w:fill="EEF3F7"/>
          </w:tcPr>
          <w:p>
            <w:r>
              <w:rPr>
                <w:sz w:val="17"/>
              </w:rPr>
              <w:t>125</w:t>
            </w:r>
          </w:p>
        </w:tc>
        <w:tc>
          <w:tcPr>
            <w:tcW w:type="dxa" w:w="2469"/>
            <w:shd w:fill="EEF3F7"/>
          </w:tcPr>
          <w:p>
            <w:r>
              <w:rPr>
                <w:sz w:val="17"/>
              </w:rPr>
              <w:t>31</w:t>
            </w:r>
          </w:p>
        </w:tc>
      </w:tr>
      <w:tr>
        <w:tc>
          <w:tcPr>
            <w:tcW w:type="dxa" w:w="2469"/>
          </w:tcPr>
          <w:p>
            <w:r>
              <w:rPr>
                <w:sz w:val="17"/>
              </w:rPr>
              <w:t>Desarrollo Empresarial 5C</w:t>
            </w:r>
          </w:p>
        </w:tc>
        <w:tc>
          <w:tcPr>
            <w:tcW w:type="dxa" w:w="2469"/>
          </w:tcPr>
          <w:p>
            <w:r>
              <w:rPr>
                <w:sz w:val="17"/>
              </w:rPr>
              <w:t>105</w:t>
            </w:r>
          </w:p>
        </w:tc>
        <w:tc>
          <w:tcPr>
            <w:tcW w:type="dxa" w:w="2469"/>
          </w:tcPr>
          <w:p>
            <w:r>
              <w:rPr>
                <w:sz w:val="17"/>
              </w:rPr>
              <w:t>128</w:t>
            </w:r>
          </w:p>
        </w:tc>
        <w:tc>
          <w:tcPr>
            <w:tcW w:type="dxa" w:w="2469"/>
          </w:tcPr>
          <w:p>
            <w:r>
              <w:rPr>
                <w:sz w:val="17"/>
              </w:rPr>
              <w:t>32</w:t>
            </w:r>
          </w:p>
        </w:tc>
      </w:tr>
    </w:tbl>
    <w:p/>
    <w:p>
      <w:pPr>
        <w:spacing w:line="269" w:lineRule="auto" w:after="140"/>
      </w:pPr>
      <w:r>
        <w:t>Por claridad metodológica, el informe debe denominar estos valores «días con actividad» y «usuarios-mes». No se recomienda llamarlos “accesos” ni “cantidad de estudiantes”, porque esas expresiones sugieren unidades distintas.</w:t>
      </w:r>
    </w:p>
    <w:p>
      <w:pPr>
        <w:pStyle w:val="Heading2"/>
      </w:pPr>
      <w:r>
        <w:t>Correspondencia con el archivo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Hoja del Excel</w:t>
            </w:r>
          </w:p>
        </w:tc>
        <w:tc>
          <w:tcPr>
            <w:tcW w:type="dxa" w:w="4939"/>
            <w:shd w:fill="142B4A"/>
          </w:tcPr>
          <w:p>
            <w:r>
              <w:rPr>
                <w:b/>
                <w:color w:val="FFFFFF"/>
                <w:sz w:val="18"/>
              </w:rPr>
              <w:t>Contenido utilizado</w:t>
            </w:r>
          </w:p>
        </w:tc>
      </w:tr>
      <w:tr>
        <w:tc>
          <w:tcPr>
            <w:tcW w:type="dxa" w:w="4939"/>
          </w:tcPr>
          <w:p>
            <w:r>
              <w:rPr>
                <w:sz w:val="17"/>
              </w:rPr>
              <w:t>Original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  <w:t>400.568 eventos con curso, usuario, rol, acción y fecha.</w:t>
            </w:r>
          </w:p>
        </w:tc>
      </w:tr>
      <w:tr>
        <w:tc>
          <w:tcPr>
            <w:tcW w:type="dxa" w:w="4939"/>
            <w:shd w:fill="EEF3F7"/>
          </w:tcPr>
          <w:p>
            <w:r>
              <w:rPr>
                <w:sz w:val="17"/>
              </w:rPr>
              <w:t>Tabla Dinámica Docentes</w:t>
            </w:r>
          </w:p>
        </w:tc>
        <w:tc>
          <w:tcPr>
            <w:tcW w:type="dxa" w:w="4939"/>
            <w:shd w:fill="EEF3F7"/>
          </w:tcPr>
          <w:p>
            <w:r>
              <w:rPr>
                <w:sz w:val="17"/>
              </w:rPr>
              <w:t>Días de actividad por docente, curso y mes.</w:t>
            </w:r>
          </w:p>
        </w:tc>
      </w:tr>
      <w:tr>
        <w:tc>
          <w:tcPr>
            <w:tcW w:type="dxa" w:w="4939"/>
          </w:tcPr>
          <w:p>
            <w:r>
              <w:rPr>
                <w:sz w:val="17"/>
              </w:rPr>
              <w:t>Docentes DG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  <w:t>Promedio mensual de días de actividad docente.</w:t>
            </w:r>
          </w:p>
        </w:tc>
      </w:tr>
      <w:tr>
        <w:tc>
          <w:tcPr>
            <w:tcW w:type="dxa" w:w="4939"/>
            <w:shd w:fill="EEF3F7"/>
          </w:tcPr>
          <w:p>
            <w:r>
              <w:rPr>
                <w:sz w:val="17"/>
              </w:rPr>
              <w:t>Tabla Dinámica Estudiantes</w:t>
            </w:r>
          </w:p>
        </w:tc>
        <w:tc>
          <w:tcPr>
            <w:tcW w:type="dxa" w:w="4939"/>
            <w:shd w:fill="EEF3F7"/>
          </w:tcPr>
          <w:p>
            <w:r>
              <w:rPr>
                <w:sz w:val="17"/>
              </w:rPr>
              <w:t>Días de uso y estudiantes activos por curso y mes.</w:t>
            </w:r>
          </w:p>
        </w:tc>
      </w:tr>
      <w:tr>
        <w:tc>
          <w:tcPr>
            <w:tcW w:type="dxa" w:w="4939"/>
          </w:tcPr>
          <w:p>
            <w:r>
              <w:rPr>
                <w:sz w:val="17"/>
              </w:rPr>
              <w:t>Estudiantes DG</w:t>
            </w:r>
          </w:p>
        </w:tc>
        <w:tc>
          <w:tcPr>
            <w:tcW w:type="dxa" w:w="4939"/>
          </w:tcPr>
          <w:p>
            <w:r>
              <w:rPr>
                <w:sz w:val="17"/>
              </w:rPr>
              <w:t>Promedio mensual de días de actividad estudiantil.</w:t>
            </w:r>
          </w:p>
        </w:tc>
      </w:tr>
      <w:tr>
        <w:tc>
          <w:tcPr>
            <w:tcW w:type="dxa" w:w="4939"/>
            <w:shd w:fill="EEF3F7"/>
          </w:tcPr>
          <w:p>
            <w:r>
              <w:rPr>
                <w:sz w:val="17"/>
              </w:rPr>
              <w:t>Estudiantes DG2</w:t>
            </w:r>
          </w:p>
        </w:tc>
        <w:tc>
          <w:tcPr>
            <w:tcW w:type="dxa" w:w="4939"/>
            <w:shd w:fill="EEF3F7"/>
          </w:tcPr>
          <w:p>
            <w:r>
              <w:rPr>
                <w:sz w:val="17"/>
              </w:rPr>
              <w:t>Promedio mensual de estudiantes activos por curso.</w:t>
            </w:r>
          </w:p>
        </w:tc>
      </w:tr>
    </w:tbl>
    <w:p/>
    <w:p>
      <w:pPr>
        <w:spacing w:line="269" w:lineRule="auto" w:after="140"/>
      </w:pPr>
      <w:r>
        <w:t>El archivo Excel revisado contiene seis hojas. La información sobre diseño de cursos y el dato de 59 cursos con contenido no aparecen en este archivo, por lo que deben respaldarse con una fuente adicional antes de presentarse como resultado verificado.</w:t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D6874"/>
        <w:sz w:val="16"/>
      </w:rPr>
      <w:t>CAMPUS VIRTUAL  |  INGENIERÍA DE SISTEMAS  |  2026-1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6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B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78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2B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estadístico de uso de Open LMS – Ingeniería de Sistemas 2026-1</dc:title>
  <dc:subject>Documento de muestra mejorado</dc:subject>
  <dc:creator>Campus Virtual – Universidad Santo Tomás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