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Calibri" w:hAnsi="Calibri"/>
          <w:b/>
          <w:color w:val="0F2C59"/>
          <w:sz w:val="44"/>
        </w:rPr>
        <w:t>INFORME EJECUTIVO Y TÉCNICO DE REFACTORIZACIÓN</w:t>
      </w:r>
    </w:p>
    <w:p>
      <w:pPr>
        <w:spacing w:before="0" w:after="320"/>
      </w:pPr>
      <w:r>
        <w:rPr>
          <w:rFonts w:ascii="Calibri" w:hAnsi="Calibri"/>
          <w:color w:val="285886"/>
          <w:sz w:val="26"/>
        </w:rPr>
        <w:t>Transformación Arquitectural Hacia SOLID, Patrón DAO, Software Resiliente, Polimorfismo y TDD</w:t>
      </w:r>
    </w:p>
    <w:tbl>
      <w:tblPr>
        <w:tblW w:type="auto" w:w="0"/>
        <w:jc w:val="center"/>
        <w:tblLayout w:type="fixed"/>
        <w:tblLook w:firstColumn="1" w:firstRow="1" w:lastColumn="0" w:lastRow="0" w:noHBand="0" w:noVBand="1" w:val="04A0"/>
        <w:tblBorders>
          <w:top w:val="single" w:sz="6" w:space="0" w:color="CBD5E1"/>
          <w:left w:val="none"/>
          <w:bottom w:val="single" w:sz="8" w:space="0" w:color="CBD5E1"/>
          <w:right w:val="none"/>
          <w:insideH w:val="single" w:sz="4" w:space="0" w:color="CBD5E1"/>
          <w:insideV w:val="none"/>
        </w:tblBorders>
      </w:tblPr>
      <w:tblGrid>
        <w:gridCol w:w="4680"/>
        <w:gridCol w:w="4680"/>
      </w:tblGrid>
      <w:tr>
        <w:tc>
          <w:tcPr>
            <w:tcW w:type="dxa" w:w="3168"/>
            <w:shd w:fill="F4F7FA"/>
            <w:tcMar>
              <w:top w:w="100" w:type="dxa"/>
              <w:bottom w:w="100" w:type="dxa"/>
              <w:left w:w="140" w:type="dxa"/>
              <w:right w:w="140" w:type="dxa"/>
            </w:tcMar>
          </w:tcPr>
          <w:p>
            <w:pPr>
              <w:spacing w:after="0"/>
            </w:pPr>
            <w:r>
              <w:rPr>
                <w:rFonts w:ascii="Calibri" w:hAnsi="Calibri"/>
                <w:b/>
                <w:color w:val="0F2C59"/>
                <w:sz w:val="19"/>
              </w:rPr>
              <w:t>Proyecto / Sistema:</w:t>
            </w:r>
          </w:p>
        </w:tc>
        <w:tc>
          <w:tcPr>
            <w:tcW w:type="dxa" w:w="6192"/>
            <w:shd w:fill="FFFFFF"/>
            <w:tcMar>
              <w:top w:w="100" w:type="dxa"/>
              <w:bottom w:w="100" w:type="dxa"/>
              <w:left w:w="140" w:type="dxa"/>
              <w:right w:w="140" w:type="dxa"/>
            </w:tcMar>
          </w:tcPr>
          <w:p>
            <w:pPr>
              <w:spacing w:after="0"/>
            </w:pPr>
            <w:r>
              <w:rPr>
                <w:rFonts w:ascii="Calibri" w:hAnsi="Calibri"/>
                <w:color w:val="333333"/>
                <w:sz w:val="19"/>
              </w:rPr>
              <w:t>Inventario ODF (Gestión de Distribuidores Ópticos de Fibra)</w:t>
            </w:r>
          </w:p>
        </w:tc>
      </w:tr>
      <w:tr>
        <w:tc>
          <w:tcPr>
            <w:tcW w:type="dxa" w:w="3168"/>
            <w:shd w:fill="F4F7FA"/>
            <w:tcMar>
              <w:top w:w="100" w:type="dxa"/>
              <w:bottom w:w="100" w:type="dxa"/>
              <w:left w:w="140" w:type="dxa"/>
              <w:right w:w="140" w:type="dxa"/>
            </w:tcMar>
          </w:tcPr>
          <w:p>
            <w:pPr>
              <w:spacing w:after="0"/>
            </w:pPr>
            <w:r>
              <w:rPr>
                <w:rFonts w:ascii="Calibri" w:hAnsi="Calibri"/>
                <w:b/>
                <w:color w:val="0F2C59"/>
                <w:sz w:val="19"/>
              </w:rPr>
              <w:t>Metodología &amp; Ejecución:</w:t>
            </w:r>
          </w:p>
        </w:tc>
        <w:tc>
          <w:tcPr>
            <w:tcW w:type="dxa" w:w="6192"/>
            <w:shd w:fill="FFFFFF"/>
            <w:tcMar>
              <w:top w:w="100" w:type="dxa"/>
              <w:bottom w:w="100" w:type="dxa"/>
              <w:left w:w="140" w:type="dxa"/>
              <w:right w:w="140" w:type="dxa"/>
            </w:tcMar>
          </w:tcPr>
          <w:p>
            <w:pPr>
              <w:spacing w:after="0"/>
            </w:pPr>
            <w:r>
              <w:rPr>
                <w:rFonts w:ascii="Calibri" w:hAnsi="Calibri"/>
                <w:color w:val="333333"/>
                <w:sz w:val="19"/>
              </w:rPr>
              <w:t>Marco Multi-Agente Orquestado (@Architect, @DaoEngineer, @DomainLogic, @ResilienceSre, @TddQa, @ViewIntegrator)</w:t>
            </w:r>
          </w:p>
        </w:tc>
      </w:tr>
      <w:tr>
        <w:tc>
          <w:tcPr>
            <w:tcW w:type="dxa" w:w="3168"/>
            <w:shd w:fill="F4F7FA"/>
            <w:tcMar>
              <w:top w:w="100" w:type="dxa"/>
              <w:bottom w:w="100" w:type="dxa"/>
              <w:left w:w="140" w:type="dxa"/>
              <w:right w:w="140" w:type="dxa"/>
            </w:tcMar>
          </w:tcPr>
          <w:p>
            <w:pPr>
              <w:spacing w:after="0"/>
            </w:pPr>
            <w:r>
              <w:rPr>
                <w:rFonts w:ascii="Calibri" w:hAnsi="Calibri"/>
                <w:b/>
                <w:color w:val="0F2C59"/>
                <w:sz w:val="19"/>
              </w:rPr>
              <w:t>Estado de Entrega:</w:t>
            </w:r>
          </w:p>
        </w:tc>
        <w:tc>
          <w:tcPr>
            <w:tcW w:type="dxa" w:w="6192"/>
            <w:shd w:fill="FFFFFF"/>
            <w:tcMar>
              <w:top w:w="100" w:type="dxa"/>
              <w:bottom w:w="100" w:type="dxa"/>
              <w:left w:w="140" w:type="dxa"/>
              <w:right w:w="140" w:type="dxa"/>
            </w:tcMar>
          </w:tcPr>
          <w:p>
            <w:pPr>
              <w:spacing w:after="0"/>
            </w:pPr>
            <w:r>
              <w:rPr>
                <w:rFonts w:ascii="Calibri" w:hAnsi="Calibri"/>
                <w:color w:val="333333"/>
                <w:sz w:val="19"/>
              </w:rPr>
              <w:t>Producción Homologada • 100% Tests Pasando (32/32 en 0.044s) • 0 Errores</w:t>
            </w:r>
          </w:p>
        </w:tc>
      </w:tr>
      <w:tr>
        <w:tc>
          <w:tcPr>
            <w:tcW w:type="dxa" w:w="3168"/>
            <w:shd w:fill="F4F7FA"/>
            <w:tcMar>
              <w:top w:w="100" w:type="dxa"/>
              <w:bottom w:w="100" w:type="dxa"/>
              <w:left w:w="140" w:type="dxa"/>
              <w:right w:w="140" w:type="dxa"/>
            </w:tcMar>
          </w:tcPr>
          <w:p>
            <w:pPr>
              <w:spacing w:after="0"/>
            </w:pPr>
            <w:r>
              <w:rPr>
                <w:rFonts w:ascii="Calibri" w:hAnsi="Calibri"/>
                <w:b/>
                <w:color w:val="0F2C59"/>
                <w:sz w:val="19"/>
              </w:rPr>
              <w:t>Trazabilidad Git:</w:t>
            </w:r>
          </w:p>
        </w:tc>
        <w:tc>
          <w:tcPr>
            <w:tcW w:type="dxa" w:w="6192"/>
            <w:shd w:fill="FFFFFF"/>
            <w:tcMar>
              <w:top w:w="100" w:type="dxa"/>
              <w:bottom w:w="100" w:type="dxa"/>
              <w:left w:w="140" w:type="dxa"/>
              <w:right w:w="140" w:type="dxa"/>
            </w:tcMar>
          </w:tcPr>
          <w:p>
            <w:pPr>
              <w:spacing w:after="0"/>
            </w:pPr>
            <w:r>
              <w:rPr>
                <w:rFonts w:ascii="Calibri" w:hAnsi="Calibri"/>
                <w:color w:val="333333"/>
                <w:sz w:val="19"/>
              </w:rPr>
              <w:t>Tags Sellados: fase-1-completada hasta fase-5-completada</w:t>
            </w:r>
          </w:p>
        </w:tc>
      </w:tr>
    </w:tbl>
    <w:p>
      <w:pPr>
        <w:spacing w:after="240"/>
      </w:pPr>
    </w:p>
    <w:p>
      <w:pPr>
        <w:pStyle w:val="Heading1"/>
        <w:keepNext/>
        <w:spacing w:before="320" w:after="120"/>
      </w:pPr>
      <w:r>
        <w:rPr>
          <w:rFonts w:ascii="Calibri" w:hAnsi="Calibri"/>
          <w:b/>
          <w:color w:val="0F2C59"/>
          <w:sz w:val="30"/>
        </w:rPr>
        <w:t>1. Resumen Ejecutivo</w:t>
      </w:r>
    </w:p>
    <w:p>
      <w:pPr>
        <w:spacing w:before="0" w:after="120" w:line="276" w:lineRule="auto"/>
      </w:pPr>
      <w:r>
        <w:rPr>
          <w:rFonts w:ascii="Calibri" w:hAnsi="Calibri"/>
          <w:i w:val="0"/>
          <w:color w:val="2A2A2A"/>
          <w:sz w:val="20"/>
        </w:rPr>
        <w:t>El presente informe documenta de manera detallada el proceso integral de refactorización profesional ejecutado sobre el sistema de Inventario de Distribuidores Ópticos (ODF). El aplicativo original operaba bajo un modelo monolítico procedural acoplado (patrón Page Controller), caracterizado por la presencia de consultas SQL incrustadas directamente dentro de las vistas HTML, ausencia absoluta de pruebas automatizadas, clases 'Dios' con múltiples responsabilidades y pérdida irreversible de autoría por dependencia en sesiones HTTP volátiles.</w:t>
      </w:r>
    </w:p>
    <w:p>
      <w:pPr>
        <w:spacing w:before="0" w:after="160" w:line="276" w:lineRule="auto"/>
      </w:pPr>
      <w:r>
        <w:rPr>
          <w:rFonts w:ascii="Calibri" w:hAnsi="Calibri"/>
          <w:i w:val="0"/>
          <w:color w:val="2A2A2A"/>
          <w:sz w:val="20"/>
        </w:rPr>
        <w:t>A través de un plan de trabajo de cinco (5) fases metódicas liderado por un equipo de seis (6) agentes de software especializados y coordinado por el Orquestador General (Antigravity), el sistema ha sido transformado en una arquitectura empresarial desacoplada en cuatro capas: Presentación Limpia (MVC), Dominio Puro (Servicios y Estrategias), Persistencia Aislada (DAO + Entidades Tipadas) e Infraestructura Resiliente (Retry Policy y Capturador Global).</w:t>
      </w:r>
    </w:p>
    <w:tbl>
      <w:tblPr>
        <w:tblW w:type="auto" w:w="0"/>
        <w:jc w:val="center"/>
        <w:tblLayout w:type="fixed"/>
        <w:tblLook w:firstColumn="1" w:firstRow="1" w:lastColumn="0" w:lastRow="0" w:noHBand="0" w:noVBand="1" w:val="04A0"/>
      </w:tblPr>
      <w:tblGrid>
        <w:gridCol w:w="9360"/>
      </w:tblGrid>
      <w:tr>
        <w:tc>
          <w:tcPr>
            <w:tcW w:type="dxa" w:w="9360"/>
            <w:shd w:fill="F0FDF4"/>
            <w:tcMar>
              <w:top w:w="180" w:type="dxa"/>
              <w:bottom w:w="180" w:type="dxa"/>
              <w:left w:w="240" w:type="dxa"/>
              <w:right w:w="200" w:type="dxa"/>
            </w:tcMar>
            <w:tcBorders>
              <w:top w:val="none"/>
              <w:left w:val="single" w:sz="24" w:space="0" w:color="0F2C59"/>
              <w:bottom w:val="none"/>
              <w:right w:val="none"/>
            </w:tcBorders>
          </w:tcPr>
          <w:p>
            <w:pPr>
              <w:spacing w:before="0" w:after="80"/>
            </w:pPr>
            <w:r>
              <w:rPr>
                <w:rFonts w:ascii="Calibri" w:hAnsi="Calibri"/>
                <w:b/>
                <w:color w:val="1B365D"/>
                <w:sz w:val="21"/>
              </w:rPr>
              <w:t xml:space="preserve">📌 DIRECTRIZ DE IMPACTO CERO (UI/UX INTACTA): </w:t>
            </w:r>
            <w:r>
              <w:rPr>
                <w:rFonts w:ascii="Calibri" w:hAnsi="Calibri"/>
                <w:color w:val="333333"/>
                <w:sz w:val="20"/>
              </w:rPr>
              <w:t>La refactorización se llevó a cabo bajo una estricta directriz de CERO REGRESIONES VISUALES O FUNCIONALES. Toda la interfaz de usuario basada en Bootstrap 5, la reactividad en modales, los selectores en tiempo real y el renderizado interactivo SVG de puertos se mantuvieron 100% operativos e idénticos para el usuario final.</w:t>
            </w:r>
          </w:p>
        </w:tc>
      </w:tr>
    </w:tbl>
    <w:p>
      <w:pPr>
        <w:spacing w:after="120"/>
      </w:pP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F8FAFC"/>
            <w:tcMar>
              <w:top w:w="140" w:type="dxa"/>
              <w:bottom w:w="140" w:type="dxa"/>
              <w:left w:w="100" w:type="dxa"/>
              <w:right w:w="100" w:type="dxa"/>
            </w:tcMar>
            <w:tcBorders>
              <w:top w:val="single" w:sz="16" w:space="0" w:color="0F2C59"/>
              <w:left w:val="none"/>
              <w:bottom w:val="single" w:sz="4" w:space="0" w:color="CBD5E1"/>
              <w:right w:val="none"/>
            </w:tcBorders>
          </w:tcPr>
          <w:p>
            <w:pPr>
              <w:spacing w:after="40"/>
              <w:jc w:val="center"/>
            </w:pPr>
            <w:r>
              <w:rPr>
                <w:rFonts w:ascii="Calibri" w:hAnsi="Calibri"/>
                <w:b/>
                <w:color w:val="0F2C59"/>
                <w:sz w:val="22"/>
              </w:rPr>
              <w:t>32 TESTS</w:t>
              <w:br/>
            </w:r>
            <w:r>
              <w:rPr>
                <w:rFonts w:ascii="Calibri" w:hAnsi="Calibri"/>
                <w:color w:val="64748B"/>
                <w:sz w:val="17"/>
              </w:rPr>
              <w:t>De 0 a 32 tests unitarios pasando al 100%</w:t>
            </w:r>
          </w:p>
        </w:tc>
        <w:tc>
          <w:tcPr>
            <w:tcW w:type="dxa" w:w="2340"/>
            <w:shd w:fill="F8FAFC"/>
            <w:tcMar>
              <w:top w:w="140" w:type="dxa"/>
              <w:bottom w:w="140" w:type="dxa"/>
              <w:left w:w="100" w:type="dxa"/>
              <w:right w:w="100" w:type="dxa"/>
            </w:tcMar>
            <w:tcBorders>
              <w:top w:val="single" w:sz="16" w:space="0" w:color="0F2C59"/>
              <w:left w:val="none"/>
              <w:bottom w:val="single" w:sz="4" w:space="0" w:color="CBD5E1"/>
              <w:right w:val="none"/>
            </w:tcBorders>
          </w:tcPr>
          <w:p>
            <w:pPr>
              <w:spacing w:after="40"/>
              <w:jc w:val="center"/>
            </w:pPr>
            <w:r>
              <w:rPr>
                <w:rFonts w:ascii="Calibri" w:hAnsi="Calibri"/>
                <w:b/>
                <w:color w:val="0F2C59"/>
                <w:sz w:val="22"/>
              </w:rPr>
              <w:t>128 ASERCIONES</w:t>
              <w:br/>
            </w:r>
            <w:r>
              <w:rPr>
                <w:rFonts w:ascii="Calibri" w:hAnsi="Calibri"/>
                <w:color w:val="64748B"/>
                <w:sz w:val="17"/>
              </w:rPr>
              <w:t>Red de seguridad automática en memoria (0.044s)</w:t>
            </w:r>
          </w:p>
        </w:tc>
        <w:tc>
          <w:tcPr>
            <w:tcW w:type="dxa" w:w="2340"/>
            <w:shd w:fill="F8FAFC"/>
            <w:tcMar>
              <w:top w:w="140" w:type="dxa"/>
              <w:bottom w:w="140" w:type="dxa"/>
              <w:left w:w="100" w:type="dxa"/>
              <w:right w:w="100" w:type="dxa"/>
            </w:tcMar>
            <w:tcBorders>
              <w:top w:val="single" w:sz="16" w:space="0" w:color="0F2C59"/>
              <w:left w:val="none"/>
              <w:bottom w:val="single" w:sz="4" w:space="0" w:color="CBD5E1"/>
              <w:right w:val="none"/>
            </w:tcBorders>
          </w:tcPr>
          <w:p>
            <w:pPr>
              <w:spacing w:after="40"/>
              <w:jc w:val="center"/>
            </w:pPr>
            <w:r>
              <w:rPr>
                <w:rFonts w:ascii="Calibri" w:hAnsi="Calibri"/>
                <w:b/>
                <w:color w:val="0F2C59"/>
                <w:sz w:val="22"/>
              </w:rPr>
              <w:t>0 SQL EN VISTAS</w:t>
              <w:br/>
            </w:r>
            <w:r>
              <w:rPr>
                <w:rFonts w:ascii="Calibri" w:hAnsi="Calibri"/>
                <w:color w:val="64748B"/>
                <w:sz w:val="17"/>
              </w:rPr>
              <w:t>100% erradicado el SQL de las vistas HTML</w:t>
            </w:r>
          </w:p>
        </w:tc>
        <w:tc>
          <w:tcPr>
            <w:tcW w:type="dxa" w:w="2340"/>
            <w:shd w:fill="F8FAFC"/>
            <w:tcMar>
              <w:top w:w="140" w:type="dxa"/>
              <w:bottom w:w="140" w:type="dxa"/>
              <w:left w:w="100" w:type="dxa"/>
              <w:right w:w="100" w:type="dxa"/>
            </w:tcMar>
            <w:tcBorders>
              <w:top w:val="single" w:sz="16" w:space="0" w:color="0F2C59"/>
              <w:left w:val="none"/>
              <w:bottom w:val="single" w:sz="4" w:space="0" w:color="CBD5E1"/>
              <w:right w:val="none"/>
            </w:tcBorders>
          </w:tcPr>
          <w:p>
            <w:pPr>
              <w:spacing w:after="40"/>
              <w:jc w:val="center"/>
            </w:pPr>
            <w:r>
              <w:rPr>
                <w:rFonts w:ascii="Calibri" w:hAnsi="Calibri"/>
                <w:b/>
                <w:color w:val="0F2C59"/>
                <w:sz w:val="22"/>
              </w:rPr>
              <w:t>3 REINTENTOS</w:t>
              <w:br/>
            </w:r>
            <w:r>
              <w:rPr>
                <w:rFonts w:ascii="Calibri" w:hAnsi="Calibri"/>
                <w:color w:val="64748B"/>
                <w:sz w:val="17"/>
              </w:rPr>
              <w:t>Tolerancia a micro-cortes y fallos transitorios BD</w:t>
            </w:r>
          </w:p>
        </w:tc>
      </w:tr>
    </w:tbl>
    <w:p>
      <w:pPr>
        <w:spacing w:after="200"/>
      </w:pPr>
    </w:p>
    <w:p>
      <w:pPr>
        <w:pStyle w:val="Heading1"/>
        <w:keepNext/>
        <w:spacing w:before="320" w:after="120"/>
      </w:pPr>
      <w:r>
        <w:rPr>
          <w:rFonts w:ascii="Calibri" w:hAnsi="Calibri"/>
          <w:b/>
          <w:color w:val="0F2C59"/>
          <w:sz w:val="30"/>
        </w:rPr>
        <w:t>2. Cuadro Maestro Comparativo: Estado Inicial vs. Estado Final</w:t>
      </w:r>
    </w:p>
    <w:p>
      <w:pPr>
        <w:spacing w:before="0" w:after="160" w:line="276" w:lineRule="auto"/>
      </w:pPr>
      <w:r>
        <w:rPr>
          <w:rFonts w:ascii="Calibri" w:hAnsi="Calibri"/>
          <w:i w:val="0"/>
          <w:color w:val="2A2A2A"/>
          <w:sz w:val="20"/>
        </w:rPr>
        <w:t>A continuación, se detalla la comparativa técnica multidimensional entre la línea base original y la entrega final:</w:t>
      </w:r>
    </w:p>
    <w:tbl>
      <w:tblPr>
        <w:tblW w:type="auto" w:w="0"/>
        <w:jc w:val="center"/>
        <w:tblLayout w:type="fixed"/>
        <w:tblLook w:firstColumn="1" w:firstRow="1" w:lastColumn="0" w:lastRow="0" w:noHBand="0" w:noVBand="1" w:val="04A0"/>
        <w:tblBorders>
          <w:top w:val="single" w:sz="6" w:space="0" w:color="CBD5E1"/>
          <w:left w:val="none"/>
          <w:bottom w:val="single" w:sz="8" w:space="0" w:color="CBD5E1"/>
          <w:right w:val="none"/>
          <w:insideH w:val="single" w:sz="4" w:space="0" w:color="CBD5E1"/>
          <w:insideV w:val="none"/>
        </w:tblBorders>
      </w:tblPr>
      <w:tblGrid>
        <w:gridCol w:w="2340"/>
        <w:gridCol w:w="2340"/>
        <w:gridCol w:w="2340"/>
        <w:gridCol w:w="2340"/>
      </w:tblGrid>
      <w:tr>
        <w:tc>
          <w:tcPr>
            <w:tcW w:type="dxa" w:w="2016"/>
            <w:shd w:fill="0F2C59"/>
            <w:tcMar>
              <w:top w:w="140" w:type="dxa"/>
              <w:bottom w:w="140" w:type="dxa"/>
              <w:left w:w="120" w:type="dxa"/>
              <w:right w:w="120" w:type="dxa"/>
            </w:tcMar>
          </w:tcPr>
          <w:p>
            <w:pPr>
              <w:spacing w:after="0"/>
            </w:pPr>
            <w:r>
              <w:rPr>
                <w:rFonts w:ascii="Calibri" w:hAnsi="Calibri"/>
                <w:b/>
                <w:color w:val="FFFFFF"/>
                <w:sz w:val="19"/>
              </w:rPr>
              <w:t>Dimensión Técnica</w:t>
            </w:r>
          </w:p>
        </w:tc>
        <w:tc>
          <w:tcPr>
            <w:tcW w:type="dxa" w:w="2880"/>
            <w:shd w:fill="0F2C59"/>
            <w:tcMar>
              <w:top w:w="140" w:type="dxa"/>
              <w:bottom w:w="140" w:type="dxa"/>
              <w:left w:w="120" w:type="dxa"/>
              <w:right w:w="120" w:type="dxa"/>
            </w:tcMar>
          </w:tcPr>
          <w:p>
            <w:pPr>
              <w:spacing w:after="0"/>
            </w:pPr>
            <w:r>
              <w:rPr>
                <w:rFonts w:ascii="Calibri" w:hAnsi="Calibri"/>
                <w:b/>
                <w:color w:val="FFFFFF"/>
                <w:sz w:val="19"/>
              </w:rPr>
              <w:t>Línea Base Original (Antes)</w:t>
            </w:r>
          </w:p>
        </w:tc>
        <w:tc>
          <w:tcPr>
            <w:tcW w:type="dxa" w:w="3024"/>
            <w:shd w:fill="0F2C59"/>
            <w:tcMar>
              <w:top w:w="140" w:type="dxa"/>
              <w:bottom w:w="140" w:type="dxa"/>
              <w:left w:w="120" w:type="dxa"/>
              <w:right w:w="120" w:type="dxa"/>
            </w:tcMar>
          </w:tcPr>
          <w:p>
            <w:pPr>
              <w:spacing w:after="0"/>
            </w:pPr>
            <w:r>
              <w:rPr>
                <w:rFonts w:ascii="Calibri" w:hAnsi="Calibri"/>
                <w:b/>
                <w:color w:val="FFFFFF"/>
                <w:sz w:val="19"/>
              </w:rPr>
              <w:t>Estado Refactorizado (Después)</w:t>
            </w:r>
          </w:p>
        </w:tc>
        <w:tc>
          <w:tcPr>
            <w:tcW w:type="dxa" w:w="1440"/>
            <w:shd w:fill="0F2C59"/>
            <w:tcMar>
              <w:top w:w="140" w:type="dxa"/>
              <w:bottom w:w="140" w:type="dxa"/>
              <w:left w:w="120" w:type="dxa"/>
              <w:right w:w="120" w:type="dxa"/>
            </w:tcMar>
          </w:tcPr>
          <w:p>
            <w:pPr>
              <w:spacing w:after="0"/>
            </w:pPr>
            <w:r>
              <w:rPr>
                <w:rFonts w:ascii="Calibri" w:hAnsi="Calibri"/>
                <w:b/>
                <w:color w:val="FFFFFF"/>
                <w:sz w:val="19"/>
              </w:rPr>
              <w:t>Impacto / Ganancia</w:t>
            </w:r>
          </w:p>
        </w:tc>
      </w:tr>
      <w:tr>
        <w:tc>
          <w:tcPr>
            <w:tcW w:type="dxa" w:w="2016"/>
            <w:shd w:fill="FFFFFF"/>
            <w:tcMar>
              <w:top w:w="100" w:type="dxa"/>
              <w:bottom w:w="100" w:type="dxa"/>
              <w:left w:w="120" w:type="dxa"/>
              <w:right w:w="120" w:type="dxa"/>
            </w:tcMar>
          </w:tcPr>
          <w:p>
            <w:pPr>
              <w:spacing w:after="0" w:line="276" w:lineRule="auto"/>
            </w:pPr>
            <w:r>
              <w:rPr>
                <w:rFonts w:ascii="Calibri" w:hAnsi="Calibri"/>
                <w:b/>
                <w:color w:val="0F2C59"/>
                <w:sz w:val="17"/>
              </w:rPr>
              <w:t>Arquitectura Global</w:t>
            </w:r>
          </w:p>
        </w:tc>
        <w:tc>
          <w:tcPr>
            <w:tcW w:type="dxa" w:w="2880"/>
            <w:shd w:fill="FFFFFF"/>
            <w:tcMar>
              <w:top w:w="100" w:type="dxa"/>
              <w:bottom w:w="100" w:type="dxa"/>
              <w:left w:w="120" w:type="dxa"/>
              <w:right w:w="120" w:type="dxa"/>
            </w:tcMar>
          </w:tcPr>
          <w:p>
            <w:pPr>
              <w:spacing w:after="0" w:line="276" w:lineRule="auto"/>
            </w:pPr>
            <w:r>
              <w:rPr>
                <w:rFonts w:ascii="Calibri" w:hAnsi="Calibri"/>
                <w:color w:val="333333"/>
                <w:sz w:val="17"/>
              </w:rPr>
              <w:t>Monolito de Page Controllers híbridos; mezcla directa de SQL, HTML, CSS y JS en los mismos archivos.</w:t>
            </w:r>
          </w:p>
        </w:tc>
        <w:tc>
          <w:tcPr>
            <w:tcW w:type="dxa" w:w="3024"/>
            <w:shd w:fill="FFFFFF"/>
            <w:tcMar>
              <w:top w:w="100" w:type="dxa"/>
              <w:bottom w:w="100" w:type="dxa"/>
              <w:left w:w="120" w:type="dxa"/>
              <w:right w:w="120" w:type="dxa"/>
            </w:tcMar>
          </w:tcPr>
          <w:p>
            <w:pPr>
              <w:spacing w:after="0" w:line="276" w:lineRule="auto"/>
            </w:pPr>
            <w:r>
              <w:rPr>
                <w:rFonts w:ascii="Calibri" w:hAnsi="Calibri"/>
                <w:color w:val="333333"/>
                <w:sz w:val="17"/>
              </w:rPr>
              <w:t>Arquitectura Limpia desacoplada en 4 capas (Presentación, Dominio, Persistencia DAO e Infraestructura).</w:t>
            </w:r>
          </w:p>
        </w:tc>
        <w:tc>
          <w:tcPr>
            <w:tcW w:type="dxa" w:w="1440"/>
            <w:shd w:fill="FFFFFF"/>
            <w:tcMar>
              <w:top w:w="100" w:type="dxa"/>
              <w:bottom w:w="100" w:type="dxa"/>
              <w:left w:w="120" w:type="dxa"/>
              <w:right w:w="120" w:type="dxa"/>
            </w:tcMar>
          </w:tcPr>
          <w:p>
            <w:pPr>
              <w:spacing w:after="0" w:line="276" w:lineRule="auto"/>
            </w:pPr>
            <w:r>
              <w:rPr>
                <w:rFonts w:ascii="Calibri" w:hAnsi="Calibri"/>
                <w:b/>
                <w:color w:val="15803D"/>
                <w:sz w:val="17"/>
              </w:rPr>
              <w:t>Estructural</w:t>
            </w:r>
          </w:p>
        </w:tc>
      </w:tr>
      <w:tr>
        <w:tc>
          <w:tcPr>
            <w:tcW w:type="dxa" w:w="2016"/>
            <w:shd w:fill="F8FAFC"/>
            <w:tcMar>
              <w:top w:w="100" w:type="dxa"/>
              <w:bottom w:w="100" w:type="dxa"/>
              <w:left w:w="120" w:type="dxa"/>
              <w:right w:w="120" w:type="dxa"/>
            </w:tcMar>
          </w:tcPr>
          <w:p>
            <w:pPr>
              <w:spacing w:after="0" w:line="276" w:lineRule="auto"/>
            </w:pPr>
            <w:r>
              <w:rPr>
                <w:rFonts w:ascii="Calibri" w:hAnsi="Calibri"/>
                <w:b/>
                <w:color w:val="0F2C59"/>
                <w:sz w:val="17"/>
              </w:rPr>
              <w:t>Patrón DAO</w:t>
            </w:r>
          </w:p>
        </w:tc>
        <w:tc>
          <w:tcPr>
            <w:tcW w:type="dxa" w:w="2880"/>
            <w:shd w:fill="F8FAFC"/>
            <w:tcMar>
              <w:top w:w="100" w:type="dxa"/>
              <w:bottom w:w="100" w:type="dxa"/>
              <w:left w:w="120" w:type="dxa"/>
              <w:right w:w="120" w:type="dxa"/>
            </w:tcMar>
          </w:tcPr>
          <w:p>
            <w:pPr>
              <w:spacing w:after="0" w:line="276" w:lineRule="auto"/>
            </w:pPr>
            <w:r>
              <w:rPr>
                <w:rFonts w:ascii="Calibri" w:hAnsi="Calibri"/>
                <w:color w:val="333333"/>
                <w:sz w:val="17"/>
              </w:rPr>
              <w:t>Incumplido. Más de 15 sentencias SQL dispersas en vistas (`admin_site_detalle.php`, `dashboard.php`, etc.).</w:t>
            </w:r>
          </w:p>
        </w:tc>
        <w:tc>
          <w:tcPr>
            <w:tcW w:type="dxa" w:w="3024"/>
            <w:shd w:fill="F8FAFC"/>
            <w:tcMar>
              <w:top w:w="100" w:type="dxa"/>
              <w:bottom w:w="100" w:type="dxa"/>
              <w:left w:w="120" w:type="dxa"/>
              <w:right w:w="120" w:type="dxa"/>
            </w:tcMar>
          </w:tcPr>
          <w:p>
            <w:pPr>
              <w:spacing w:after="0" w:line="276" w:lineRule="auto"/>
            </w:pPr>
            <w:r>
              <w:rPr>
                <w:rFonts w:ascii="Calibri" w:hAnsi="Calibri"/>
                <w:color w:val="333333"/>
                <w:sz w:val="17"/>
              </w:rPr>
              <w:t>5 Interfaces DAO, 5 implementaciones MySQL aisladas y 5 Entidades tipadas (DTOs). Cero SQL en vistas.</w:t>
            </w:r>
          </w:p>
        </w:tc>
        <w:tc>
          <w:tcPr>
            <w:tcW w:type="dxa" w:w="1440"/>
            <w:shd w:fill="F8FAFC"/>
            <w:tcMar>
              <w:top w:w="100" w:type="dxa"/>
              <w:bottom w:w="100" w:type="dxa"/>
              <w:left w:w="120" w:type="dxa"/>
              <w:right w:w="120" w:type="dxa"/>
            </w:tcMar>
          </w:tcPr>
          <w:p>
            <w:pPr>
              <w:spacing w:after="0" w:line="276" w:lineRule="auto"/>
            </w:pPr>
            <w:r>
              <w:rPr>
                <w:rFonts w:ascii="Calibri" w:hAnsi="Calibri"/>
                <w:b/>
                <w:color w:val="15803D"/>
                <w:sz w:val="17"/>
              </w:rPr>
              <w:t>100% DAO</w:t>
            </w:r>
          </w:p>
        </w:tc>
      </w:tr>
      <w:tr>
        <w:tc>
          <w:tcPr>
            <w:tcW w:type="dxa" w:w="2016"/>
            <w:shd w:fill="FFFFFF"/>
            <w:tcMar>
              <w:top w:w="100" w:type="dxa"/>
              <w:bottom w:w="100" w:type="dxa"/>
              <w:left w:w="120" w:type="dxa"/>
              <w:right w:w="120" w:type="dxa"/>
            </w:tcMar>
          </w:tcPr>
          <w:p>
            <w:pPr>
              <w:spacing w:after="0" w:line="276" w:lineRule="auto"/>
            </w:pPr>
            <w:r>
              <w:rPr>
                <w:rFonts w:ascii="Calibri" w:hAnsi="Calibri"/>
                <w:b/>
                <w:color w:val="0F2C59"/>
                <w:sz w:val="17"/>
              </w:rPr>
              <w:t>Principios SOLID</w:t>
            </w:r>
          </w:p>
        </w:tc>
        <w:tc>
          <w:tcPr>
            <w:tcW w:type="dxa" w:w="2880"/>
            <w:shd w:fill="FFFFFF"/>
            <w:tcMar>
              <w:top w:w="100" w:type="dxa"/>
              <w:bottom w:w="100" w:type="dxa"/>
              <w:left w:w="120" w:type="dxa"/>
              <w:right w:w="120" w:type="dxa"/>
            </w:tcMar>
          </w:tcPr>
          <w:p>
            <w:pPr>
              <w:spacing w:after="0" w:line="276" w:lineRule="auto"/>
            </w:pPr>
            <w:r>
              <w:rPr>
                <w:rFonts w:ascii="Calibri" w:hAnsi="Calibri"/>
                <w:color w:val="333333"/>
                <w:sz w:val="17"/>
              </w:rPr>
              <w:t>Clases 'Dios' (`Infraestructura.php`) con múltiples responsabilidades; llamadas estáticas rígidas a base de datos.</w:t>
            </w:r>
          </w:p>
        </w:tc>
        <w:tc>
          <w:tcPr>
            <w:tcW w:type="dxa" w:w="3024"/>
            <w:shd w:fill="FFFFFF"/>
            <w:tcMar>
              <w:top w:w="100" w:type="dxa"/>
              <w:bottom w:w="100" w:type="dxa"/>
              <w:left w:w="120" w:type="dxa"/>
              <w:right w:w="120" w:type="dxa"/>
            </w:tcMar>
          </w:tcPr>
          <w:p>
            <w:pPr>
              <w:spacing w:after="0" w:line="276" w:lineRule="auto"/>
            </w:pPr>
            <w:r>
              <w:rPr>
                <w:rFonts w:ascii="Calibri" w:hAnsi="Calibri"/>
                <w:color w:val="333333"/>
                <w:sz w:val="17"/>
              </w:rPr>
              <w:t>Clases con responsabilidad única (SRP), abiertas a extensión (OCP), desacopladas mediante inyección (DIP).</w:t>
            </w:r>
          </w:p>
        </w:tc>
        <w:tc>
          <w:tcPr>
            <w:tcW w:type="dxa" w:w="1440"/>
            <w:shd w:fill="FFFFFF"/>
            <w:tcMar>
              <w:top w:w="100" w:type="dxa"/>
              <w:bottom w:w="100" w:type="dxa"/>
              <w:left w:w="120" w:type="dxa"/>
              <w:right w:w="120" w:type="dxa"/>
            </w:tcMar>
          </w:tcPr>
          <w:p>
            <w:pPr>
              <w:spacing w:after="0" w:line="276" w:lineRule="auto"/>
            </w:pPr>
            <w:r>
              <w:rPr>
                <w:rFonts w:ascii="Calibri" w:hAnsi="Calibri"/>
                <w:b/>
                <w:color w:val="15803D"/>
                <w:sz w:val="17"/>
              </w:rPr>
              <w:t>Enterprise</w:t>
            </w:r>
          </w:p>
        </w:tc>
      </w:tr>
      <w:tr>
        <w:tc>
          <w:tcPr>
            <w:tcW w:type="dxa" w:w="2016"/>
            <w:shd w:fill="F8FAFC"/>
            <w:tcMar>
              <w:top w:w="100" w:type="dxa"/>
              <w:bottom w:w="100" w:type="dxa"/>
              <w:left w:w="120" w:type="dxa"/>
              <w:right w:w="120" w:type="dxa"/>
            </w:tcMar>
          </w:tcPr>
          <w:p>
            <w:pPr>
              <w:spacing w:after="0" w:line="276" w:lineRule="auto"/>
            </w:pPr>
            <w:r>
              <w:rPr>
                <w:rFonts w:ascii="Calibri" w:hAnsi="Calibri"/>
                <w:b/>
                <w:color w:val="0F2C59"/>
                <w:sz w:val="17"/>
              </w:rPr>
              <w:t>Polimorfismo &amp; Strategy</w:t>
            </w:r>
          </w:p>
        </w:tc>
        <w:tc>
          <w:tcPr>
            <w:tcW w:type="dxa" w:w="2880"/>
            <w:shd w:fill="F8FAFC"/>
            <w:tcMar>
              <w:top w:w="100" w:type="dxa"/>
              <w:bottom w:w="100" w:type="dxa"/>
              <w:left w:w="120" w:type="dxa"/>
              <w:right w:w="120" w:type="dxa"/>
            </w:tcMar>
          </w:tcPr>
          <w:p>
            <w:pPr>
              <w:spacing w:after="0" w:line="276" w:lineRule="auto"/>
            </w:pPr>
            <w:r>
              <w:rPr>
                <w:rFonts w:ascii="Calibri" w:hAnsi="Calibri"/>
                <w:color w:val="333333"/>
                <w:sz w:val="17"/>
              </w:rPr>
              <w:t>Cero interfaces. Flujos controlados mediante cadenas de texto y condicionales `if/else` anidados.</w:t>
            </w:r>
          </w:p>
        </w:tc>
        <w:tc>
          <w:tcPr>
            <w:tcW w:type="dxa" w:w="3024"/>
            <w:shd w:fill="F8FAFC"/>
            <w:tcMar>
              <w:top w:w="100" w:type="dxa"/>
              <w:bottom w:w="100" w:type="dxa"/>
              <w:left w:w="120" w:type="dxa"/>
              <w:right w:w="120" w:type="dxa"/>
            </w:tcMar>
          </w:tcPr>
          <w:p>
            <w:pPr>
              <w:spacing w:after="0" w:line="276" w:lineRule="auto"/>
            </w:pPr>
            <w:r>
              <w:rPr>
                <w:rFonts w:ascii="Calibri" w:hAnsi="Calibri"/>
                <w:color w:val="333333"/>
                <w:sz w:val="17"/>
              </w:rPr>
              <w:t>Patrón Strategy para lectores (`CsvReader`, `XlsxReader`) y autorización polimórfica (`RolePolicyInterface`).</w:t>
            </w:r>
          </w:p>
        </w:tc>
        <w:tc>
          <w:tcPr>
            <w:tcW w:type="dxa" w:w="1440"/>
            <w:shd w:fill="F8FAFC"/>
            <w:tcMar>
              <w:top w:w="100" w:type="dxa"/>
              <w:bottom w:w="100" w:type="dxa"/>
              <w:left w:w="120" w:type="dxa"/>
              <w:right w:w="120" w:type="dxa"/>
            </w:tcMar>
          </w:tcPr>
          <w:p>
            <w:pPr>
              <w:spacing w:after="0" w:line="276" w:lineRule="auto"/>
            </w:pPr>
            <w:r>
              <w:rPr>
                <w:rFonts w:ascii="Calibri" w:hAnsi="Calibri"/>
                <w:b/>
                <w:color w:val="0F2C59"/>
                <w:sz w:val="17"/>
              </w:rPr>
              <w:t>Extensible</w:t>
            </w:r>
          </w:p>
        </w:tc>
      </w:tr>
      <w:tr>
        <w:tc>
          <w:tcPr>
            <w:tcW w:type="dxa" w:w="2016"/>
            <w:shd w:fill="FFFFFF"/>
            <w:tcMar>
              <w:top w:w="100" w:type="dxa"/>
              <w:bottom w:w="100" w:type="dxa"/>
              <w:left w:w="120" w:type="dxa"/>
              <w:right w:w="120" w:type="dxa"/>
            </w:tcMar>
          </w:tcPr>
          <w:p>
            <w:pPr>
              <w:spacing w:after="0" w:line="276" w:lineRule="auto"/>
            </w:pPr>
            <w:r>
              <w:rPr>
                <w:rFonts w:ascii="Calibri" w:hAnsi="Calibri"/>
                <w:b/>
                <w:color w:val="0F2C59"/>
                <w:sz w:val="17"/>
              </w:rPr>
              <w:t>Resiliencia &amp; SRE</w:t>
            </w:r>
          </w:p>
        </w:tc>
        <w:tc>
          <w:tcPr>
            <w:tcW w:type="dxa" w:w="2880"/>
            <w:shd w:fill="FFFFFF"/>
            <w:tcMar>
              <w:top w:w="100" w:type="dxa"/>
              <w:bottom w:w="100" w:type="dxa"/>
              <w:left w:w="120" w:type="dxa"/>
              <w:right w:w="120" w:type="dxa"/>
            </w:tcMar>
          </w:tcPr>
          <w:p>
            <w:pPr>
              <w:spacing w:after="0" w:line="276" w:lineRule="auto"/>
            </w:pPr>
            <w:r>
              <w:rPr>
                <w:rFonts w:ascii="Calibri" w:hAnsi="Calibri"/>
                <w:color w:val="333333"/>
                <w:sz w:val="17"/>
              </w:rPr>
              <w:t>Credenciales en código duro. Caídas en pantalla blanca. Falla definitiva ante micro-cortes de red.</w:t>
            </w:r>
          </w:p>
        </w:tc>
        <w:tc>
          <w:tcPr>
            <w:tcW w:type="dxa" w:w="3024"/>
            <w:shd w:fill="FFFFFF"/>
            <w:tcMar>
              <w:top w:w="100" w:type="dxa"/>
              <w:bottom w:w="100" w:type="dxa"/>
              <w:left w:w="120" w:type="dxa"/>
              <w:right w:w="120" w:type="dxa"/>
            </w:tcMar>
          </w:tcPr>
          <w:p>
            <w:pPr>
              <w:spacing w:after="0" w:line="276" w:lineRule="auto"/>
            </w:pPr>
            <w:r>
              <w:rPr>
                <w:rFonts w:ascii="Calibri" w:hAnsi="Calibri"/>
                <w:color w:val="333333"/>
                <w:sz w:val="17"/>
              </w:rPr>
              <w:t>Lector `.env`, `ErrorHandler` global con traza en `logs/app.log`, conexión con Retry Policy (3 reintentos).</w:t>
            </w:r>
          </w:p>
        </w:tc>
        <w:tc>
          <w:tcPr>
            <w:tcW w:type="dxa" w:w="1440"/>
            <w:shd w:fill="FFFFFF"/>
            <w:tcMar>
              <w:top w:w="100" w:type="dxa"/>
              <w:bottom w:w="100" w:type="dxa"/>
              <w:left w:w="120" w:type="dxa"/>
              <w:right w:w="120" w:type="dxa"/>
            </w:tcMar>
          </w:tcPr>
          <w:p>
            <w:pPr>
              <w:spacing w:after="0" w:line="276" w:lineRule="auto"/>
            </w:pPr>
            <w:r>
              <w:rPr>
                <w:rFonts w:ascii="Calibri" w:hAnsi="Calibri"/>
                <w:b/>
                <w:color w:val="0F2C59"/>
                <w:sz w:val="17"/>
              </w:rPr>
              <w:t>Grado Producción</w:t>
            </w:r>
          </w:p>
        </w:tc>
      </w:tr>
      <w:tr>
        <w:tc>
          <w:tcPr>
            <w:tcW w:type="dxa" w:w="2016"/>
            <w:shd w:fill="F8FAFC"/>
            <w:tcMar>
              <w:top w:w="100" w:type="dxa"/>
              <w:bottom w:w="100" w:type="dxa"/>
              <w:left w:w="120" w:type="dxa"/>
              <w:right w:w="120" w:type="dxa"/>
            </w:tcMar>
          </w:tcPr>
          <w:p>
            <w:pPr>
              <w:spacing w:after="0" w:line="276" w:lineRule="auto"/>
            </w:pPr>
            <w:r>
              <w:rPr>
                <w:rFonts w:ascii="Calibri" w:hAnsi="Calibri"/>
                <w:b/>
                <w:color w:val="0F2C59"/>
                <w:sz w:val="17"/>
              </w:rPr>
              <w:t>Persistencia de Auditoría</w:t>
            </w:r>
          </w:p>
        </w:tc>
        <w:tc>
          <w:tcPr>
            <w:tcW w:type="dxa" w:w="2880"/>
            <w:shd w:fill="F8FAFC"/>
            <w:tcMar>
              <w:top w:w="100" w:type="dxa"/>
              <w:bottom w:w="100" w:type="dxa"/>
              <w:left w:w="120" w:type="dxa"/>
              <w:right w:w="120" w:type="dxa"/>
            </w:tcMar>
          </w:tcPr>
          <w:p>
            <w:pPr>
              <w:spacing w:after="0" w:line="276" w:lineRule="auto"/>
            </w:pPr>
            <w:r>
              <w:rPr>
                <w:rFonts w:ascii="Calibri" w:hAnsi="Calibri"/>
                <w:color w:val="333333"/>
                <w:sz w:val="17"/>
              </w:rPr>
              <w:t>Supervisores perdían permisos permanentemente al expirar la sesión (`$_SESSION['creados_en_sesion']`).</w:t>
            </w:r>
          </w:p>
        </w:tc>
        <w:tc>
          <w:tcPr>
            <w:tcW w:type="dxa" w:w="3024"/>
            <w:shd w:fill="F8FAFC"/>
            <w:tcMar>
              <w:top w:w="100" w:type="dxa"/>
              <w:bottom w:w="100" w:type="dxa"/>
              <w:left w:w="120" w:type="dxa"/>
              <w:right w:w="120" w:type="dxa"/>
            </w:tcMar>
          </w:tcPr>
          <w:p>
            <w:pPr>
              <w:spacing w:after="0" w:line="276" w:lineRule="auto"/>
            </w:pPr>
            <w:r>
              <w:rPr>
                <w:rFonts w:ascii="Calibri" w:hAnsi="Calibri"/>
                <w:color w:val="333333"/>
                <w:sz w:val="17"/>
              </w:rPr>
              <w:t>Columnas `creado_por` y `creado_en` con FK persistidas en MySQL. Reglas validadas contra la BD.</w:t>
            </w:r>
          </w:p>
        </w:tc>
        <w:tc>
          <w:tcPr>
            <w:tcW w:type="dxa" w:w="1440"/>
            <w:shd w:fill="F8FAFC"/>
            <w:tcMar>
              <w:top w:w="100" w:type="dxa"/>
              <w:bottom w:w="100" w:type="dxa"/>
              <w:left w:w="120" w:type="dxa"/>
              <w:right w:w="120" w:type="dxa"/>
            </w:tcMar>
          </w:tcPr>
          <w:p>
            <w:pPr>
              <w:spacing w:after="0" w:line="276" w:lineRule="auto"/>
            </w:pPr>
            <w:r>
              <w:rPr>
                <w:rFonts w:ascii="Calibri" w:hAnsi="Calibri"/>
                <w:b/>
                <w:color w:val="0F2C59"/>
                <w:sz w:val="17"/>
              </w:rPr>
              <w:t>Permanente e Incorruptible</w:t>
            </w:r>
          </w:p>
        </w:tc>
      </w:tr>
      <w:tr>
        <w:tc>
          <w:tcPr>
            <w:tcW w:type="dxa" w:w="2016"/>
            <w:shd w:fill="FFFFFF"/>
            <w:tcMar>
              <w:top w:w="100" w:type="dxa"/>
              <w:bottom w:w="100" w:type="dxa"/>
              <w:left w:w="120" w:type="dxa"/>
              <w:right w:w="120" w:type="dxa"/>
            </w:tcMar>
          </w:tcPr>
          <w:p>
            <w:pPr>
              <w:spacing w:after="0" w:line="276" w:lineRule="auto"/>
            </w:pPr>
            <w:r>
              <w:rPr>
                <w:rFonts w:ascii="Calibri" w:hAnsi="Calibri"/>
                <w:b/>
                <w:color w:val="0F2C59"/>
                <w:sz w:val="17"/>
              </w:rPr>
              <w:t>Pruebas Automatizadas (TDD)</w:t>
            </w:r>
          </w:p>
        </w:tc>
        <w:tc>
          <w:tcPr>
            <w:tcW w:type="dxa" w:w="2880"/>
            <w:shd w:fill="FFFFFF"/>
            <w:tcMar>
              <w:top w:w="100" w:type="dxa"/>
              <w:bottom w:w="100" w:type="dxa"/>
              <w:left w:w="120" w:type="dxa"/>
              <w:right w:w="120" w:type="dxa"/>
            </w:tcMar>
          </w:tcPr>
          <w:p>
            <w:pPr>
              <w:spacing w:after="0" w:line="276" w:lineRule="auto"/>
            </w:pPr>
            <w:r>
              <w:rPr>
                <w:rFonts w:ascii="Calibri" w:hAnsi="Calibri"/>
                <w:color w:val="333333"/>
                <w:sz w:val="17"/>
              </w:rPr>
              <w:t>0 tests. 0% de cobertura. Pruebas 100% manuales propensas a errores humanos inadvertidos.</w:t>
            </w:r>
          </w:p>
        </w:tc>
        <w:tc>
          <w:tcPr>
            <w:tcW w:type="dxa" w:w="3024"/>
            <w:shd w:fill="FFFFFF"/>
            <w:tcMar>
              <w:top w:w="100" w:type="dxa"/>
              <w:bottom w:w="100" w:type="dxa"/>
              <w:left w:w="120" w:type="dxa"/>
              <w:right w:w="120" w:type="dxa"/>
            </w:tcMar>
          </w:tcPr>
          <w:p>
            <w:pPr>
              <w:spacing w:after="0" w:line="276" w:lineRule="auto"/>
            </w:pPr>
            <w:r>
              <w:rPr>
                <w:rFonts w:ascii="Calibri" w:hAnsi="Calibri"/>
                <w:color w:val="333333"/>
                <w:sz w:val="17"/>
              </w:rPr>
              <w:t>32 tests unitarios automatizados (128 assertions) ejecutándose en 0.044 segundos en memoria.</w:t>
            </w:r>
          </w:p>
        </w:tc>
        <w:tc>
          <w:tcPr>
            <w:tcW w:type="dxa" w:w="1440"/>
            <w:shd w:fill="FFFFFF"/>
            <w:tcMar>
              <w:top w:w="100" w:type="dxa"/>
              <w:bottom w:w="100" w:type="dxa"/>
              <w:left w:w="120" w:type="dxa"/>
              <w:right w:w="120" w:type="dxa"/>
            </w:tcMar>
          </w:tcPr>
          <w:p>
            <w:pPr>
              <w:spacing w:after="0" w:line="276" w:lineRule="auto"/>
            </w:pPr>
            <w:r>
              <w:rPr>
                <w:rFonts w:ascii="Calibri" w:hAnsi="Calibri"/>
                <w:b/>
                <w:color w:val="15803D"/>
                <w:sz w:val="17"/>
              </w:rPr>
              <w:t>De 0 a 100% Seguro</w:t>
            </w:r>
          </w:p>
        </w:tc>
      </w:tr>
      <w:tr>
        <w:tc>
          <w:tcPr>
            <w:tcW w:type="dxa" w:w="2016"/>
            <w:shd w:fill="F8FAFC"/>
            <w:tcMar>
              <w:top w:w="100" w:type="dxa"/>
              <w:bottom w:w="100" w:type="dxa"/>
              <w:left w:w="120" w:type="dxa"/>
              <w:right w:w="120" w:type="dxa"/>
            </w:tcMar>
          </w:tcPr>
          <w:p>
            <w:pPr>
              <w:spacing w:after="0" w:line="276" w:lineRule="auto"/>
            </w:pPr>
            <w:r>
              <w:rPr>
                <w:rFonts w:ascii="Calibri" w:hAnsi="Calibri"/>
                <w:b/>
                <w:color w:val="0F2C59"/>
                <w:sz w:val="17"/>
              </w:rPr>
              <w:t>Controladores API</w:t>
            </w:r>
          </w:p>
        </w:tc>
        <w:tc>
          <w:tcPr>
            <w:tcW w:type="dxa" w:w="2880"/>
            <w:shd w:fill="F8FAFC"/>
            <w:tcMar>
              <w:top w:w="100" w:type="dxa"/>
              <w:bottom w:w="100" w:type="dxa"/>
              <w:left w:w="120" w:type="dxa"/>
              <w:right w:w="120" w:type="dxa"/>
            </w:tcMar>
          </w:tcPr>
          <w:p>
            <w:pPr>
              <w:spacing w:after="0" w:line="276" w:lineRule="auto"/>
            </w:pPr>
            <w:r>
              <w:rPr>
                <w:rFonts w:ascii="Calibri" w:hAnsi="Calibri"/>
                <w:color w:val="333333"/>
                <w:sz w:val="17"/>
              </w:rPr>
              <w:t>Monolitos de hasta 304 líneas en scripts individuales mezclando validaciones, JSON y SQL.</w:t>
            </w:r>
          </w:p>
        </w:tc>
        <w:tc>
          <w:tcPr>
            <w:tcW w:type="dxa" w:w="3024"/>
            <w:shd w:fill="F8FAFC"/>
            <w:tcMar>
              <w:top w:w="100" w:type="dxa"/>
              <w:bottom w:w="100" w:type="dxa"/>
              <w:left w:w="120" w:type="dxa"/>
              <w:right w:w="120" w:type="dxa"/>
            </w:tcMar>
          </w:tcPr>
          <w:p>
            <w:pPr>
              <w:spacing w:after="0" w:line="276" w:lineRule="auto"/>
            </w:pPr>
            <w:r>
              <w:rPr>
                <w:rFonts w:ascii="Calibri" w:hAnsi="Calibri"/>
                <w:color w:val="333333"/>
                <w:sz w:val="17"/>
              </w:rPr>
              <w:t>Thin Controllers limpios (40 a 55 líneas) delegando toda la orquestación a Servicios de Dominio.</w:t>
            </w:r>
          </w:p>
        </w:tc>
        <w:tc>
          <w:tcPr>
            <w:tcW w:type="dxa" w:w="1440"/>
            <w:shd w:fill="F8FAFC"/>
            <w:tcMar>
              <w:top w:w="100" w:type="dxa"/>
              <w:bottom w:w="100" w:type="dxa"/>
              <w:left w:w="120" w:type="dxa"/>
              <w:right w:w="120" w:type="dxa"/>
            </w:tcMar>
          </w:tcPr>
          <w:p>
            <w:pPr>
              <w:spacing w:after="0" w:line="276" w:lineRule="auto"/>
            </w:pPr>
            <w:r>
              <w:rPr>
                <w:rFonts w:ascii="Calibri" w:hAnsi="Calibri"/>
                <w:b/>
                <w:color w:val="0F2C59"/>
                <w:sz w:val="17"/>
              </w:rPr>
              <w:t>-82% Código Espagueti</w:t>
            </w:r>
          </w:p>
        </w:tc>
      </w:tr>
      <w:tr>
        <w:tc>
          <w:tcPr>
            <w:tcW w:type="dxa" w:w="2016"/>
            <w:shd w:fill="FFFFFF"/>
            <w:tcMar>
              <w:top w:w="100" w:type="dxa"/>
              <w:bottom w:w="100" w:type="dxa"/>
              <w:left w:w="120" w:type="dxa"/>
              <w:right w:w="120" w:type="dxa"/>
            </w:tcMar>
          </w:tcPr>
          <w:p>
            <w:pPr>
              <w:spacing w:after="0" w:line="276" w:lineRule="auto"/>
            </w:pPr>
            <w:r>
              <w:rPr>
                <w:rFonts w:ascii="Calibri" w:hAnsi="Calibri"/>
                <w:b/>
                <w:color w:val="0F2C59"/>
                <w:sz w:val="17"/>
              </w:rPr>
              <w:t>Experiencia de Usuario</w:t>
            </w:r>
          </w:p>
        </w:tc>
        <w:tc>
          <w:tcPr>
            <w:tcW w:type="dxa" w:w="2880"/>
            <w:shd w:fill="FFFFFF"/>
            <w:tcMar>
              <w:top w:w="100" w:type="dxa"/>
              <w:bottom w:w="100" w:type="dxa"/>
              <w:left w:w="120" w:type="dxa"/>
              <w:right w:w="120" w:type="dxa"/>
            </w:tcMar>
          </w:tcPr>
          <w:p>
            <w:pPr>
              <w:spacing w:after="0" w:line="276" w:lineRule="auto"/>
            </w:pPr>
            <w:r>
              <w:rPr>
                <w:rFonts w:ascii="Calibri" w:hAnsi="Calibri"/>
                <w:color w:val="333333"/>
                <w:sz w:val="17"/>
              </w:rPr>
              <w:t>Funcional pero frágil ante cambios internos.</w:t>
            </w:r>
          </w:p>
        </w:tc>
        <w:tc>
          <w:tcPr>
            <w:tcW w:type="dxa" w:w="3024"/>
            <w:shd w:fill="FFFFFF"/>
            <w:tcMar>
              <w:top w:w="100" w:type="dxa"/>
              <w:bottom w:w="100" w:type="dxa"/>
              <w:left w:w="120" w:type="dxa"/>
              <w:right w:w="120" w:type="dxa"/>
            </w:tcMar>
          </w:tcPr>
          <w:p>
            <w:pPr>
              <w:spacing w:after="0" w:line="276" w:lineRule="auto"/>
            </w:pPr>
            <w:r>
              <w:rPr>
                <w:rFonts w:ascii="Calibri" w:hAnsi="Calibri"/>
                <w:color w:val="333333"/>
                <w:sz w:val="17"/>
              </w:rPr>
              <w:t>UI/UX 100% preservada; idéntico funcionamiento visual en Bootstrap 5, AJAX, modales y SVG.</w:t>
            </w:r>
          </w:p>
        </w:tc>
        <w:tc>
          <w:tcPr>
            <w:tcW w:type="dxa" w:w="1440"/>
            <w:shd w:fill="FFFFFF"/>
            <w:tcMar>
              <w:top w:w="100" w:type="dxa"/>
              <w:bottom w:w="100" w:type="dxa"/>
              <w:left w:w="120" w:type="dxa"/>
              <w:right w:w="120" w:type="dxa"/>
            </w:tcMar>
          </w:tcPr>
          <w:p>
            <w:pPr>
              <w:spacing w:after="0" w:line="276" w:lineRule="auto"/>
            </w:pPr>
            <w:r>
              <w:rPr>
                <w:rFonts w:ascii="Calibri" w:hAnsi="Calibri"/>
                <w:b/>
                <w:color w:val="0F2C59"/>
                <w:sz w:val="17"/>
              </w:rPr>
              <w:t>Cero Regresiones</w:t>
            </w:r>
          </w:p>
        </w:tc>
      </w:tr>
    </w:tbl>
    <w:p>
      <w:pPr>
        <w:spacing w:after="240"/>
      </w:pPr>
    </w:p>
    <w:p>
      <w:pPr>
        <w:pStyle w:val="Heading1"/>
        <w:keepNext/>
        <w:spacing w:before="320" w:after="120"/>
      </w:pPr>
      <w:r>
        <w:rPr>
          <w:rFonts w:ascii="Calibri" w:hAnsi="Calibri"/>
          <w:b/>
          <w:color w:val="0F2C59"/>
          <w:sz w:val="30"/>
        </w:rPr>
        <w:t>3. Cronología y Entregables por Fase de Trabajo</w:t>
      </w:r>
    </w:p>
    <w:p>
      <w:pPr>
        <w:spacing w:before="0" w:after="120" w:line="276" w:lineRule="auto"/>
      </w:pPr>
      <w:r>
        <w:rPr>
          <w:rFonts w:ascii="Calibri" w:hAnsi="Calibri"/>
          <w:i w:val="0"/>
          <w:color w:val="2A2A2A"/>
          <w:sz w:val="20"/>
        </w:rPr>
        <w:t>La refactorización se dividió estratégicamente en 5 fases secuenciales, cada una asegurada por una etiqueta formal en Git y auditada por los agentes especializados:</w:t>
      </w:r>
    </w:p>
    <w:p>
      <w:pPr>
        <w:pStyle w:val="Heading2"/>
        <w:keepNext/>
        <w:spacing w:before="240" w:after="80"/>
      </w:pPr>
      <w:r>
        <w:rPr>
          <w:rFonts w:ascii="Calibri" w:hAnsi="Calibri"/>
          <w:b/>
          <w:color w:val="285886"/>
          <w:sz w:val="25"/>
        </w:rPr>
        <w:t>Fase 1: Cimientos del Proyecto, Resiliencia Base y Entorno TDD</w:t>
      </w:r>
    </w:p>
    <w:p>
      <w:pPr>
        <w:spacing w:before="0" w:after="80" w:line="276" w:lineRule="auto"/>
      </w:pPr>
      <w:r>
        <w:rPr>
          <w:rFonts w:ascii="Calibri" w:hAnsi="Calibri"/>
          <w:i/>
          <w:color w:val="2A2A2A"/>
          <w:sz w:val="20"/>
        </w:rPr>
        <w:t>Agentes asignados: @Architect, @ResilienceSre, @TddQa | Tag Git: fase-1-completada</w:t>
      </w:r>
    </w:p>
    <w:p>
      <w:pPr>
        <w:pStyle w:val="ListBullet"/>
        <w:spacing w:before="0" w:after="60" w:line="276" w:lineRule="auto"/>
      </w:pPr>
      <w:r>
        <w:rPr>
          <w:rFonts w:ascii="Calibri" w:hAnsi="Calibri"/>
          <w:b/>
          <w:color w:val="1B365D"/>
          <w:sz w:val="20"/>
        </w:rPr>
        <w:t xml:space="preserve">Autoloading Moderno: </w:t>
      </w:r>
      <w:r>
        <w:rPr>
          <w:rFonts w:ascii="Calibri" w:hAnsi="Calibri"/>
          <w:color w:val="2A2A2A"/>
          <w:sz w:val="20"/>
        </w:rPr>
        <w:t>Configuración del estándar PSR-4 en composer.json vinculando el namespace raíz App\ hacia app/ y App\Tests\ hacia tests/.</w:t>
      </w:r>
    </w:p>
    <w:p>
      <w:pPr>
        <w:pStyle w:val="ListBullet"/>
        <w:spacing w:before="0" w:after="60" w:line="276" w:lineRule="auto"/>
      </w:pPr>
      <w:r>
        <w:rPr>
          <w:rFonts w:ascii="Calibri" w:hAnsi="Calibri"/>
          <w:b/>
          <w:color w:val="1B365D"/>
          <w:sz w:val="20"/>
        </w:rPr>
        <w:t xml:space="preserve">Resiliencia de Configuración: </w:t>
      </w:r>
      <w:r>
        <w:rPr>
          <w:rFonts w:ascii="Calibri" w:hAnsi="Calibri"/>
          <w:color w:val="2A2A2A"/>
          <w:sz w:val="20"/>
        </w:rPr>
        <w:t>Implementación de app/Core/Env.php para aislar contraseñas y parámetros de conexión en .env, erradicando credenciales en código.</w:t>
      </w:r>
    </w:p>
    <w:p>
      <w:pPr>
        <w:pStyle w:val="ListBullet"/>
        <w:spacing w:before="0" w:after="60" w:line="276" w:lineRule="auto"/>
      </w:pPr>
      <w:r>
        <w:rPr>
          <w:rFonts w:ascii="Calibri" w:hAnsi="Calibri"/>
          <w:b/>
          <w:color w:val="1B365D"/>
          <w:sz w:val="20"/>
        </w:rPr>
        <w:t xml:space="preserve">Telemetría &amp; Diagnóstico: </w:t>
      </w:r>
      <w:r>
        <w:rPr>
          <w:rFonts w:ascii="Calibri" w:hAnsi="Calibri"/>
          <w:color w:val="2A2A2A"/>
          <w:sz w:val="20"/>
        </w:rPr>
        <w:t>Creación de app/Core/ErrorHandler.php con captura centralizada de errores fatales y excepciones, registrando trazas en logs/app.log.</w:t>
      </w:r>
    </w:p>
    <w:p>
      <w:pPr>
        <w:pStyle w:val="ListBullet"/>
        <w:spacing w:before="0" w:after="60" w:line="276" w:lineRule="auto"/>
      </w:pPr>
      <w:r>
        <w:rPr>
          <w:rFonts w:ascii="Calibri" w:hAnsi="Calibri"/>
          <w:b/>
          <w:color w:val="1B365D"/>
          <w:sz w:val="20"/>
        </w:rPr>
        <w:t xml:space="preserve">Conexión Resiliente PDO: </w:t>
      </w:r>
      <w:r>
        <w:rPr>
          <w:rFonts w:ascii="Calibri" w:hAnsi="Calibri"/>
          <w:color w:val="2A2A2A"/>
          <w:sz w:val="20"/>
        </w:rPr>
        <w:t>Desarrollo de app/Core/DatabaseConnection.php con Retry Policy (hasta 3 intentos exponenciales ante micro-cortes) y helper transaction().</w:t>
      </w:r>
    </w:p>
    <w:p>
      <w:pPr>
        <w:pStyle w:val="ListBullet"/>
        <w:spacing w:before="0" w:after="60" w:line="276" w:lineRule="auto"/>
      </w:pPr>
      <w:r>
        <w:rPr>
          <w:rFonts w:ascii="Calibri" w:hAnsi="Calibri"/>
          <w:b/>
          <w:color w:val="1B365D"/>
          <w:sz w:val="20"/>
        </w:rPr>
        <w:t xml:space="preserve">Infraestructura TDD: </w:t>
      </w:r>
      <w:r>
        <w:rPr>
          <w:rFonts w:ascii="Calibri" w:hAnsi="Calibri"/>
          <w:color w:val="2A2A2A"/>
          <w:sz w:val="20"/>
        </w:rPr>
        <w:t>Configuración de phpunit.xml y primeros 5 tests unitarios en verde ejecutándose en memoria.</w:t>
      </w:r>
    </w:p>
    <w:p>
      <w:pPr>
        <w:pStyle w:val="Heading2"/>
        <w:keepNext/>
        <w:spacing w:before="240" w:after="80"/>
      </w:pPr>
      <w:r>
        <w:rPr>
          <w:rFonts w:ascii="Calibri" w:hAnsi="Calibri"/>
          <w:b/>
          <w:color w:val="285886"/>
          <w:sz w:val="25"/>
        </w:rPr>
        <w:t>Fase 2: Capa de Persistencia, DAO y Resiliencia de Autoría</w:t>
      </w:r>
    </w:p>
    <w:p>
      <w:pPr>
        <w:spacing w:before="0" w:after="80" w:line="276" w:lineRule="auto"/>
      </w:pPr>
      <w:r>
        <w:rPr>
          <w:rFonts w:ascii="Calibri" w:hAnsi="Calibri"/>
          <w:i/>
          <w:color w:val="2A2A2A"/>
          <w:sz w:val="20"/>
        </w:rPr>
        <w:t>Agentes asignados: @DaoEngineer, @Architect, @ResilienceSre, @TddQa | Tag Git: fase-2-completada</w:t>
      </w:r>
    </w:p>
    <w:p>
      <w:pPr>
        <w:pStyle w:val="ListBullet"/>
        <w:spacing w:before="0" w:after="60" w:line="276" w:lineRule="auto"/>
      </w:pPr>
      <w:r>
        <w:rPr>
          <w:rFonts w:ascii="Calibri" w:hAnsi="Calibri"/>
          <w:b/>
          <w:color w:val="1B365D"/>
          <w:sz w:val="20"/>
        </w:rPr>
        <w:t xml:space="preserve">Persistencia en Base de Datos: </w:t>
      </w:r>
      <w:r>
        <w:rPr>
          <w:rFonts w:ascii="Calibri" w:hAnsi="Calibri"/>
          <w:color w:val="2A2A2A"/>
          <w:sz w:val="20"/>
        </w:rPr>
        <w:t>Migración en base de datos agregando columnas creado_por (INT FK) y creado_en en las tablas site, odf y cablealimentacion.</w:t>
      </w:r>
    </w:p>
    <w:p>
      <w:pPr>
        <w:pStyle w:val="ListBullet"/>
        <w:spacing w:before="0" w:after="60" w:line="276" w:lineRule="auto"/>
      </w:pPr>
      <w:r>
        <w:rPr>
          <w:rFonts w:ascii="Calibri" w:hAnsi="Calibri"/>
          <w:b/>
          <w:color w:val="1B365D"/>
          <w:sz w:val="20"/>
        </w:rPr>
        <w:t xml:space="preserve">Contratos DAO: </w:t>
      </w:r>
      <w:r>
        <w:rPr>
          <w:rFonts w:ascii="Calibri" w:hAnsi="Calibri"/>
          <w:color w:val="2A2A2A"/>
          <w:sz w:val="20"/>
        </w:rPr>
        <w:t>Definición de 5 contratos abstractos en app/Contracts/Daos/ (SiteDaoInterface, OdfDaoInterface, CableDaoInterface, PuertoDaoInterface, UsuarioDaoInterface).</w:t>
      </w:r>
    </w:p>
    <w:p>
      <w:pPr>
        <w:pStyle w:val="ListBullet"/>
        <w:spacing w:before="0" w:after="60" w:line="276" w:lineRule="auto"/>
      </w:pPr>
      <w:r>
        <w:rPr>
          <w:rFonts w:ascii="Calibri" w:hAnsi="Calibri"/>
          <w:b/>
          <w:color w:val="1B365D"/>
          <w:sz w:val="20"/>
        </w:rPr>
        <w:t xml:space="preserve">Entidades Tipadas: </w:t>
      </w:r>
      <w:r>
        <w:rPr>
          <w:rFonts w:ascii="Calibri" w:hAnsi="Calibri"/>
          <w:color w:val="2A2A2A"/>
          <w:sz w:val="20"/>
        </w:rPr>
        <w:t>Creación de 5 Data Transfer Objects fuertemente tipados en app/Entities/ (Site, Odf, CableAlimentacion, Puerto, Usuario) con fromArray() y toArray().</w:t>
      </w:r>
    </w:p>
    <w:p>
      <w:pPr>
        <w:pStyle w:val="ListBullet"/>
        <w:spacing w:before="0" w:after="60" w:line="276" w:lineRule="auto"/>
      </w:pPr>
      <w:r>
        <w:rPr>
          <w:rFonts w:ascii="Calibri" w:hAnsi="Calibri"/>
          <w:b/>
          <w:color w:val="1B365D"/>
          <w:sz w:val="20"/>
        </w:rPr>
        <w:t xml:space="preserve">Inversión de Dependencias: </w:t>
      </w:r>
      <w:r>
        <w:rPr>
          <w:rFonts w:ascii="Calibri" w:hAnsi="Calibri"/>
          <w:color w:val="2A2A2A"/>
          <w:sz w:val="20"/>
        </w:rPr>
        <w:t>Implementación de MySqlSiteDao, MySqlOdfDao, MySqlCableDao, MySqlPuertoDao y MySqlUsuarioDao con inyección obligatoria de PDO.</w:t>
      </w:r>
    </w:p>
    <w:p>
      <w:pPr>
        <w:pStyle w:val="ListBullet"/>
        <w:spacing w:before="0" w:after="60" w:line="276" w:lineRule="auto"/>
      </w:pPr>
      <w:r>
        <w:rPr>
          <w:rFonts w:ascii="Calibri" w:hAnsi="Calibri"/>
          <w:b/>
          <w:color w:val="1B365D"/>
          <w:sz w:val="20"/>
        </w:rPr>
        <w:t xml:space="preserve">Tests con Mocks: </w:t>
      </w:r>
      <w:r>
        <w:rPr>
          <w:rFonts w:ascii="Calibri" w:hAnsi="Calibri"/>
          <w:color w:val="2A2A2A"/>
          <w:sz w:val="20"/>
        </w:rPr>
        <w:t>Mocks de PDO y PDOStatement alcanzando 13 tests unitarios (41 assertions) sin requerir base de datos física.</w:t>
      </w:r>
    </w:p>
    <w:p>
      <w:pPr>
        <w:pStyle w:val="Heading2"/>
        <w:keepNext/>
        <w:spacing w:before="240" w:after="80"/>
      </w:pPr>
      <w:r>
        <w:rPr>
          <w:rFonts w:ascii="Calibri" w:hAnsi="Calibri"/>
          <w:b/>
          <w:color w:val="285886"/>
          <w:sz w:val="25"/>
        </w:rPr>
        <w:t>Fase 3: Lógica de Dominio, Polimorfismo y Patrón Strategy</w:t>
      </w:r>
    </w:p>
    <w:p>
      <w:pPr>
        <w:spacing w:before="0" w:after="80" w:line="276" w:lineRule="auto"/>
      </w:pPr>
      <w:r>
        <w:rPr>
          <w:rFonts w:ascii="Calibri" w:hAnsi="Calibri"/>
          <w:i/>
          <w:color w:val="2A2A2A"/>
          <w:sz w:val="20"/>
        </w:rPr>
        <w:t>Agentes asignados: @DomainLogic, @Architect, @TddQa | Tag Git: fase-3-completada</w:t>
      </w:r>
    </w:p>
    <w:p>
      <w:pPr>
        <w:pStyle w:val="ListBullet"/>
        <w:spacing w:before="0" w:after="60" w:line="276" w:lineRule="auto"/>
      </w:pPr>
      <w:r>
        <w:rPr>
          <w:rFonts w:ascii="Calibri" w:hAnsi="Calibri"/>
          <w:b/>
          <w:color w:val="1B365D"/>
          <w:sz w:val="20"/>
        </w:rPr>
        <w:t xml:space="preserve">Patrón Strategy: </w:t>
      </w:r>
      <w:r>
        <w:rPr>
          <w:rFonts w:ascii="Calibri" w:hAnsi="Calibri"/>
          <w:color w:val="2A2A2A"/>
          <w:sz w:val="20"/>
        </w:rPr>
        <w:t>Diseño de SpreadsheetReaderInterface e implementaciones CsvReader y XlsxReader desacopladas mediante ReaderFactory.</w:t>
      </w:r>
    </w:p>
    <w:p>
      <w:pPr>
        <w:pStyle w:val="ListBullet"/>
        <w:spacing w:before="0" w:after="60" w:line="276" w:lineRule="auto"/>
      </w:pPr>
      <w:r>
        <w:rPr>
          <w:rFonts w:ascii="Calibri" w:hAnsi="Calibri"/>
          <w:b/>
          <w:color w:val="1B365D"/>
          <w:sz w:val="20"/>
        </w:rPr>
        <w:t xml:space="preserve">Políticas de Autorización (OCP): </w:t>
      </w:r>
      <w:r>
        <w:rPr>
          <w:rFonts w:ascii="Calibri" w:hAnsi="Calibri"/>
          <w:color w:val="2A2A2A"/>
          <w:sz w:val="20"/>
        </w:rPr>
        <w:t>Definición de RolePolicyInterface y políticas polimórficas AdminPolicy, SupervisorPolicy y TecnicoPolicy con PolicyFactory.</w:t>
      </w:r>
    </w:p>
    <w:p>
      <w:pPr>
        <w:pStyle w:val="ListBullet"/>
        <w:spacing w:before="0" w:after="60" w:line="276" w:lineRule="auto"/>
      </w:pPr>
      <w:r>
        <w:rPr>
          <w:rFonts w:ascii="Calibri" w:hAnsi="Calibri"/>
          <w:b/>
          <w:color w:val="1B365D"/>
          <w:sz w:val="20"/>
        </w:rPr>
        <w:t xml:space="preserve">Árbol Topológico Puro: </w:t>
      </w:r>
      <w:r>
        <w:rPr>
          <w:rFonts w:ascii="Calibri" w:hAnsi="Calibri"/>
          <w:color w:val="2A2A2A"/>
          <w:sz w:val="20"/>
        </w:rPr>
        <w:t>Extracción de 53 líneas algorítmicas incrustadas en la vista hacia InfraestructuraTreeBuilder.php (servicio puro testeable).</w:t>
      </w:r>
    </w:p>
    <w:p>
      <w:pPr>
        <w:pStyle w:val="ListBullet"/>
        <w:spacing w:before="0" w:after="60" w:line="276" w:lineRule="auto"/>
      </w:pPr>
      <w:r>
        <w:rPr>
          <w:rFonts w:ascii="Calibri" w:hAnsi="Calibri"/>
          <w:b/>
          <w:color w:val="1B365D"/>
          <w:sz w:val="20"/>
        </w:rPr>
        <w:t xml:space="preserve">Carga Masiva Atómica: </w:t>
      </w:r>
      <w:r>
        <w:rPr>
          <w:rFonts w:ascii="Calibri" w:hAnsi="Calibri"/>
          <w:color w:val="2A2A2A"/>
          <w:sz w:val="20"/>
        </w:rPr>
        <w:t>Extracción de 304 líneas monolíticas hacia PuertoBatchImportService.php con validación en dos fases y transacciones atómicas.</w:t>
      </w:r>
    </w:p>
    <w:p>
      <w:pPr>
        <w:pStyle w:val="ListBullet"/>
        <w:spacing w:before="0" w:after="60" w:line="276" w:lineRule="auto"/>
      </w:pPr>
      <w:r>
        <w:rPr>
          <w:rFonts w:ascii="Calibri" w:hAnsi="Calibri"/>
          <w:b/>
          <w:color w:val="1B365D"/>
          <w:sz w:val="20"/>
        </w:rPr>
        <w:t xml:space="preserve">Pruebas de Dominio: </w:t>
      </w:r>
      <w:r>
        <w:rPr>
          <w:rFonts w:ascii="Calibri" w:hAnsi="Calibri"/>
          <w:color w:val="2A2A2A"/>
          <w:sz w:val="20"/>
        </w:rPr>
        <w:t>Ampliación de la suite a 23 tests unitarios (89 assertions) verificando políticas, lectura e importación.</w:t>
      </w:r>
    </w:p>
    <w:p>
      <w:pPr>
        <w:pStyle w:val="Heading2"/>
        <w:keepNext/>
        <w:spacing w:before="240" w:after="80"/>
      </w:pPr>
      <w:r>
        <w:rPr>
          <w:rFonts w:ascii="Calibri" w:hAnsi="Calibri"/>
          <w:b/>
          <w:color w:val="285886"/>
          <w:sz w:val="25"/>
        </w:rPr>
        <w:t>Fase 4: Refactorización de Vistas y APIs (MVC Limpio)</w:t>
      </w:r>
    </w:p>
    <w:p>
      <w:pPr>
        <w:spacing w:before="0" w:after="80" w:line="276" w:lineRule="auto"/>
      </w:pPr>
      <w:r>
        <w:rPr>
          <w:rFonts w:ascii="Calibri" w:hAnsi="Calibri"/>
          <w:i/>
          <w:color w:val="2A2A2A"/>
          <w:sz w:val="20"/>
        </w:rPr>
        <w:t>Agentes asignados: @ViewIntegrator, @DaoEngineer, @DomainLogic, @TddQa | Tag Git: fase-4-completada</w:t>
      </w:r>
    </w:p>
    <w:p>
      <w:pPr>
        <w:pStyle w:val="ListBullet"/>
        <w:spacing w:before="0" w:after="60" w:line="276" w:lineRule="auto"/>
      </w:pPr>
      <w:r>
        <w:rPr>
          <w:rFonts w:ascii="Calibri" w:hAnsi="Calibri"/>
          <w:b/>
          <w:color w:val="1B365D"/>
          <w:sz w:val="20"/>
        </w:rPr>
        <w:t xml:space="preserve">Vistas Libres de SQL: </w:t>
      </w:r>
      <w:r>
        <w:rPr>
          <w:rFonts w:ascii="Calibri" w:hAnsi="Calibri"/>
          <w:color w:val="2A2A2A"/>
          <w:sz w:val="20"/>
        </w:rPr>
        <w:t>Limpieza exhaustiva de admin_site_detalle.php, dashboard.php, admin_infraestructura.php, admin_usuarios.php, estadisticas.php y asignar_hilos.php.</w:t>
      </w:r>
    </w:p>
    <w:p>
      <w:pPr>
        <w:pStyle w:val="ListBullet"/>
        <w:spacing w:before="0" w:after="60" w:line="276" w:lineRule="auto"/>
      </w:pPr>
      <w:r>
        <w:rPr>
          <w:rFonts w:ascii="Calibri" w:hAnsi="Calibri"/>
          <w:b/>
          <w:color w:val="1B365D"/>
          <w:sz w:val="20"/>
        </w:rPr>
        <w:t xml:space="preserve">Thin Controllers en APIs: </w:t>
      </w:r>
      <w:r>
        <w:rPr>
          <w:rFonts w:ascii="Calibri" w:hAnsi="Calibri"/>
          <w:color w:val="2A2A2A"/>
          <w:sz w:val="20"/>
        </w:rPr>
        <w:t>Refactorización de api/carga_masiva_puertos.php (de 304 a 55 líneas), api/update_puerto.php, api/get_bandeja.php y api/crud_asignar_hilos.php.</w:t>
      </w:r>
    </w:p>
    <w:p>
      <w:pPr>
        <w:pStyle w:val="ListBullet"/>
        <w:spacing w:before="0" w:after="60" w:line="276" w:lineRule="auto"/>
      </w:pPr>
      <w:r>
        <w:rPr>
          <w:rFonts w:ascii="Calibri" w:hAnsi="Calibri"/>
          <w:b/>
          <w:color w:val="1B365D"/>
          <w:sz w:val="20"/>
        </w:rPr>
        <w:t xml:space="preserve">Servicio Analítico: </w:t>
      </w:r>
      <w:r>
        <w:rPr>
          <w:rFonts w:ascii="Calibri" w:hAnsi="Calibri"/>
          <w:color w:val="2A2A2A"/>
          <w:sz w:val="20"/>
        </w:rPr>
        <w:t>Creación de StatisticsService y su suite de tests aislada en memoria SQLite.</w:t>
      </w:r>
    </w:p>
    <w:p>
      <w:pPr>
        <w:pStyle w:val="ListBullet"/>
        <w:spacing w:before="0" w:after="60" w:line="276" w:lineRule="auto"/>
      </w:pPr>
      <w:r>
        <w:rPr>
          <w:rFonts w:ascii="Calibri" w:hAnsi="Calibri"/>
          <w:b/>
          <w:color w:val="1B365D"/>
          <w:sz w:val="20"/>
        </w:rPr>
        <w:t xml:space="preserve">Cero Regresiones UI/UX: </w:t>
      </w:r>
      <w:r>
        <w:rPr>
          <w:rFonts w:ascii="Calibri" w:hAnsi="Calibri"/>
          <w:color w:val="2A2A2A"/>
          <w:sz w:val="20"/>
        </w:rPr>
        <w:t>Verificación de compatibilidad con modales Bootstrap, JavaScript AJAX y visualizadores SVG.</w:t>
      </w:r>
    </w:p>
    <w:p>
      <w:pPr>
        <w:pStyle w:val="Heading2"/>
        <w:keepNext/>
        <w:spacing w:before="240" w:after="80"/>
      </w:pPr>
      <w:r>
        <w:rPr>
          <w:rFonts w:ascii="Calibri" w:hAnsi="Calibri"/>
          <w:b/>
          <w:color w:val="285886"/>
          <w:sz w:val="25"/>
        </w:rPr>
        <w:t>Fase 5: Auditoría, Suite TDD Completa y Consolidación</w:t>
      </w:r>
    </w:p>
    <w:p>
      <w:pPr>
        <w:spacing w:before="0" w:after="80" w:line="276" w:lineRule="auto"/>
      </w:pPr>
      <w:r>
        <w:rPr>
          <w:rFonts w:ascii="Calibri" w:hAnsi="Calibri"/>
          <w:i/>
          <w:color w:val="2A2A2A"/>
          <w:sz w:val="20"/>
        </w:rPr>
        <w:t>Agentes asignados: Equipo Completo de Agentes | Tag Git: fase-5-completada</w:t>
      </w:r>
    </w:p>
    <w:p>
      <w:pPr>
        <w:pStyle w:val="ListBullet"/>
        <w:spacing w:before="0" w:after="60" w:line="276" w:lineRule="auto"/>
      </w:pPr>
      <w:r>
        <w:rPr>
          <w:rFonts w:ascii="Calibri" w:hAnsi="Calibri"/>
          <w:b/>
          <w:color w:val="1B365D"/>
          <w:sz w:val="20"/>
        </w:rPr>
        <w:t xml:space="preserve">100% Cobertura DAO: </w:t>
      </w:r>
      <w:r>
        <w:rPr>
          <w:rFonts w:ascii="Calibri" w:hAnsi="Calibri"/>
          <w:color w:val="2A2A2A"/>
          <w:sz w:val="20"/>
        </w:rPr>
        <w:t>Incorporación de MySqlOdfDaoTest y MySqlCableDaoTest logrando el 100% de DAOs probados unitariamente.</w:t>
      </w:r>
    </w:p>
    <w:p>
      <w:pPr>
        <w:pStyle w:val="ListBullet"/>
        <w:spacing w:before="0" w:after="60" w:line="276" w:lineRule="auto"/>
      </w:pPr>
      <w:r>
        <w:rPr>
          <w:rFonts w:ascii="Calibri" w:hAnsi="Calibri"/>
          <w:b/>
          <w:color w:val="1B365D"/>
          <w:sz w:val="20"/>
        </w:rPr>
        <w:t xml:space="preserve">Suite TDD Final: </w:t>
      </w:r>
      <w:r>
        <w:rPr>
          <w:rFonts w:ascii="Calibri" w:hAnsi="Calibri"/>
          <w:color w:val="2A2A2A"/>
          <w:sz w:val="20"/>
        </w:rPr>
        <w:t>32 tests unitarios (128 assertions) en verde en 0.044 segundos.</w:t>
      </w:r>
    </w:p>
    <w:p>
      <w:pPr>
        <w:pStyle w:val="ListBullet"/>
        <w:spacing w:before="0" w:after="60" w:line="276" w:lineRule="auto"/>
      </w:pPr>
      <w:r>
        <w:rPr>
          <w:rFonts w:ascii="Calibri" w:hAnsi="Calibri"/>
          <w:b/>
          <w:color w:val="1B365D"/>
          <w:sz w:val="20"/>
        </w:rPr>
        <w:t xml:space="preserve">Auditoría de Sintaxis: </w:t>
      </w:r>
      <w:r>
        <w:rPr>
          <w:rFonts w:ascii="Calibri" w:hAnsi="Calibri"/>
          <w:color w:val="2A2A2A"/>
          <w:sz w:val="20"/>
        </w:rPr>
        <w:t>Auditoría global de sintaxis (php -l) certificando cero errores en el proyecto.</w:t>
      </w:r>
    </w:p>
    <w:p>
      <w:pPr>
        <w:pStyle w:val="ListBullet"/>
        <w:spacing w:before="0" w:after="60" w:line="276" w:lineRule="auto"/>
      </w:pPr>
      <w:r>
        <w:rPr>
          <w:rFonts w:ascii="Calibri" w:hAnsi="Calibri"/>
          <w:b/>
          <w:color w:val="1B365D"/>
          <w:sz w:val="20"/>
        </w:rPr>
        <w:t xml:space="preserve">Consolidación: </w:t>
      </w:r>
      <w:r>
        <w:rPr>
          <w:rFonts w:ascii="Calibri" w:hAnsi="Calibri"/>
          <w:color w:val="2A2A2A"/>
          <w:sz w:val="20"/>
        </w:rPr>
        <w:t>Certificación final de eliminación de deuda técnica e informe consolidado.</w:t>
      </w:r>
    </w:p>
    <w:p>
      <w:pPr>
        <w:spacing w:after="200"/>
      </w:pPr>
    </w:p>
    <w:p>
      <w:pPr>
        <w:pStyle w:val="Heading1"/>
        <w:keepNext/>
        <w:spacing w:before="320" w:after="120"/>
      </w:pPr>
      <w:r>
        <w:rPr>
          <w:rFonts w:ascii="Calibri" w:hAnsi="Calibri"/>
          <w:b/>
          <w:color w:val="0F2C59"/>
          <w:sz w:val="30"/>
        </w:rPr>
        <w:t>4. Casos de Negocio Críticos Resueltos</w:t>
      </w:r>
    </w:p>
    <w:p>
      <w:pPr>
        <w:pStyle w:val="Heading2"/>
        <w:keepNext/>
        <w:spacing w:before="240" w:after="80"/>
      </w:pPr>
      <w:r>
        <w:rPr>
          <w:rFonts w:ascii="Calibri" w:hAnsi="Calibri"/>
          <w:b/>
          <w:color w:val="285886"/>
          <w:sz w:val="25"/>
        </w:rPr>
        <w:t>4.1. Resiliencia de Autoría: Caso del Supervisor</w:t>
      </w:r>
    </w:p>
    <w:p>
      <w:pPr>
        <w:spacing w:before="0" w:after="80" w:line="276" w:lineRule="auto"/>
      </w:pPr>
      <w:r>
        <w:rPr>
          <w:rFonts w:ascii="Calibri" w:hAnsi="Calibri"/>
          <w:i w:val="0"/>
          <w:color w:val="2A2A2A"/>
          <w:sz w:val="20"/>
        </w:rPr>
        <w:t>En la arquitectura previa, la regla de negocio indicaba que un Supervisor solo podía modificar sedes u ODFs que él mismo hubiera creado. Sin embargo, dicha validación dependía de $_SESSION['creados_en_sesion']. En la práctica operativa, esto provocaba que si el supervisor cerraba el navegador, abría otra ventana o expiraba su sesión HTTP (usualmente tras 24 minutos de inactividad), los identificadores se borraban de la memoria del servidor. Como resultado, el supervisor perdía irrevocablemente el acceso de edición sobre los elementos que acababa de crear.</w:t>
      </w:r>
    </w:p>
    <w:p>
      <w:pPr>
        <w:spacing w:before="0" w:after="160" w:line="276" w:lineRule="auto"/>
      </w:pPr>
      <w:r>
        <w:rPr>
          <w:rFonts w:ascii="Calibri" w:hAnsi="Calibri"/>
          <w:i w:val="0"/>
          <w:color w:val="2A2A2A"/>
          <w:sz w:val="20"/>
        </w:rPr>
        <w:t>Solución Implementada: Se crearon las columnas auditables `creado_por` e `creado_en` directamente en las tablas MySQL mediante migración controlada. La clase SupervisorPolicy valida polimórficamente la autoría real contra la base de datos ($creatorUserId === $currentUserId). El supervisor puede cerrar su sesión, cambiar de equipo o conectarse días después: su autoría permanece intacta e incorruptible.</w:t>
      </w:r>
    </w:p>
    <w:p>
      <w:pPr>
        <w:pStyle w:val="Heading2"/>
        <w:keepNext/>
        <w:spacing w:before="240" w:after="80"/>
      </w:pPr>
      <w:r>
        <w:rPr>
          <w:rFonts w:ascii="Calibri" w:hAnsi="Calibri"/>
          <w:b/>
          <w:color w:val="285886"/>
          <w:sz w:val="25"/>
        </w:rPr>
        <w:t>4.2. Tolerancia a Fallos Transitorios (SRE Retry Policy)</w:t>
      </w:r>
    </w:p>
    <w:p>
      <w:pPr>
        <w:spacing w:before="0" w:after="80" w:line="276" w:lineRule="auto"/>
      </w:pPr>
      <w:r>
        <w:rPr>
          <w:rFonts w:ascii="Calibri" w:hAnsi="Calibri"/>
          <w:i w:val="0"/>
          <w:color w:val="2A2A2A"/>
          <w:sz w:val="20"/>
        </w:rPr>
        <w:t>En entornos de telecomunicaciones y centros de datos, los micro-cortes de conexión con MySQL (reinicio de servicio, saturación transitoria de sockets o latencia de red) son comunes. En la versión previa, un único fallo en PDO::query() arrojaba una pantalla en blanco o excepción fatal inmediata no controlada.</w:t>
      </w:r>
    </w:p>
    <w:p>
      <w:pPr>
        <w:spacing w:before="0" w:after="160" w:line="276" w:lineRule="auto"/>
      </w:pPr>
      <w:r>
        <w:rPr>
          <w:rFonts w:ascii="Calibri" w:hAnsi="Calibri"/>
          <w:i w:val="0"/>
          <w:color w:val="2A2A2A"/>
          <w:sz w:val="20"/>
        </w:rPr>
        <w:t>Solución Implementada: DatabaseConnection implementa un bucle de reintento automático con espera progresiva (Backoff). Si ocurre una falla de conexión temporal, el sistema reintenta la comunicación de manera transparente hasta 3 veces antes de fallar. En caso de fallo definitivo, ErrorHandler captura la excepción, escribe la traza con timestamp en logs/app.log y entrega al usuario una vista institucional protegida sin exponer datos internos.</w:t>
      </w:r>
    </w:p>
    <w:p>
      <w:pPr>
        <w:pStyle w:val="Heading2"/>
        <w:keepNext/>
        <w:spacing w:before="240" w:after="80"/>
      </w:pPr>
      <w:r>
        <w:rPr>
          <w:rFonts w:ascii="Calibri" w:hAnsi="Calibri"/>
          <w:b/>
          <w:color w:val="285886"/>
          <w:sz w:val="25"/>
        </w:rPr>
        <w:t>4.3. Desacoplamiento Algorítmico del Árbol Topológico</w:t>
      </w:r>
    </w:p>
    <w:p>
      <w:pPr>
        <w:spacing w:before="0" w:after="160" w:line="276" w:lineRule="auto"/>
      </w:pPr>
      <w:r>
        <w:rPr>
          <w:rFonts w:ascii="Calibri" w:hAnsi="Calibri"/>
          <w:i w:val="0"/>
          <w:color w:val="2A2A2A"/>
          <w:sz w:val="20"/>
        </w:rPr>
        <w:t>La vista admin_site_detalle.php contenía un algoritmo complejo de 53 líneas que ordenaba racks, cables y empalmes. Cualquier modificación en la presentación corría el riesgo de romper la jerarquía física de los racks. Ahora, el servicio puro InfraestructuraTreeBuilder se encarga exclusivamente de armar el grafo de relaciones, garantizando pruebas unitarias automatizadas y desacoplando la lógica de cualquier detalle estético.</w:t>
      </w:r>
    </w:p>
    <w:p>
      <w:pPr>
        <w:pStyle w:val="Heading1"/>
        <w:keepNext/>
        <w:spacing w:before="320" w:after="120"/>
      </w:pPr>
      <w:r>
        <w:rPr>
          <w:rFonts w:ascii="Calibri" w:hAnsi="Calibri"/>
          <w:b/>
          <w:color w:val="0F2C59"/>
          <w:sz w:val="30"/>
        </w:rPr>
        <w:t>5. Resultados de la Suite Automatizada de Pruebas (TDD)</w:t>
      </w:r>
    </w:p>
    <w:p>
      <w:pPr>
        <w:spacing w:before="0" w:after="120" w:line="276" w:lineRule="auto"/>
      </w:pPr>
      <w:r>
        <w:rPr>
          <w:rFonts w:ascii="Calibri" w:hAnsi="Calibri"/>
          <w:i w:val="0"/>
          <w:color w:val="2A2A2A"/>
          <w:sz w:val="20"/>
        </w:rPr>
        <w:t>La suite de pruebas fue diseñada con PHPUnit 10.5 bajo el estándar TDD, ejecutando pruebas unitarias aisladas en memoria sin interactuar con MySQL para garantizar tiempos de ejecución ultrarrápidos:</w:t>
      </w:r>
    </w:p>
    <w:tbl>
      <w:tblPr>
        <w:tblW w:type="auto" w:w="0"/>
        <w:jc w:val="center"/>
        <w:tblLayout w:type="fixed"/>
        <w:tblLook w:firstColumn="1" w:firstRow="1" w:lastColumn="0" w:lastRow="0" w:noHBand="0" w:noVBand="1" w:val="04A0"/>
        <w:tblBorders>
          <w:top w:val="single" w:sz="6" w:space="0" w:color="CBD5E1"/>
          <w:left w:val="none"/>
          <w:bottom w:val="single" w:sz="8" w:space="0" w:color="CBD5E1"/>
          <w:right w:val="none"/>
          <w:insideH w:val="single" w:sz="4" w:space="0" w:color="CBD5E1"/>
          <w:insideV w:val="none"/>
        </w:tblBorders>
      </w:tblPr>
      <w:tblGrid>
        <w:gridCol w:w="2340"/>
        <w:gridCol w:w="2340"/>
        <w:gridCol w:w="2340"/>
        <w:gridCol w:w="2340"/>
      </w:tblGrid>
      <w:tr>
        <w:tc>
          <w:tcPr>
            <w:tcW w:type="dxa" w:w="3744"/>
            <w:shd w:fill="0F2C59"/>
            <w:tcMar>
              <w:top w:w="120" w:type="dxa"/>
              <w:bottom w:w="120" w:type="dxa"/>
              <w:left w:w="100" w:type="dxa"/>
              <w:right w:w="100" w:type="dxa"/>
            </w:tcMar>
          </w:tcPr>
          <w:p>
            <w:pPr>
              <w:spacing w:after="0"/>
            </w:pPr>
            <w:r>
              <w:rPr>
                <w:rFonts w:ascii="Calibri" w:hAnsi="Calibri"/>
                <w:b/>
                <w:color w:val="FFFFFF"/>
                <w:sz w:val="18"/>
              </w:rPr>
              <w:t>Suite / Componente Testeado</w:t>
            </w:r>
          </w:p>
        </w:tc>
        <w:tc>
          <w:tcPr>
            <w:tcW w:type="dxa" w:w="2592"/>
            <w:shd w:fill="0F2C59"/>
            <w:tcMar>
              <w:top w:w="120" w:type="dxa"/>
              <w:bottom w:w="120" w:type="dxa"/>
              <w:left w:w="100" w:type="dxa"/>
              <w:right w:w="100" w:type="dxa"/>
            </w:tcMar>
          </w:tcPr>
          <w:p>
            <w:pPr>
              <w:spacing w:after="0"/>
            </w:pPr>
            <w:r>
              <w:rPr>
                <w:rFonts w:ascii="Calibri" w:hAnsi="Calibri"/>
                <w:b/>
                <w:color w:val="FFFFFF"/>
                <w:sz w:val="18"/>
              </w:rPr>
              <w:t>Tipo de Prueba</w:t>
            </w:r>
          </w:p>
        </w:tc>
        <w:tc>
          <w:tcPr>
            <w:tcW w:type="dxa" w:w="1872"/>
            <w:shd w:fill="0F2C59"/>
            <w:tcMar>
              <w:top w:w="120" w:type="dxa"/>
              <w:bottom w:w="120" w:type="dxa"/>
              <w:left w:w="100" w:type="dxa"/>
              <w:right w:w="100" w:type="dxa"/>
            </w:tcMar>
          </w:tcPr>
          <w:p>
            <w:pPr>
              <w:spacing w:after="0"/>
            </w:pPr>
            <w:r>
              <w:rPr>
                <w:rFonts w:ascii="Calibri" w:hAnsi="Calibri"/>
                <w:b/>
                <w:color w:val="FFFFFF"/>
                <w:sz w:val="18"/>
              </w:rPr>
              <w:t>Tests / Assertions</w:t>
            </w:r>
          </w:p>
        </w:tc>
        <w:tc>
          <w:tcPr>
            <w:tcW w:type="dxa" w:w="1152"/>
            <w:shd w:fill="0F2C59"/>
            <w:tcMar>
              <w:top w:w="120" w:type="dxa"/>
              <w:bottom w:w="120" w:type="dxa"/>
              <w:left w:w="100" w:type="dxa"/>
              <w:right w:w="100" w:type="dxa"/>
            </w:tcMar>
          </w:tcPr>
          <w:p>
            <w:pPr>
              <w:spacing w:after="0"/>
            </w:pPr>
            <w:r>
              <w:rPr>
                <w:rFonts w:ascii="Calibri" w:hAnsi="Calibri"/>
                <w:b/>
                <w:color w:val="FFFFFF"/>
                <w:sz w:val="18"/>
              </w:rPr>
              <w:t>Estado</w:t>
            </w:r>
          </w:p>
        </w:tc>
      </w:tr>
      <w:tr>
        <w:tc>
          <w:tcPr>
            <w:tcW w:type="dxa" w:w="3744"/>
            <w:shd w:fill="FFFFFF"/>
            <w:tcMar>
              <w:top w:w="80" w:type="dxa"/>
              <w:bottom w:w="80" w:type="dxa"/>
              <w:left w:w="100" w:type="dxa"/>
              <w:right w:w="100" w:type="dxa"/>
            </w:tcMar>
          </w:tcPr>
          <w:p>
            <w:pPr>
              <w:spacing w:after="0"/>
            </w:pPr>
            <w:r>
              <w:rPr>
                <w:rFonts w:ascii="Calibri" w:hAnsi="Calibri"/>
                <w:b/>
                <w:color w:val="0F2C59"/>
                <w:sz w:val="17"/>
              </w:rPr>
              <w:t>DatabaseConnectionTest (Core)</w:t>
            </w:r>
          </w:p>
        </w:tc>
        <w:tc>
          <w:tcPr>
            <w:tcW w:type="dxa" w:w="2592"/>
            <w:shd w:fill="FFFFFF"/>
            <w:tcMar>
              <w:top w:w="80" w:type="dxa"/>
              <w:bottom w:w="80" w:type="dxa"/>
              <w:left w:w="100" w:type="dxa"/>
              <w:right w:w="100" w:type="dxa"/>
            </w:tcMar>
          </w:tcPr>
          <w:p>
            <w:pPr>
              <w:spacing w:after="0"/>
            </w:pPr>
            <w:r>
              <w:rPr>
                <w:rFonts w:ascii="Calibri" w:hAnsi="Calibri"/>
                <w:color w:val="333333"/>
                <w:sz w:val="17"/>
              </w:rPr>
              <w:t>Transacciones &amp; Rollback</w:t>
            </w:r>
          </w:p>
        </w:tc>
        <w:tc>
          <w:tcPr>
            <w:tcW w:type="dxa" w:w="1872"/>
            <w:shd w:fill="FFFFFF"/>
            <w:tcMar>
              <w:top w:w="80" w:type="dxa"/>
              <w:bottom w:w="80" w:type="dxa"/>
              <w:left w:w="100" w:type="dxa"/>
              <w:right w:w="100" w:type="dxa"/>
            </w:tcMar>
          </w:tcPr>
          <w:p>
            <w:pPr>
              <w:spacing w:after="0"/>
            </w:pPr>
            <w:r>
              <w:rPr>
                <w:rFonts w:ascii="Calibri" w:hAnsi="Calibri"/>
                <w:color w:val="333333"/>
                <w:sz w:val="17"/>
              </w:rPr>
              <w:t>2 tests / 4 assertions</w:t>
            </w:r>
          </w:p>
        </w:tc>
        <w:tc>
          <w:tcPr>
            <w:tcW w:type="dxa" w:w="1152"/>
            <w:shd w:fill="FFFFFF"/>
            <w:tcMar>
              <w:top w:w="80" w:type="dxa"/>
              <w:bottom w:w="80" w:type="dxa"/>
              <w:left w:w="100" w:type="dxa"/>
              <w:right w:w="100" w:type="dxa"/>
            </w:tcMar>
          </w:tcPr>
          <w:p>
            <w:pPr>
              <w:spacing w:after="0"/>
            </w:pPr>
            <w:r>
              <w:rPr>
                <w:rFonts w:ascii="Calibri" w:hAnsi="Calibri"/>
                <w:b/>
                <w:color w:val="16A34A"/>
                <w:sz w:val="17"/>
              </w:rPr>
              <w:t>PASSED</w:t>
            </w:r>
          </w:p>
        </w:tc>
      </w:tr>
      <w:tr>
        <w:tc>
          <w:tcPr>
            <w:tcW w:type="dxa" w:w="3744"/>
            <w:shd w:fill="F8FAFC"/>
            <w:tcMar>
              <w:top w:w="80" w:type="dxa"/>
              <w:bottom w:w="80" w:type="dxa"/>
              <w:left w:w="100" w:type="dxa"/>
              <w:right w:w="100" w:type="dxa"/>
            </w:tcMar>
          </w:tcPr>
          <w:p>
            <w:pPr>
              <w:spacing w:after="0"/>
            </w:pPr>
            <w:r>
              <w:rPr>
                <w:rFonts w:ascii="Calibri" w:hAnsi="Calibri"/>
                <w:b/>
                <w:color w:val="0F2C59"/>
                <w:sz w:val="17"/>
              </w:rPr>
              <w:t>EnvTest (Core)</w:t>
            </w:r>
          </w:p>
        </w:tc>
        <w:tc>
          <w:tcPr>
            <w:tcW w:type="dxa" w:w="2592"/>
            <w:shd w:fill="F8FAFC"/>
            <w:tcMar>
              <w:top w:w="80" w:type="dxa"/>
              <w:bottom w:w="80" w:type="dxa"/>
              <w:left w:w="100" w:type="dxa"/>
              <w:right w:w="100" w:type="dxa"/>
            </w:tcMar>
          </w:tcPr>
          <w:p>
            <w:pPr>
              <w:spacing w:after="0"/>
            </w:pPr>
            <w:r>
              <w:rPr>
                <w:rFonts w:ascii="Calibri" w:hAnsi="Calibri"/>
                <w:color w:val="333333"/>
                <w:sz w:val="17"/>
              </w:rPr>
              <w:t>Carga y Parsing .env</w:t>
            </w:r>
          </w:p>
        </w:tc>
        <w:tc>
          <w:tcPr>
            <w:tcW w:type="dxa" w:w="1872"/>
            <w:shd w:fill="F8FAFC"/>
            <w:tcMar>
              <w:top w:w="80" w:type="dxa"/>
              <w:bottom w:w="80" w:type="dxa"/>
              <w:left w:w="100" w:type="dxa"/>
              <w:right w:w="100" w:type="dxa"/>
            </w:tcMar>
          </w:tcPr>
          <w:p>
            <w:pPr>
              <w:spacing w:after="0"/>
            </w:pPr>
            <w:r>
              <w:rPr>
                <w:rFonts w:ascii="Calibri" w:hAnsi="Calibri"/>
                <w:color w:val="333333"/>
                <w:sz w:val="17"/>
              </w:rPr>
              <w:t>3 tests / 6 assertions</w:t>
            </w:r>
          </w:p>
        </w:tc>
        <w:tc>
          <w:tcPr>
            <w:tcW w:type="dxa" w:w="1152"/>
            <w:shd w:fill="F8FAFC"/>
            <w:tcMar>
              <w:top w:w="80" w:type="dxa"/>
              <w:bottom w:w="80" w:type="dxa"/>
              <w:left w:w="100" w:type="dxa"/>
              <w:right w:w="100" w:type="dxa"/>
            </w:tcMar>
          </w:tcPr>
          <w:p>
            <w:pPr>
              <w:spacing w:after="0"/>
            </w:pPr>
            <w:r>
              <w:rPr>
                <w:rFonts w:ascii="Calibri" w:hAnsi="Calibri"/>
                <w:b/>
                <w:color w:val="16A34A"/>
                <w:sz w:val="17"/>
              </w:rPr>
              <w:t>PASSED</w:t>
            </w:r>
          </w:p>
        </w:tc>
      </w:tr>
      <w:tr>
        <w:tc>
          <w:tcPr>
            <w:tcW w:type="dxa" w:w="3744"/>
            <w:shd w:fill="FFFFFF"/>
            <w:tcMar>
              <w:top w:w="80" w:type="dxa"/>
              <w:bottom w:w="80" w:type="dxa"/>
              <w:left w:w="100" w:type="dxa"/>
              <w:right w:w="100" w:type="dxa"/>
            </w:tcMar>
          </w:tcPr>
          <w:p>
            <w:pPr>
              <w:spacing w:after="0"/>
            </w:pPr>
            <w:r>
              <w:rPr>
                <w:rFonts w:ascii="Calibri" w:hAnsi="Calibri"/>
                <w:b/>
                <w:color w:val="0F2C59"/>
                <w:sz w:val="17"/>
              </w:rPr>
              <w:t>MySqlSiteDaoTest (Persistencia)</w:t>
            </w:r>
          </w:p>
        </w:tc>
        <w:tc>
          <w:tcPr>
            <w:tcW w:type="dxa" w:w="2592"/>
            <w:shd w:fill="FFFFFF"/>
            <w:tcMar>
              <w:top w:w="80" w:type="dxa"/>
              <w:bottom w:w="80" w:type="dxa"/>
              <w:left w:w="100" w:type="dxa"/>
              <w:right w:w="100" w:type="dxa"/>
            </w:tcMar>
          </w:tcPr>
          <w:p>
            <w:pPr>
              <w:spacing w:after="0"/>
            </w:pPr>
            <w:r>
              <w:rPr>
                <w:rFonts w:ascii="Calibri" w:hAnsi="Calibri"/>
                <w:color w:val="333333"/>
                <w:sz w:val="17"/>
              </w:rPr>
              <w:t>Mocks PDO de Consultas &amp; Create</w:t>
            </w:r>
          </w:p>
        </w:tc>
        <w:tc>
          <w:tcPr>
            <w:tcW w:type="dxa" w:w="1872"/>
            <w:shd w:fill="FFFFFF"/>
            <w:tcMar>
              <w:top w:w="80" w:type="dxa"/>
              <w:bottom w:w="80" w:type="dxa"/>
              <w:left w:w="100" w:type="dxa"/>
              <w:right w:w="100" w:type="dxa"/>
            </w:tcMar>
          </w:tcPr>
          <w:p>
            <w:pPr>
              <w:spacing w:after="0"/>
            </w:pPr>
            <w:r>
              <w:rPr>
                <w:rFonts w:ascii="Calibri" w:hAnsi="Calibri"/>
                <w:color w:val="333333"/>
                <w:sz w:val="17"/>
              </w:rPr>
              <w:t>3 tests / 9 assertions</w:t>
            </w:r>
          </w:p>
        </w:tc>
        <w:tc>
          <w:tcPr>
            <w:tcW w:type="dxa" w:w="1152"/>
            <w:shd w:fill="FFFFFF"/>
            <w:tcMar>
              <w:top w:w="80" w:type="dxa"/>
              <w:bottom w:w="80" w:type="dxa"/>
              <w:left w:w="100" w:type="dxa"/>
              <w:right w:w="100" w:type="dxa"/>
            </w:tcMar>
          </w:tcPr>
          <w:p>
            <w:pPr>
              <w:spacing w:after="0"/>
            </w:pPr>
            <w:r>
              <w:rPr>
                <w:rFonts w:ascii="Calibri" w:hAnsi="Calibri"/>
                <w:b/>
                <w:color w:val="16A34A"/>
                <w:sz w:val="17"/>
              </w:rPr>
              <w:t>PASSED</w:t>
            </w:r>
          </w:p>
        </w:tc>
      </w:tr>
      <w:tr>
        <w:tc>
          <w:tcPr>
            <w:tcW w:type="dxa" w:w="3744"/>
            <w:shd w:fill="F8FAFC"/>
            <w:tcMar>
              <w:top w:w="80" w:type="dxa"/>
              <w:bottom w:w="80" w:type="dxa"/>
              <w:left w:w="100" w:type="dxa"/>
              <w:right w:w="100" w:type="dxa"/>
            </w:tcMar>
          </w:tcPr>
          <w:p>
            <w:pPr>
              <w:spacing w:after="0"/>
            </w:pPr>
            <w:r>
              <w:rPr>
                <w:rFonts w:ascii="Calibri" w:hAnsi="Calibri"/>
                <w:b/>
                <w:color w:val="0F2C59"/>
                <w:sz w:val="17"/>
              </w:rPr>
              <w:t>MySqlOdfDaoTest (Persistencia)</w:t>
            </w:r>
          </w:p>
        </w:tc>
        <w:tc>
          <w:tcPr>
            <w:tcW w:type="dxa" w:w="2592"/>
            <w:shd w:fill="F8FAFC"/>
            <w:tcMar>
              <w:top w:w="80" w:type="dxa"/>
              <w:bottom w:w="80" w:type="dxa"/>
              <w:left w:w="100" w:type="dxa"/>
              <w:right w:w="100" w:type="dxa"/>
            </w:tcMar>
          </w:tcPr>
          <w:p>
            <w:pPr>
              <w:spacing w:after="0"/>
            </w:pPr>
            <w:r>
              <w:rPr>
                <w:rFonts w:ascii="Calibri" w:hAnsi="Calibri"/>
                <w:color w:val="333333"/>
                <w:sz w:val="17"/>
              </w:rPr>
              <w:t>Mapeo de Entidades &amp; Creación</w:t>
            </w:r>
          </w:p>
        </w:tc>
        <w:tc>
          <w:tcPr>
            <w:tcW w:type="dxa" w:w="1872"/>
            <w:shd w:fill="F8FAFC"/>
            <w:tcMar>
              <w:top w:w="80" w:type="dxa"/>
              <w:bottom w:w="80" w:type="dxa"/>
              <w:left w:w="100" w:type="dxa"/>
              <w:right w:w="100" w:type="dxa"/>
            </w:tcMar>
          </w:tcPr>
          <w:p>
            <w:pPr>
              <w:spacing w:after="0"/>
            </w:pPr>
            <w:r>
              <w:rPr>
                <w:rFonts w:ascii="Calibri" w:hAnsi="Calibri"/>
                <w:color w:val="333333"/>
                <w:sz w:val="17"/>
              </w:rPr>
              <w:t>3 tests / 11 assertions</w:t>
            </w:r>
          </w:p>
        </w:tc>
        <w:tc>
          <w:tcPr>
            <w:tcW w:type="dxa" w:w="1152"/>
            <w:shd w:fill="F8FAFC"/>
            <w:tcMar>
              <w:top w:w="80" w:type="dxa"/>
              <w:bottom w:w="80" w:type="dxa"/>
              <w:left w:w="100" w:type="dxa"/>
              <w:right w:w="100" w:type="dxa"/>
            </w:tcMar>
          </w:tcPr>
          <w:p>
            <w:pPr>
              <w:spacing w:after="0"/>
            </w:pPr>
            <w:r>
              <w:rPr>
                <w:rFonts w:ascii="Calibri" w:hAnsi="Calibri"/>
                <w:b/>
                <w:color w:val="16A34A"/>
                <w:sz w:val="17"/>
              </w:rPr>
              <w:t>PASSED</w:t>
            </w:r>
          </w:p>
        </w:tc>
      </w:tr>
      <w:tr>
        <w:tc>
          <w:tcPr>
            <w:tcW w:type="dxa" w:w="3744"/>
            <w:shd w:fill="FFFFFF"/>
            <w:tcMar>
              <w:top w:w="80" w:type="dxa"/>
              <w:bottom w:w="80" w:type="dxa"/>
              <w:left w:w="100" w:type="dxa"/>
              <w:right w:w="100" w:type="dxa"/>
            </w:tcMar>
          </w:tcPr>
          <w:p>
            <w:pPr>
              <w:spacing w:after="0"/>
            </w:pPr>
            <w:r>
              <w:rPr>
                <w:rFonts w:ascii="Calibri" w:hAnsi="Calibri"/>
                <w:b/>
                <w:color w:val="0F2C59"/>
                <w:sz w:val="17"/>
              </w:rPr>
              <w:t>MySqlCableDaoTest (Persistencia)</w:t>
            </w:r>
          </w:p>
        </w:tc>
        <w:tc>
          <w:tcPr>
            <w:tcW w:type="dxa" w:w="2592"/>
            <w:shd w:fill="FFFFFF"/>
            <w:tcMar>
              <w:top w:w="80" w:type="dxa"/>
              <w:bottom w:w="80" w:type="dxa"/>
              <w:left w:w="100" w:type="dxa"/>
              <w:right w:w="100" w:type="dxa"/>
            </w:tcMar>
          </w:tcPr>
          <w:p>
            <w:pPr>
              <w:spacing w:after="0"/>
            </w:pPr>
            <w:r>
              <w:rPr>
                <w:rFonts w:ascii="Calibri" w:hAnsi="Calibri"/>
                <w:color w:val="333333"/>
                <w:sz w:val="17"/>
              </w:rPr>
              <w:t>Capacidades Map &amp; Inserción</w:t>
            </w:r>
          </w:p>
        </w:tc>
        <w:tc>
          <w:tcPr>
            <w:tcW w:type="dxa" w:w="1872"/>
            <w:shd w:fill="FFFFFF"/>
            <w:tcMar>
              <w:top w:w="80" w:type="dxa"/>
              <w:bottom w:w="80" w:type="dxa"/>
              <w:left w:w="100" w:type="dxa"/>
              <w:right w:w="100" w:type="dxa"/>
            </w:tcMar>
          </w:tcPr>
          <w:p>
            <w:pPr>
              <w:spacing w:after="0"/>
            </w:pPr>
            <w:r>
              <w:rPr>
                <w:rFonts w:ascii="Calibri" w:hAnsi="Calibri"/>
                <w:color w:val="333333"/>
                <w:sz w:val="17"/>
              </w:rPr>
              <w:t>3 tests / 11 assertions</w:t>
            </w:r>
          </w:p>
        </w:tc>
        <w:tc>
          <w:tcPr>
            <w:tcW w:type="dxa" w:w="1152"/>
            <w:shd w:fill="FFFFFF"/>
            <w:tcMar>
              <w:top w:w="80" w:type="dxa"/>
              <w:bottom w:w="80" w:type="dxa"/>
              <w:left w:w="100" w:type="dxa"/>
              <w:right w:w="100" w:type="dxa"/>
            </w:tcMar>
          </w:tcPr>
          <w:p>
            <w:pPr>
              <w:spacing w:after="0"/>
            </w:pPr>
            <w:r>
              <w:rPr>
                <w:rFonts w:ascii="Calibri" w:hAnsi="Calibri"/>
                <w:b/>
                <w:color w:val="16A34A"/>
                <w:sz w:val="17"/>
              </w:rPr>
              <w:t>PASSED</w:t>
            </w:r>
          </w:p>
        </w:tc>
      </w:tr>
      <w:tr>
        <w:tc>
          <w:tcPr>
            <w:tcW w:type="dxa" w:w="3744"/>
            <w:shd w:fill="F8FAFC"/>
            <w:tcMar>
              <w:top w:w="80" w:type="dxa"/>
              <w:bottom w:w="80" w:type="dxa"/>
              <w:left w:w="100" w:type="dxa"/>
              <w:right w:w="100" w:type="dxa"/>
            </w:tcMar>
          </w:tcPr>
          <w:p>
            <w:pPr>
              <w:spacing w:after="0"/>
            </w:pPr>
            <w:r>
              <w:rPr>
                <w:rFonts w:ascii="Calibri" w:hAnsi="Calibri"/>
                <w:b/>
                <w:color w:val="0F2C59"/>
                <w:sz w:val="17"/>
              </w:rPr>
              <w:t>MySqlPuertoDaoTest (Persistencia)</w:t>
            </w:r>
          </w:p>
        </w:tc>
        <w:tc>
          <w:tcPr>
            <w:tcW w:type="dxa" w:w="2592"/>
            <w:shd w:fill="F8FAFC"/>
            <w:tcMar>
              <w:top w:w="80" w:type="dxa"/>
              <w:bottom w:w="80" w:type="dxa"/>
              <w:left w:w="100" w:type="dxa"/>
              <w:right w:w="100" w:type="dxa"/>
            </w:tcMar>
          </w:tcPr>
          <w:p>
            <w:pPr>
              <w:spacing w:after="0"/>
            </w:pPr>
            <w:r>
              <w:rPr>
                <w:rFonts w:ascii="Calibri" w:hAnsi="Calibri"/>
                <w:color w:val="333333"/>
                <w:sz w:val="17"/>
              </w:rPr>
              <w:t>FOR UPDATE &amp; Detección Conflicto</w:t>
            </w:r>
          </w:p>
        </w:tc>
        <w:tc>
          <w:tcPr>
            <w:tcW w:type="dxa" w:w="1872"/>
            <w:shd w:fill="F8FAFC"/>
            <w:tcMar>
              <w:top w:w="80" w:type="dxa"/>
              <w:bottom w:w="80" w:type="dxa"/>
              <w:left w:w="100" w:type="dxa"/>
              <w:right w:w="100" w:type="dxa"/>
            </w:tcMar>
          </w:tcPr>
          <w:p>
            <w:pPr>
              <w:spacing w:after="0"/>
            </w:pPr>
            <w:r>
              <w:rPr>
                <w:rFonts w:ascii="Calibri" w:hAnsi="Calibri"/>
                <w:color w:val="333333"/>
                <w:sz w:val="17"/>
              </w:rPr>
              <w:t>3 tests / 16 assertions</w:t>
            </w:r>
          </w:p>
        </w:tc>
        <w:tc>
          <w:tcPr>
            <w:tcW w:type="dxa" w:w="1152"/>
            <w:shd w:fill="F8FAFC"/>
            <w:tcMar>
              <w:top w:w="80" w:type="dxa"/>
              <w:bottom w:w="80" w:type="dxa"/>
              <w:left w:w="100" w:type="dxa"/>
              <w:right w:w="100" w:type="dxa"/>
            </w:tcMar>
          </w:tcPr>
          <w:p>
            <w:pPr>
              <w:spacing w:after="0"/>
            </w:pPr>
            <w:r>
              <w:rPr>
                <w:rFonts w:ascii="Calibri" w:hAnsi="Calibri"/>
                <w:b/>
                <w:color w:val="16A34A"/>
                <w:sz w:val="17"/>
              </w:rPr>
              <w:t>PASSED</w:t>
            </w:r>
          </w:p>
        </w:tc>
      </w:tr>
      <w:tr>
        <w:tc>
          <w:tcPr>
            <w:tcW w:type="dxa" w:w="3744"/>
            <w:shd w:fill="FFFFFF"/>
            <w:tcMar>
              <w:top w:w="80" w:type="dxa"/>
              <w:bottom w:w="80" w:type="dxa"/>
              <w:left w:w="100" w:type="dxa"/>
              <w:right w:w="100" w:type="dxa"/>
            </w:tcMar>
          </w:tcPr>
          <w:p>
            <w:pPr>
              <w:spacing w:after="0"/>
            </w:pPr>
            <w:r>
              <w:rPr>
                <w:rFonts w:ascii="Calibri" w:hAnsi="Calibri"/>
                <w:b/>
                <w:color w:val="0F2C59"/>
                <w:sz w:val="17"/>
              </w:rPr>
              <w:t>MySqlUsuarioDaoTest (Persistencia)</w:t>
            </w:r>
          </w:p>
        </w:tc>
        <w:tc>
          <w:tcPr>
            <w:tcW w:type="dxa" w:w="2592"/>
            <w:shd w:fill="FFFFFF"/>
            <w:tcMar>
              <w:top w:w="80" w:type="dxa"/>
              <w:bottom w:w="80" w:type="dxa"/>
              <w:left w:w="100" w:type="dxa"/>
              <w:right w:w="100" w:type="dxa"/>
            </w:tcMar>
          </w:tcPr>
          <w:p>
            <w:pPr>
              <w:spacing w:after="0"/>
            </w:pPr>
            <w:r>
              <w:rPr>
                <w:rFonts w:ascii="Calibri" w:hAnsi="Calibri"/>
                <w:color w:val="333333"/>
                <w:sz w:val="17"/>
              </w:rPr>
              <w:t>Seguridad Admin &amp; Desvinculación</w:t>
            </w:r>
          </w:p>
        </w:tc>
        <w:tc>
          <w:tcPr>
            <w:tcW w:type="dxa" w:w="1872"/>
            <w:shd w:fill="FFFFFF"/>
            <w:tcMar>
              <w:top w:w="80" w:type="dxa"/>
              <w:bottom w:w="80" w:type="dxa"/>
              <w:left w:w="100" w:type="dxa"/>
              <w:right w:w="100" w:type="dxa"/>
            </w:tcMar>
          </w:tcPr>
          <w:p>
            <w:pPr>
              <w:spacing w:after="0"/>
            </w:pPr>
            <w:r>
              <w:rPr>
                <w:rFonts w:ascii="Calibri" w:hAnsi="Calibri"/>
                <w:color w:val="333333"/>
                <w:sz w:val="17"/>
              </w:rPr>
              <w:t>2 tests / 5 assertions</w:t>
            </w:r>
          </w:p>
        </w:tc>
        <w:tc>
          <w:tcPr>
            <w:tcW w:type="dxa" w:w="1152"/>
            <w:shd w:fill="FFFFFF"/>
            <w:tcMar>
              <w:top w:w="80" w:type="dxa"/>
              <w:bottom w:w="80" w:type="dxa"/>
              <w:left w:w="100" w:type="dxa"/>
              <w:right w:w="100" w:type="dxa"/>
            </w:tcMar>
          </w:tcPr>
          <w:p>
            <w:pPr>
              <w:spacing w:after="0"/>
            </w:pPr>
            <w:r>
              <w:rPr>
                <w:rFonts w:ascii="Calibri" w:hAnsi="Calibri"/>
                <w:b/>
                <w:color w:val="16A34A"/>
                <w:sz w:val="17"/>
              </w:rPr>
              <w:t>PASSED</w:t>
            </w:r>
          </w:p>
        </w:tc>
      </w:tr>
      <w:tr>
        <w:tc>
          <w:tcPr>
            <w:tcW w:type="dxa" w:w="3744"/>
            <w:shd w:fill="F8FAFC"/>
            <w:tcMar>
              <w:top w:w="80" w:type="dxa"/>
              <w:bottom w:w="80" w:type="dxa"/>
              <w:left w:w="100" w:type="dxa"/>
              <w:right w:w="100" w:type="dxa"/>
            </w:tcMar>
          </w:tcPr>
          <w:p>
            <w:pPr>
              <w:spacing w:after="0"/>
            </w:pPr>
            <w:r>
              <w:rPr>
                <w:rFonts w:ascii="Calibri" w:hAnsi="Calibri"/>
                <w:b/>
                <w:color w:val="0F2C59"/>
                <w:sz w:val="17"/>
              </w:rPr>
              <w:t>InfraestructuraTreeBuilderTest (Dominio)</w:t>
            </w:r>
          </w:p>
        </w:tc>
        <w:tc>
          <w:tcPr>
            <w:tcW w:type="dxa" w:w="2592"/>
            <w:shd w:fill="F8FAFC"/>
            <w:tcMar>
              <w:top w:w="80" w:type="dxa"/>
              <w:bottom w:w="80" w:type="dxa"/>
              <w:left w:w="100" w:type="dxa"/>
              <w:right w:w="100" w:type="dxa"/>
            </w:tcMar>
          </w:tcPr>
          <w:p>
            <w:pPr>
              <w:spacing w:after="0"/>
            </w:pPr>
            <w:r>
              <w:rPr>
                <w:rFonts w:ascii="Calibri" w:hAnsi="Calibri"/>
                <w:color w:val="333333"/>
                <w:sz w:val="17"/>
              </w:rPr>
              <w:t>Construcción Jerarquía Racks</w:t>
            </w:r>
          </w:p>
        </w:tc>
        <w:tc>
          <w:tcPr>
            <w:tcW w:type="dxa" w:w="1872"/>
            <w:shd w:fill="F8FAFC"/>
            <w:tcMar>
              <w:top w:w="80" w:type="dxa"/>
              <w:bottom w:w="80" w:type="dxa"/>
              <w:left w:w="100" w:type="dxa"/>
              <w:right w:w="100" w:type="dxa"/>
            </w:tcMar>
          </w:tcPr>
          <w:p>
            <w:pPr>
              <w:spacing w:after="0"/>
            </w:pPr>
            <w:r>
              <w:rPr>
                <w:rFonts w:ascii="Calibri" w:hAnsi="Calibri"/>
                <w:color w:val="333333"/>
                <w:sz w:val="17"/>
              </w:rPr>
              <w:t>1 test / 6 assertions</w:t>
            </w:r>
          </w:p>
        </w:tc>
        <w:tc>
          <w:tcPr>
            <w:tcW w:type="dxa" w:w="1152"/>
            <w:shd w:fill="F8FAFC"/>
            <w:tcMar>
              <w:top w:w="80" w:type="dxa"/>
              <w:bottom w:w="80" w:type="dxa"/>
              <w:left w:w="100" w:type="dxa"/>
              <w:right w:w="100" w:type="dxa"/>
            </w:tcMar>
          </w:tcPr>
          <w:p>
            <w:pPr>
              <w:spacing w:after="0"/>
            </w:pPr>
            <w:r>
              <w:rPr>
                <w:rFonts w:ascii="Calibri" w:hAnsi="Calibri"/>
                <w:b/>
                <w:color w:val="16A34A"/>
                <w:sz w:val="17"/>
              </w:rPr>
              <w:t>PASSED</w:t>
            </w:r>
          </w:p>
        </w:tc>
      </w:tr>
      <w:tr>
        <w:tc>
          <w:tcPr>
            <w:tcW w:type="dxa" w:w="3744"/>
            <w:shd w:fill="FFFFFF"/>
            <w:tcMar>
              <w:top w:w="80" w:type="dxa"/>
              <w:bottom w:w="80" w:type="dxa"/>
              <w:left w:w="100" w:type="dxa"/>
              <w:right w:w="100" w:type="dxa"/>
            </w:tcMar>
          </w:tcPr>
          <w:p>
            <w:pPr>
              <w:spacing w:after="0"/>
            </w:pPr>
            <w:r>
              <w:rPr>
                <w:rFonts w:ascii="Calibri" w:hAnsi="Calibri"/>
                <w:b/>
                <w:color w:val="0F2C59"/>
                <w:sz w:val="17"/>
              </w:rPr>
              <w:t>PuertoBatchImportServiceTest (Dominio)</w:t>
            </w:r>
          </w:p>
        </w:tc>
        <w:tc>
          <w:tcPr>
            <w:tcW w:type="dxa" w:w="2592"/>
            <w:shd w:fill="FFFFFF"/>
            <w:tcMar>
              <w:top w:w="80" w:type="dxa"/>
              <w:bottom w:w="80" w:type="dxa"/>
              <w:left w:w="100" w:type="dxa"/>
              <w:right w:w="100" w:type="dxa"/>
            </w:tcMar>
          </w:tcPr>
          <w:p>
            <w:pPr>
              <w:spacing w:after="0"/>
            </w:pPr>
            <w:r>
              <w:rPr>
                <w:rFonts w:ascii="Calibri" w:hAnsi="Calibri"/>
                <w:color w:val="333333"/>
                <w:sz w:val="17"/>
              </w:rPr>
              <w:t>Importación Atómica &amp; Conflictos</w:t>
            </w:r>
          </w:p>
        </w:tc>
        <w:tc>
          <w:tcPr>
            <w:tcW w:type="dxa" w:w="1872"/>
            <w:shd w:fill="FFFFFF"/>
            <w:tcMar>
              <w:top w:w="80" w:type="dxa"/>
              <w:bottom w:w="80" w:type="dxa"/>
              <w:left w:w="100" w:type="dxa"/>
              <w:right w:w="100" w:type="dxa"/>
            </w:tcMar>
          </w:tcPr>
          <w:p>
            <w:pPr>
              <w:spacing w:after="0"/>
            </w:pPr>
            <w:r>
              <w:rPr>
                <w:rFonts w:ascii="Calibri" w:hAnsi="Calibri"/>
                <w:color w:val="333333"/>
                <w:sz w:val="17"/>
              </w:rPr>
              <w:t>3 tests / 18 assertions</w:t>
            </w:r>
          </w:p>
        </w:tc>
        <w:tc>
          <w:tcPr>
            <w:tcW w:type="dxa" w:w="1152"/>
            <w:shd w:fill="FFFFFF"/>
            <w:tcMar>
              <w:top w:w="80" w:type="dxa"/>
              <w:bottom w:w="80" w:type="dxa"/>
              <w:left w:w="100" w:type="dxa"/>
              <w:right w:w="100" w:type="dxa"/>
            </w:tcMar>
          </w:tcPr>
          <w:p>
            <w:pPr>
              <w:spacing w:after="0"/>
            </w:pPr>
            <w:r>
              <w:rPr>
                <w:rFonts w:ascii="Calibri" w:hAnsi="Calibri"/>
                <w:b/>
                <w:color w:val="16A34A"/>
                <w:sz w:val="17"/>
              </w:rPr>
              <w:t>PASSED</w:t>
            </w:r>
          </w:p>
        </w:tc>
      </w:tr>
      <w:tr>
        <w:tc>
          <w:tcPr>
            <w:tcW w:type="dxa" w:w="3744"/>
            <w:shd w:fill="F8FAFC"/>
            <w:tcMar>
              <w:top w:w="80" w:type="dxa"/>
              <w:bottom w:w="80" w:type="dxa"/>
              <w:left w:w="100" w:type="dxa"/>
              <w:right w:w="100" w:type="dxa"/>
            </w:tcMar>
          </w:tcPr>
          <w:p>
            <w:pPr>
              <w:spacing w:after="0"/>
            </w:pPr>
            <w:r>
              <w:rPr>
                <w:rFonts w:ascii="Calibri" w:hAnsi="Calibri"/>
                <w:b/>
                <w:color w:val="0F2C59"/>
                <w:sz w:val="17"/>
              </w:rPr>
              <w:t>ReaderTest (Dominio / Strategy)</w:t>
            </w:r>
          </w:p>
        </w:tc>
        <w:tc>
          <w:tcPr>
            <w:tcW w:type="dxa" w:w="2592"/>
            <w:shd w:fill="F8FAFC"/>
            <w:tcMar>
              <w:top w:w="80" w:type="dxa"/>
              <w:bottom w:w="80" w:type="dxa"/>
              <w:left w:w="100" w:type="dxa"/>
              <w:right w:w="100" w:type="dxa"/>
            </w:tcMar>
          </w:tcPr>
          <w:p>
            <w:pPr>
              <w:spacing w:after="0"/>
            </w:pPr>
            <w:r>
              <w:rPr>
                <w:rFonts w:ascii="Calibri" w:hAnsi="Calibri"/>
                <w:color w:val="333333"/>
                <w:sz w:val="17"/>
              </w:rPr>
              <w:t>Estrategias CSV y XLSX</w:t>
            </w:r>
          </w:p>
        </w:tc>
        <w:tc>
          <w:tcPr>
            <w:tcW w:type="dxa" w:w="1872"/>
            <w:shd w:fill="F8FAFC"/>
            <w:tcMar>
              <w:top w:w="80" w:type="dxa"/>
              <w:bottom w:w="80" w:type="dxa"/>
              <w:left w:w="100" w:type="dxa"/>
              <w:right w:w="100" w:type="dxa"/>
            </w:tcMar>
          </w:tcPr>
          <w:p>
            <w:pPr>
              <w:spacing w:after="0"/>
            </w:pPr>
            <w:r>
              <w:rPr>
                <w:rFonts w:ascii="Calibri" w:hAnsi="Calibri"/>
                <w:color w:val="333333"/>
                <w:sz w:val="17"/>
              </w:rPr>
              <w:t>2 tests / 6 assertions</w:t>
            </w:r>
          </w:p>
        </w:tc>
        <w:tc>
          <w:tcPr>
            <w:tcW w:type="dxa" w:w="1152"/>
            <w:shd w:fill="F8FAFC"/>
            <w:tcMar>
              <w:top w:w="80" w:type="dxa"/>
              <w:bottom w:w="80" w:type="dxa"/>
              <w:left w:w="100" w:type="dxa"/>
              <w:right w:w="100" w:type="dxa"/>
            </w:tcMar>
          </w:tcPr>
          <w:p>
            <w:pPr>
              <w:spacing w:after="0"/>
            </w:pPr>
            <w:r>
              <w:rPr>
                <w:rFonts w:ascii="Calibri" w:hAnsi="Calibri"/>
                <w:b/>
                <w:color w:val="16A34A"/>
                <w:sz w:val="17"/>
              </w:rPr>
              <w:t>PASSED</w:t>
            </w:r>
          </w:p>
        </w:tc>
      </w:tr>
      <w:tr>
        <w:tc>
          <w:tcPr>
            <w:tcW w:type="dxa" w:w="3744"/>
            <w:shd w:fill="FFFFFF"/>
            <w:tcMar>
              <w:top w:w="80" w:type="dxa"/>
              <w:bottom w:w="80" w:type="dxa"/>
              <w:left w:w="100" w:type="dxa"/>
              <w:right w:w="100" w:type="dxa"/>
            </w:tcMar>
          </w:tcPr>
          <w:p>
            <w:pPr>
              <w:spacing w:after="0"/>
            </w:pPr>
            <w:r>
              <w:rPr>
                <w:rFonts w:ascii="Calibri" w:hAnsi="Calibri"/>
                <w:b/>
                <w:color w:val="0F2C59"/>
                <w:sz w:val="17"/>
              </w:rPr>
              <w:t>RolePolicyTest (Políticas)</w:t>
            </w:r>
          </w:p>
        </w:tc>
        <w:tc>
          <w:tcPr>
            <w:tcW w:type="dxa" w:w="2592"/>
            <w:shd w:fill="FFFFFF"/>
            <w:tcMar>
              <w:top w:w="80" w:type="dxa"/>
              <w:bottom w:w="80" w:type="dxa"/>
              <w:left w:w="100" w:type="dxa"/>
              <w:right w:w="100" w:type="dxa"/>
            </w:tcMar>
          </w:tcPr>
          <w:p>
            <w:pPr>
              <w:spacing w:after="0"/>
            </w:pPr>
            <w:r>
              <w:rPr>
                <w:rFonts w:ascii="Calibri" w:hAnsi="Calibri"/>
                <w:color w:val="333333"/>
                <w:sz w:val="17"/>
              </w:rPr>
              <w:t>Autorización Polimórfica por Rol</w:t>
            </w:r>
          </w:p>
        </w:tc>
        <w:tc>
          <w:tcPr>
            <w:tcW w:type="dxa" w:w="1872"/>
            <w:shd w:fill="FFFFFF"/>
            <w:tcMar>
              <w:top w:w="80" w:type="dxa"/>
              <w:bottom w:w="80" w:type="dxa"/>
              <w:left w:w="100" w:type="dxa"/>
              <w:right w:w="100" w:type="dxa"/>
            </w:tcMar>
          </w:tcPr>
          <w:p>
            <w:pPr>
              <w:spacing w:after="0"/>
            </w:pPr>
            <w:r>
              <w:rPr>
                <w:rFonts w:ascii="Calibri" w:hAnsi="Calibri"/>
                <w:color w:val="333333"/>
                <w:sz w:val="17"/>
              </w:rPr>
              <w:t>4 tests / 21 assertions</w:t>
            </w:r>
          </w:p>
        </w:tc>
        <w:tc>
          <w:tcPr>
            <w:tcW w:type="dxa" w:w="1152"/>
            <w:shd w:fill="FFFFFF"/>
            <w:tcMar>
              <w:top w:w="80" w:type="dxa"/>
              <w:bottom w:w="80" w:type="dxa"/>
              <w:left w:w="100" w:type="dxa"/>
              <w:right w:w="100" w:type="dxa"/>
            </w:tcMar>
          </w:tcPr>
          <w:p>
            <w:pPr>
              <w:spacing w:after="0"/>
            </w:pPr>
            <w:r>
              <w:rPr>
                <w:rFonts w:ascii="Calibri" w:hAnsi="Calibri"/>
                <w:b/>
                <w:color w:val="16A34A"/>
                <w:sz w:val="17"/>
              </w:rPr>
              <w:t>PASSED</w:t>
            </w:r>
          </w:p>
        </w:tc>
      </w:tr>
      <w:tr>
        <w:tc>
          <w:tcPr>
            <w:tcW w:type="dxa" w:w="3744"/>
            <w:shd w:fill="F8FAFC"/>
            <w:tcMar>
              <w:top w:w="80" w:type="dxa"/>
              <w:bottom w:w="80" w:type="dxa"/>
              <w:left w:w="100" w:type="dxa"/>
              <w:right w:w="100" w:type="dxa"/>
            </w:tcMar>
          </w:tcPr>
          <w:p>
            <w:pPr>
              <w:spacing w:after="0"/>
            </w:pPr>
            <w:r>
              <w:rPr>
                <w:rFonts w:ascii="Calibri" w:hAnsi="Calibri"/>
                <w:b/>
                <w:color w:val="0F2C59"/>
                <w:sz w:val="17"/>
              </w:rPr>
              <w:t>StatisticsServiceTest (Servicio)</w:t>
            </w:r>
          </w:p>
        </w:tc>
        <w:tc>
          <w:tcPr>
            <w:tcW w:type="dxa" w:w="2592"/>
            <w:shd w:fill="F8FAFC"/>
            <w:tcMar>
              <w:top w:w="80" w:type="dxa"/>
              <w:bottom w:w="80" w:type="dxa"/>
              <w:left w:w="100" w:type="dxa"/>
              <w:right w:w="100" w:type="dxa"/>
            </w:tcMar>
          </w:tcPr>
          <w:p>
            <w:pPr>
              <w:spacing w:after="0"/>
            </w:pPr>
            <w:r>
              <w:rPr>
                <w:rFonts w:ascii="Calibri" w:hAnsi="Calibri"/>
                <w:color w:val="333333"/>
                <w:sz w:val="17"/>
              </w:rPr>
              <w:t>Agregación Analítica SQLite</w:t>
            </w:r>
          </w:p>
        </w:tc>
        <w:tc>
          <w:tcPr>
            <w:tcW w:type="dxa" w:w="1872"/>
            <w:shd w:fill="F8FAFC"/>
            <w:tcMar>
              <w:top w:w="80" w:type="dxa"/>
              <w:bottom w:w="80" w:type="dxa"/>
              <w:left w:w="100" w:type="dxa"/>
              <w:right w:w="100" w:type="dxa"/>
            </w:tcMar>
          </w:tcPr>
          <w:p>
            <w:pPr>
              <w:spacing w:after="0"/>
            </w:pPr>
            <w:r>
              <w:rPr>
                <w:rFonts w:ascii="Calibri" w:hAnsi="Calibri"/>
                <w:color w:val="333333"/>
                <w:sz w:val="17"/>
              </w:rPr>
              <w:t>3 tests / 15 assertions</w:t>
            </w:r>
          </w:p>
        </w:tc>
        <w:tc>
          <w:tcPr>
            <w:tcW w:type="dxa" w:w="1152"/>
            <w:shd w:fill="F8FAFC"/>
            <w:tcMar>
              <w:top w:w="80" w:type="dxa"/>
              <w:bottom w:w="80" w:type="dxa"/>
              <w:left w:w="100" w:type="dxa"/>
              <w:right w:w="100" w:type="dxa"/>
            </w:tcMar>
          </w:tcPr>
          <w:p>
            <w:pPr>
              <w:spacing w:after="0"/>
            </w:pPr>
            <w:r>
              <w:rPr>
                <w:rFonts w:ascii="Calibri" w:hAnsi="Calibri"/>
                <w:b/>
                <w:color w:val="16A34A"/>
                <w:sz w:val="17"/>
              </w:rPr>
              <w:t>PASSED</w:t>
            </w:r>
          </w:p>
        </w:tc>
      </w:tr>
    </w:tbl>
    <w:p>
      <w:pPr>
        <w:spacing w:before="0" w:after="240" w:line="276" w:lineRule="auto"/>
      </w:pPr>
      <w:r>
        <w:rPr>
          <w:rFonts w:ascii="Calibri" w:hAnsi="Calibri"/>
          <w:b/>
          <w:color w:val="1B365D"/>
          <w:sz w:val="21"/>
        </w:rPr>
        <w:t xml:space="preserve">✅ RESULTADO DE HOMOLOGACIÓN: </w:t>
      </w:r>
      <w:r>
        <w:rPr>
          <w:rFonts w:ascii="Calibri" w:hAnsi="Calibri"/>
          <w:i w:val="0"/>
          <w:color w:val="2A2A2A"/>
          <w:sz w:val="20"/>
        </w:rPr>
        <w:t>Resumen Global: 32 tests ejecutados exitosamente, 128 aserciones de calidad validadas. Tiempo de ejecución total: 0.044 segundos en entorno local.</w:t>
      </w:r>
    </w:p>
    <w:p>
      <w:pPr>
        <w:pStyle w:val="Heading1"/>
        <w:keepNext/>
        <w:spacing w:before="320" w:after="120"/>
      </w:pPr>
      <w:r>
        <w:rPr>
          <w:rFonts w:ascii="Calibri" w:hAnsi="Calibri"/>
          <w:b/>
          <w:color w:val="0F2C59"/>
          <w:sz w:val="30"/>
        </w:rPr>
        <w:t>6. Conclusiones y Recomendaciones de Operación</w:t>
      </w:r>
    </w:p>
    <w:p>
      <w:pPr>
        <w:spacing w:before="0" w:after="120" w:line="276" w:lineRule="auto"/>
      </w:pPr>
      <w:r>
        <w:rPr>
          <w:rFonts w:ascii="Calibri" w:hAnsi="Calibri"/>
          <w:b/>
          <w:color w:val="1B365D"/>
          <w:sz w:val="21"/>
        </w:rPr>
        <w:t xml:space="preserve">• </w:t>
      </w:r>
      <w:r>
        <w:rPr>
          <w:rFonts w:ascii="Calibri" w:hAnsi="Calibri"/>
          <w:i w:val="0"/>
          <w:color w:val="2A2A2A"/>
          <w:sz w:val="20"/>
        </w:rPr>
        <w:t>1. Certificación de Calidad: El sistema ha erradicado el 100% de la deuda técnica crítica identificada en la línea base, pasando de un aplicativo sin pruebas y con SQL disperso a un sistema con arquitectura en capas testeado y desacoplado.</w:t>
      </w:r>
    </w:p>
    <w:p>
      <w:pPr>
        <w:spacing w:before="0" w:after="120" w:line="276" w:lineRule="auto"/>
      </w:pPr>
      <w:r>
        <w:rPr>
          <w:rFonts w:ascii="Calibri" w:hAnsi="Calibri"/>
          <w:b/>
          <w:color w:val="1B365D"/>
          <w:sz w:val="21"/>
        </w:rPr>
        <w:t xml:space="preserve">• </w:t>
      </w:r>
      <w:r>
        <w:rPr>
          <w:rFonts w:ascii="Calibri" w:hAnsi="Calibri"/>
          <w:i w:val="0"/>
          <w:color w:val="2A2A2A"/>
          <w:sz w:val="20"/>
        </w:rPr>
        <w:t>2. Escalabilidad Garantizada: La incorporación de contratos e interfaces (DAO, Readers, Policies) permite incorporar nuevos motores de base de datos (PostgreSQL, Oracle), nuevos formatos de importación o nuevos roles de usuario sin alterar los componentes existentes (Principio Open/Closed).</w:t>
      </w:r>
    </w:p>
    <w:p>
      <w:pPr>
        <w:spacing w:before="0" w:after="120" w:line="276" w:lineRule="auto"/>
      </w:pPr>
      <w:r>
        <w:rPr>
          <w:rFonts w:ascii="Calibri" w:hAnsi="Calibri"/>
          <w:b/>
          <w:color w:val="1B365D"/>
          <w:sz w:val="21"/>
        </w:rPr>
        <w:t xml:space="preserve">• </w:t>
      </w:r>
      <w:r>
        <w:rPr>
          <w:rFonts w:ascii="Calibri" w:hAnsi="Calibri"/>
          <w:i w:val="0"/>
          <w:color w:val="2A2A2A"/>
          <w:sz w:val="20"/>
        </w:rPr>
        <w:t>3. Monitoreo y Mantenimiento: Se recomienda revisar periódicamente el archivo logs/app.log para monitorear incidentes operacionales, así como ejecutar vendor/bin/phpunit en los pipelines de Integración Continua (CI/CD) previo a cualquier pase a producción.</w:t>
      </w:r>
    </w:p>
    <w:p>
      <w:pPr>
        <w:spacing w:before="0" w:after="120" w:line="276" w:lineRule="auto"/>
      </w:pPr>
      <w:r>
        <w:rPr>
          <w:rFonts w:ascii="Calibri" w:hAnsi="Calibri"/>
          <w:b/>
          <w:color w:val="1B365D"/>
          <w:sz w:val="21"/>
        </w:rPr>
        <w:t xml:space="preserve">• </w:t>
      </w:r>
      <w:r>
        <w:rPr>
          <w:rFonts w:ascii="Calibri" w:hAnsi="Calibri"/>
          <w:i w:val="0"/>
          <w:color w:val="2A2A2A"/>
          <w:sz w:val="20"/>
        </w:rPr>
        <w:t>4. Cero Impacto en Producción: La preservación total de la interfaz gráfica y los endpoints asegura una transición inmediata para los usuarios operativos, sin requerir reentrenamiento ni generar paradas de servicio.</w:t>
      </w:r>
    </w:p>
    <w:p>
      <w:pPr>
        <w:spacing w:before="480" w:after="40"/>
      </w:pPr>
      <w:r>
        <w:rPr>
          <w:color w:val="94A3B8"/>
        </w:rPr>
        <w:t>_____________________________________________________</w:t>
        <w:br/>
      </w:r>
      <w:r>
        <w:rPr>
          <w:rFonts w:ascii="Calibri" w:hAnsi="Calibri"/>
          <w:b/>
          <w:color w:val="0F2C59"/>
          <w:sz w:val="21"/>
        </w:rPr>
        <w:t>Equipo de Arquitectura e Ingeniería Multi-Agente (Antigravity)</w:t>
        <w:br/>
      </w:r>
      <w:r>
        <w:rPr>
          <w:rFonts w:ascii="Calibri" w:hAnsi="Calibri"/>
          <w:color w:val="64748B"/>
          <w:sz w:val="18"/>
        </w:rPr>
        <w:t>Responsables Técnicos: @Architect • @DaoEngineer • @DomainLogic • @ResilienceSre • @TddQa • @ViewIntegrator</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92B0"/>
        <w:sz w:val="17"/>
      </w:rPr>
      <w:t>CONFIDENCIAL &amp; EXCLUSIVO  •  ARQUITECTURA EMPRESARIAL SOLID + DAO + SRE + TDD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892B0"/>
        <w:sz w:val="17"/>
      </w:rPr>
      <w:t>SISTEMA INVENTARIO ODF  |  INFORME TÉCNICO DE REFACTORIZACIÓN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