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Appendix Table A.1. Pass-Through Regression with Distributed Inflation Controls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Appendix Table A.1. Pass-Through Regression with Distributed Inflation Controls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02"/>
        <w:gridCol w:w="1218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(1)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Constant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(0.009)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0.381***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(0.052)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Rate, t-1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0.355**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(0.130)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Rate, t-2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(0.078)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Rate, t-3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(0.058)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Rate, t-4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(0.083)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Rate, t-5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-0.135*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(0.054)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Rate, t-6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-0.057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(0.069)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Rate, t-7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(0.035)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Rate, t-8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(0.063)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Rate, t-9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(0.086)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Rate, t-10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(0.039)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Rate, t-11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(0.070)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Rate, t-12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(0.057)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Monthly HICP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0.027+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(0.016)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Monthly HICP Change, t-1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(0.009)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Monthly HICP Change, t-2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-0.023+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(0.012)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Monthly HICP Change, t-3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(0.016)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Monthly HICP Change, t-4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0.029***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(0.008)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Monthly HICP Change, t-5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(0.012)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Monthly HICP Change, t-6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(0.012)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Monthly HICP Change, t-7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(0.009)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Monthly HICP Change, t-8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(0.008)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Monthly HICP Change, t-9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(0.016)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Monthly HICP Change, t-10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(0.009)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Monthly HICP Change, t-11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(0.010)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Monthly HICP Change, t-12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-0.002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(0.012)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Observations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R-squared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0.712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Adjusted R-squared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0.679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+ p &lt; 0.1, * p &lt; 0.05, ** p &lt; 0.01, *** p &lt; 0.001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Notes: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Newey-West standard errors with 12 lags are reported in parentheses.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The dependent variable is the monthly change in the euro-area NFC lending rate.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The model includes contemporaneous and lagged ECB policy-rate changes up to twelve months.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The model also includes contemporaneous and lagged monthly HICP changes up to twelve months.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HICP is measured as an index with 2025 = 100.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2026-08-06T23:21:03Z</dcterms:modified>
  <cp:category/>
</cp:coreProperties>
</file>