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2. Pass-Through Regression with Distributed Inflation Controls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Pass-Through Regression with Distributed Inflation Controls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0.355**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-0.135*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(0.039)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Newey-West standard errors with 12 lags are reported in parentheses.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dependent variable is the monthly change in the euro-area NFC lending rate.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includes contemporaneous and lagged ECB policy-rate changes up to twelve months.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also includes contemporaneous and lagged monthly HICP changes up to twelve months.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HICP is measured as an index with 2025 = 100.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2026-08-06T21:32:50Z</dcterms:modified>
  <cp:category/>
</cp:coreProperties>
</file>