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5. Wald Test of Joint Significance of Post-2022 Interaction Terms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35"/>
        <w:gridCol w:w="1340"/>
        <w:gridCol w:w="2612"/>
        <w:gridCol w:w="2612"/>
        <w:gridCol w:w="11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Degrees.of.Freedom.1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Degrees.of.Freedom.2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Joint significance of Post-2022 interaction terms (t to t-12)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&lt;1e-04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null hypothesis states that the contemporaneous and lagged Post-2022 interaction coefficients are jointly equal to zero.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test evaluates whether ECB pass-through changed following the onset of the July 2022 tightening cycle.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Newey-West standard errors with 12 lags are used.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2026-08-06T22:34:33Z</dcterms:modified>
  <cp:category/>
</cp:coreProperties>
</file>