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6. Wald Tests of Short-Run and Longer-Run Pass-Through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54"/>
        <w:gridCol w:w="1352"/>
        <w:gridCol w:w="814"/>
        <w:gridCol w:w="814"/>
        <w:gridCol w:w="12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F-statistic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Short-run pass-through effects (lags 1-3)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Longer-run pass-through effects (lags 4-12)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table reports Wald tests of the joint significance of the baseline ECB policy-rate lag coefficients in the inflation-controlled Post-2022 interaction model.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short-run test evaluates whether the coefficients on ECB policy-rate lags 1 to 3 are jointly equal to zero.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longer-run test evaluates whether the coefficients on ECB policy-rate lags 4 to 12 are jointly equal to zero.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tests do not evaluate the combined post-2022 effects, which are given by the baseline and interaction coefficients taken together.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Newey-West standard errors with 12 lags are used.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2026-08-06T23:05:56Z</dcterms:modified>
  <cp:category/>
</cp:coreProperties>
</file>