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66ca8d24a4861566f438bb5c0367a600567e18"/>
    <w:p>
      <w:pPr>
        <w:pStyle w:val="Heading1"/>
      </w:pPr>
      <w:r>
        <w:t xml:space="preserve">Documentação do Projeto — Orçamento Preliminar IFC</w:t>
      </w:r>
    </w:p>
    <w:bookmarkStart w:id="9" w:name="visão-geral"/>
    <w:p>
      <w:pPr>
        <w:pStyle w:val="Heading2"/>
      </w:pPr>
      <w:r>
        <w:t xml:space="preserve">1. Visão geral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Orçamento Preliminar IFC</w:t>
      </w:r>
      <w:r>
        <w:t xml:space="preserve"> </w:t>
      </w:r>
      <w:r>
        <w:t xml:space="preserve">é um aplicativo web que automatiza a geração de um</w:t>
      </w:r>
      <w:r>
        <w:t xml:space="preserve"> </w:t>
      </w:r>
      <w:r>
        <w:t xml:space="preserve">orçamento preliminar de obra a partir de um modelo</w:t>
      </w:r>
      <w:r>
        <w:t xml:space="preserve"> </w:t>
      </w:r>
      <w:r>
        <w:rPr>
          <w:b/>
          <w:bCs/>
        </w:rPr>
        <w:t xml:space="preserve">BIM</w:t>
      </w:r>
      <w:r>
        <w:t xml:space="preserve"> </w:t>
      </w:r>
      <w:r>
        <w:t xml:space="preserve">no formato</w:t>
      </w:r>
      <w:r>
        <w:t xml:space="preserve"> </w:t>
      </w:r>
      <w:r>
        <w:rPr>
          <w:b/>
          <w:bCs/>
        </w:rPr>
        <w:t xml:space="preserve">IFC</w:t>
      </w:r>
      <w:r>
        <w:t xml:space="preserve"> </w:t>
      </w:r>
      <w:r>
        <w:t xml:space="preserve">(Industry Foundation Classes). O usuário importa um arquivo</w:t>
      </w:r>
      <w:r>
        <w:t xml:space="preserve"> </w:t>
      </w:r>
      <w:r>
        <w:rPr>
          <w:rStyle w:val="VerbatimChar"/>
        </w:rPr>
        <w:t xml:space="preserve">.ifc</w:t>
      </w:r>
      <w:r>
        <w:t xml:space="preserve">, visualiza o</w:t>
      </w:r>
      <w:r>
        <w:t xml:space="preserve"> </w:t>
      </w:r>
      <w:r>
        <w:t xml:space="preserve">modelo em 3D e obtém uma planilha orçamentária com serviços, quantidades,</w:t>
      </w:r>
      <w:r>
        <w:t xml:space="preserve"> </w:t>
      </w:r>
      <w:r>
        <w:t xml:space="preserve">unidades e preços — exportável em Excel.</w:t>
      </w:r>
    </w:p>
    <w:p>
      <w:pPr>
        <w:pStyle w:val="BodyText"/>
      </w:pPr>
      <w:r>
        <w:t xml:space="preserve">A premissa central é que o IFC, por ser um dado</w:t>
      </w:r>
      <w:r>
        <w:t xml:space="preserve"> </w:t>
      </w:r>
      <w:r>
        <w:rPr>
          <w:b/>
          <w:bCs/>
        </w:rPr>
        <w:t xml:space="preserve">estruturado</w:t>
      </w:r>
      <w:r>
        <w:t xml:space="preserve">, já carrega as</w:t>
      </w:r>
      <w:r>
        <w:t xml:space="preserve"> </w:t>
      </w:r>
      <w:r>
        <w:t xml:space="preserve">quantidades calculadas dos elementos construtivos (</w:t>
      </w:r>
      <w:r>
        <w:rPr>
          <w:rStyle w:val="VerbatimChar"/>
        </w:rPr>
        <w:t xml:space="preserve">BaseQuantities</w:t>
      </w:r>
      <w:r>
        <w:t xml:space="preserve">). Isso elimina</w:t>
      </w:r>
      <w:r>
        <w:t xml:space="preserve"> </w:t>
      </w:r>
      <w:r>
        <w:t xml:space="preserve">a calibração manual e os erros de medição típicos da extração a partir de plantas</w:t>
      </w:r>
      <w:r>
        <w:t xml:space="preserve"> </w:t>
      </w:r>
      <w:r>
        <w:t xml:space="preserve">em PDF.</w:t>
      </w:r>
    </w:p>
    <w:bookmarkEnd w:id="9"/>
    <w:bookmarkStart w:id="10" w:name="objetivos"/>
    <w:p>
      <w:pPr>
        <w:pStyle w:val="Heading2"/>
      </w:pPr>
      <w:r>
        <w:t xml:space="preserve">2. Objetivos</w:t>
      </w:r>
    </w:p>
    <w:p>
      <w:pPr>
        <w:pStyle w:val="Compact"/>
        <w:numPr>
          <w:ilvl w:val="0"/>
          <w:numId w:val="1001"/>
        </w:numPr>
      </w:pPr>
      <w:r>
        <w:t xml:space="preserve">Reduzir o tempo de levantamento de quantitativos (takeoff) de obras.</w:t>
      </w:r>
    </w:p>
    <w:p>
      <w:pPr>
        <w:pStyle w:val="Compact"/>
        <w:numPr>
          <w:ilvl w:val="0"/>
          <w:numId w:val="1001"/>
        </w:numPr>
      </w:pPr>
      <w:r>
        <w:t xml:space="preserve">Traduzir elementos BIM em</w:t>
      </w:r>
      <w:r>
        <w:t xml:space="preserve"> </w:t>
      </w:r>
      <w:r>
        <w:rPr>
          <w:b/>
          <w:bCs/>
        </w:rPr>
        <w:t xml:space="preserve">linguagem de orçamento</w:t>
      </w:r>
      <w:r>
        <w:t xml:space="preserve"> </w:t>
      </w:r>
      <w:r>
        <w:t xml:space="preserve">(serviço/unidade/quantidade).</w:t>
      </w:r>
    </w:p>
    <w:p>
      <w:pPr>
        <w:pStyle w:val="Compact"/>
        <w:numPr>
          <w:ilvl w:val="0"/>
          <w:numId w:val="1001"/>
        </w:numPr>
      </w:pPr>
      <w:r>
        <w:t xml:space="preserve">Precificar automaticamente com base em referência</w:t>
      </w:r>
      <w:r>
        <w:t xml:space="preserve"> </w:t>
      </w:r>
      <w:r>
        <w:rPr>
          <w:b/>
          <w:bCs/>
        </w:rPr>
        <w:t xml:space="preserve">SINAPI</w:t>
      </w:r>
      <w:r>
        <w:t xml:space="preserve">, permitindo</w:t>
      </w:r>
      <w:r>
        <w:t xml:space="preserve"> </w:t>
      </w:r>
      <w:r>
        <w:t xml:space="preserve">ajustes manuais pelo orçamentista.</w:t>
      </w:r>
    </w:p>
    <w:p>
      <w:pPr>
        <w:pStyle w:val="Compact"/>
        <w:numPr>
          <w:ilvl w:val="0"/>
          <w:numId w:val="1001"/>
        </w:numPr>
      </w:pPr>
      <w:r>
        <w:t xml:space="preserve">Entregar uma planilha pronta para uso em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</w:t>
      </w:r>
    </w:p>
    <w:bookmarkEnd w:id="10"/>
    <w:bookmarkStart w:id="12" w:name="arquitetura-e-stack"/>
    <w:p>
      <w:pPr>
        <w:pStyle w:val="Heading2"/>
      </w:pPr>
      <w:r>
        <w:t xml:space="preserve">3. Arquitetura e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 / UI</w:t>
            </w:r>
          </w:p>
        </w:tc>
        <w:tc>
          <w:tcPr/>
          <w:p>
            <w:pPr>
              <w:pStyle w:val="Compact"/>
            </w:pPr>
            <w:r>
              <w:t xml:space="preserve">Next.js (App Router) + React + Tailwind</w:t>
            </w:r>
          </w:p>
        </w:tc>
        <w:tc>
          <w:tcPr/>
          <w:p>
            <w:pPr>
              <w:pStyle w:val="Compact"/>
            </w:pPr>
            <w:r>
              <w:t xml:space="preserve">Upload, viewer 3D, tabela editável, exportação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Visualização 3D</w:t>
            </w:r>
          </w:p>
        </w:tc>
        <w:tc>
          <w:tcPr/>
          <w:p>
            <w:pPr>
              <w:pStyle w:val="Compact"/>
            </w:pPr>
            <w:r>
              <w:t xml:space="preserve">web-ifc</w:t>
            </w:r>
          </w:p>
        </w:tc>
        <w:tc>
          <w:tcPr/>
          <w:p>
            <w:pPr>
              <w:pStyle w:val="Compact"/>
            </w:pPr>
            <w:r>
              <w:t xml:space="preserve">Renderiza o modelo e destaca objetos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Parsing</w:t>
            </w:r>
          </w:p>
        </w:tc>
        <w:tc>
          <w:tcPr/>
          <w:p>
            <w:pPr>
              <w:pStyle w:val="Compact"/>
            </w:pPr>
            <w:r>
              <w:t xml:space="preserve">Parser STEP próprio (</w:t>
            </w:r>
            <w:r>
              <w:rPr>
                <w:rStyle w:val="VerbatimChar"/>
              </w:rPr>
              <w:t xml:space="preserve">lib/ifc.ts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Lê elementos IFC e quantidades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Regra de negócio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lib/budget.ts</w:t>
            </w:r>
          </w:p>
        </w:tc>
        <w:tc>
          <w:tcPr/>
          <w:p>
            <w:pPr>
              <w:pStyle w:val="Compact"/>
            </w:pPr>
            <w:r>
              <w:t xml:space="preserve">Traduz elementos em itens de orçamento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Precificação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lib/sinapi.ts</w:t>
            </w:r>
          </w:p>
        </w:tc>
        <w:tc>
          <w:tcPr/>
          <w:p>
            <w:pPr>
              <w:pStyle w:val="Compact"/>
            </w:pPr>
            <w:r>
              <w:t xml:space="preserve">Tabela de referência de custos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Exportação</w:t>
            </w:r>
          </w:p>
        </w:tc>
        <w:tc>
          <w:tcPr/>
          <w:p>
            <w:pPr>
              <w:pStyle w:val="Compact"/>
            </w:pPr>
            <w:r>
              <w:t xml:space="preserve">exceljs (</w:t>
            </w:r>
            <w:r>
              <w:rPr>
                <w:rStyle w:val="VerbatimChar"/>
              </w:rPr>
              <w:t xml:space="preserve">lib/ifcXlsx.ts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Gera a planilha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</w:p>
        </w:tc>
      </w:tr>
    </w:tbl>
    <w:bookmarkStart w:id="11" w:name="estrutura-de-pastas"/>
    <w:p>
      <w:pPr>
        <w:pStyle w:val="Heading3"/>
      </w:pPr>
      <w:r>
        <w:t xml:space="preserve">3.1 Estrutura de pastas</w:t>
      </w:r>
    </w:p>
    <w:p>
      <w:pPr>
        <w:pStyle w:val="SourceCode"/>
      </w:pPr>
      <w:r>
        <w:rPr>
          <w:rStyle w:val="VerbatimChar"/>
        </w:rPr>
        <w:t xml:space="preserve">app/page.tsx                 # UI: upload IFC, viewer 3D, tabela e download</w:t>
      </w:r>
      <w:r>
        <w:br/>
      </w:r>
      <w:r>
        <w:rPr>
          <w:rStyle w:val="VerbatimChar"/>
        </w:rPr>
        <w:t xml:space="preserve">app/layout.tsx               # metadados e fontes</w:t>
      </w:r>
      <w:r>
        <w:br/>
      </w:r>
      <w:r>
        <w:rPr>
          <w:rStyle w:val="VerbatimChar"/>
        </w:rPr>
        <w:t xml:space="preserve">app/api/ifc/route.ts         # endpoint: parse do IFC -&gt; orçamento (JSON)</w:t>
      </w:r>
      <w:r>
        <w:br/>
      </w:r>
      <w:r>
        <w:rPr>
          <w:rStyle w:val="VerbatimChar"/>
        </w:rPr>
        <w:t xml:space="preserve">app/api/ifc/export/route.ts  # endpoint: gera a planilha .xlsx</w:t>
      </w:r>
      <w:r>
        <w:br/>
      </w:r>
      <w:r>
        <w:rPr>
          <w:rStyle w:val="VerbatimChar"/>
        </w:rPr>
        <w:t xml:space="preserve">lib/ifc.ts                   # parser STEP + extração de quantidades + unidades</w:t>
      </w:r>
      <w:r>
        <w:br/>
      </w:r>
      <w:r>
        <w:rPr>
          <w:rStyle w:val="VerbatimChar"/>
        </w:rPr>
        <w:t xml:space="preserve">lib/budget.ts                # tradução para itens de orçamento (PT-BR)</w:t>
      </w:r>
      <w:r>
        <w:br/>
      </w:r>
      <w:r>
        <w:rPr>
          <w:rStyle w:val="VerbatimChar"/>
        </w:rPr>
        <w:t xml:space="preserve">lib/sinapi.ts                # tabela de referência de custos SINAPI</w:t>
      </w:r>
      <w:r>
        <w:br/>
      </w:r>
      <w:r>
        <w:rPr>
          <w:rStyle w:val="VerbatimChar"/>
        </w:rPr>
        <w:t xml:space="preserve">lib/ifcXlsx.ts               # montagem da planilha (exceljs)</w:t>
      </w:r>
    </w:p>
    <w:bookmarkEnd w:id="11"/>
    <w:bookmarkEnd w:id="12"/>
    <w:bookmarkStart w:id="13" w:name="Xb0c36831acbb8b989f52a085a0831906ba529cc"/>
    <w:p>
      <w:pPr>
        <w:pStyle w:val="Heading2"/>
      </w:pPr>
      <w:r>
        <w:t xml:space="preserve">4. Metodologia de desenvolvimento com agentes de IA</w:t>
      </w:r>
    </w:p>
    <w:p>
      <w:pPr>
        <w:pStyle w:val="FirstParagraph"/>
      </w:pPr>
      <w:r>
        <w:t xml:space="preserve">O projeto foi desenvolvido com o apoio de</w:t>
      </w:r>
      <w:r>
        <w:t xml:space="preserve"> </w:t>
      </w:r>
      <w:r>
        <w:rPr>
          <w:b/>
          <w:bCs/>
        </w:rPr>
        <w:t xml:space="preserve">agentes de IA especializados</w:t>
      </w:r>
      <w:r>
        <w:t xml:space="preserve">,</w:t>
      </w:r>
      <w:r>
        <w:t xml:space="preserve"> </w:t>
      </w:r>
      <w:r>
        <w:t xml:space="preserve">cada um responsável por uma frente do trabalho, simulando um time de software</w:t>
      </w:r>
      <w:r>
        <w:t xml:space="preserve"> </w:t>
      </w:r>
      <w:r>
        <w:t xml:space="preserve">multidisciplinar: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Agente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Agente de Backend</w:t>
            </w:r>
          </w:p>
        </w:tc>
        <w:tc>
          <w:tcPr/>
          <w:p>
            <w:pPr>
              <w:pStyle w:val="Compact"/>
            </w:pPr>
            <w:r>
              <w:t xml:space="preserve">Desenvolvimento server-side</w:t>
            </w:r>
          </w:p>
        </w:tc>
        <w:tc>
          <w:tcPr/>
          <w:p>
            <w:pPr>
              <w:pStyle w:val="Compact"/>
            </w:pPr>
            <w:r>
              <w:t xml:space="preserve">Parser do IFC, endpoints da API (</w:t>
            </w:r>
            <w:r>
              <w:rPr>
                <w:rStyle w:val="VerbatimChar"/>
              </w:rPr>
              <w:t xml:space="preserve">/api/ifc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/api/ifc/export</w:t>
            </w:r>
            <w:r>
              <w:t xml:space="preserve">), normalização de unidades e geração da planilha.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Agente de Frontend</w:t>
            </w:r>
          </w:p>
        </w:tc>
        <w:tc>
          <w:tcPr/>
          <w:p>
            <w:pPr>
              <w:pStyle w:val="Compact"/>
            </w:pPr>
            <w:r>
              <w:t xml:space="preserve">Interface e experiência</w:t>
            </w:r>
          </w:p>
        </w:tc>
        <w:tc>
          <w:tcPr/>
          <w:p>
            <w:pPr>
              <w:pStyle w:val="Compact"/>
            </w:pPr>
            <w:r>
              <w:t xml:space="preserve">UI em Next.js/Tailwind, visualizador 3D, tabela editável, fonte de custos e identidade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Agente de QA</w:t>
            </w:r>
          </w:p>
        </w:tc>
        <w:tc>
          <w:tcPr/>
          <w:p>
            <w:pPr>
              <w:pStyle w:val="Compact"/>
            </w:pPr>
            <w:r>
              <w:t xml:space="preserve">Qualidade e validação</w:t>
            </w:r>
          </w:p>
        </w:tc>
        <w:tc>
          <w:tcPr/>
          <w:p>
            <w:pPr>
              <w:pStyle w:val="Compact"/>
            </w:pPr>
            <w:r>
              <w:t xml:space="preserve">Verificação de tipos, testes com o modelo de referência, conferência de quantidades/unidades e revisão de regressões.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Agente Orçamentista</w:t>
            </w:r>
          </w:p>
        </w:tc>
        <w:tc>
          <w:tcPr/>
          <w:p>
            <w:pPr>
              <w:pStyle w:val="Compact"/>
            </w:pPr>
            <w:r>
              <w:t xml:space="preserve">Domínio de orçamento</w:t>
            </w:r>
          </w:p>
        </w:tc>
        <w:tc>
          <w:tcPr/>
          <w:p>
            <w:pPr>
              <w:pStyle w:val="Compact"/>
            </w:pPr>
            <w:r>
              <w:t xml:space="preserve">Tradução dos elementos IFC em itens de serviço, critérios de engenharia (faces de parede, cobertura, estimativas) e mapeamento de preços SINAPI com unidades compatíveis.</w:t>
            </w:r>
          </w:p>
        </w:tc>
      </w:tr>
    </w:tbl>
    <w:p>
      <w:pPr>
        <w:pStyle w:val="BodyText"/>
      </w:pPr>
      <w:r>
        <w:t xml:space="preserve">Essa divisão por papéis permitiu separar claramente as preocupações técnicas</w:t>
      </w:r>
      <w:r>
        <w:t xml:space="preserve"> </w:t>
      </w:r>
      <w:r>
        <w:t xml:space="preserve">(backend, frontend, QA) da regra de negócio de orçamentação, conduzida pelo</w:t>
      </w:r>
      <w:r>
        <w:t xml:space="preserve"> </w:t>
      </w:r>
      <w:r>
        <w:rPr>
          <w:b/>
          <w:bCs/>
        </w:rPr>
        <w:t xml:space="preserve">agente orçamentista</w:t>
      </w:r>
      <w:r>
        <w:t xml:space="preserve">, que define como o modelo BIM se traduz em custos.</w:t>
      </w:r>
    </w:p>
    <w:bookmarkEnd w:id="13"/>
    <w:bookmarkStart w:id="14" w:name="fluxo-de-dados"/>
    <w:p>
      <w:pPr>
        <w:pStyle w:val="Heading2"/>
      </w:pPr>
      <w:r>
        <w:t xml:space="preserve">5. Fluxo de dados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— o usuário seleciona um</w:t>
      </w:r>
      <w:r>
        <w:t xml:space="preserve"> </w:t>
      </w:r>
      <w:r>
        <w:rPr>
          <w:rStyle w:val="VerbatimChar"/>
        </w:rPr>
        <w:t xml:space="preserve">.ifc</w:t>
      </w:r>
      <w:r>
        <w:t xml:space="preserve"> </w:t>
      </w:r>
      <w:r>
        <w:t xml:space="preserve">na interface.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Parse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/api/ifc</w:t>
      </w:r>
      <w:r>
        <w:t xml:space="preserve">) — o arquivo é lido pelo parser STEP, que extrai os</w:t>
      </w:r>
      <w:r>
        <w:t xml:space="preserve"> </w:t>
      </w:r>
      <w:r>
        <w:t xml:space="preserve">elementos (paredes, lajes, pilares, vigas, fundações, portas, janelas,</w:t>
      </w:r>
      <w:r>
        <w:t xml:space="preserve"> </w:t>
      </w:r>
      <w:r>
        <w:t xml:space="preserve">coberturas) e suas quantidades.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Orçamentação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lib/budget.ts</w:t>
      </w:r>
      <w:r>
        <w:t xml:space="preserve">) — os elementos viram itens de serviço</w:t>
      </w:r>
      <w:r>
        <w:t xml:space="preserve"> </w:t>
      </w:r>
      <w:r>
        <w:t xml:space="preserve">agrupados por etapa, com unidade e quantidade.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Precificação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lib/sinapi.ts</w:t>
      </w:r>
      <w:r>
        <w:t xml:space="preserve">) — cada item recebe um preço unitário de</w:t>
      </w:r>
      <w:r>
        <w:t xml:space="preserve"> </w:t>
      </w:r>
      <w:r>
        <w:t xml:space="preserve">referência SINAPI (ou inserido pelo usuário).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Visualização</w:t>
      </w:r>
      <w:r>
        <w:t xml:space="preserve"> </w:t>
      </w:r>
      <w:r>
        <w:t xml:space="preserve">— a tabela é exibida na web; o modelo aparece em 3D.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Exportação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/api/ifc/export</w:t>
      </w:r>
      <w:r>
        <w:t xml:space="preserve">) — gera o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com os preços efetivos.</w:t>
      </w:r>
    </w:p>
    <w:bookmarkEnd w:id="14"/>
    <w:bookmarkStart w:id="15" w:name="parser-ifc-libifc.ts"/>
    <w:p>
      <w:pPr>
        <w:pStyle w:val="Heading2"/>
      </w:pPr>
      <w:r>
        <w:t xml:space="preserve">6. Parser IFC (</w:t>
      </w:r>
      <w:r>
        <w:rPr>
          <w:rStyle w:val="VerbatimChar"/>
        </w:rPr>
        <w:t xml:space="preserve">lib/ifc.ts</w:t>
      </w:r>
      <w:r>
        <w:t xml:space="preserve">)</w:t>
      </w:r>
    </w:p>
    <w:p>
      <w:pPr>
        <w:pStyle w:val="FirstParagraph"/>
      </w:pPr>
      <w:r>
        <w:t xml:space="preserve">O IFC segue o padrão</w:t>
      </w:r>
      <w:r>
        <w:t xml:space="preserve"> </w:t>
      </w:r>
      <w:r>
        <w:rPr>
          <w:b/>
          <w:bCs/>
        </w:rPr>
        <w:t xml:space="preserve">STEP / ISO-10303-21</w:t>
      </w:r>
      <w:r>
        <w:t xml:space="preserve">. O parser implementado é leve e não</w:t>
      </w:r>
      <w:r>
        <w:t xml:space="preserve"> </w:t>
      </w:r>
      <w:r>
        <w:t xml:space="preserve">usa WASM. Principais responsabilidades: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Leitura das entidades</w:t>
      </w:r>
      <w:r>
        <w:t xml:space="preserve"> </w:t>
      </w:r>
      <w:r>
        <w:t xml:space="preserve">(</w:t>
      </w:r>
      <w:r>
        <w:rPr>
          <w:rStyle w:val="VerbatimChar"/>
        </w:rPr>
        <w:t xml:space="preserve">#id = IFCTIPO(args)</w:t>
      </w:r>
      <w:r>
        <w:t xml:space="preserve">) e dos conjuntos de</w:t>
      </w:r>
      <w:r>
        <w:t xml:space="preserve"> </w:t>
      </w:r>
      <w:r>
        <w:t xml:space="preserve">quantidades (</w:t>
      </w:r>
      <w:r>
        <w:rPr>
          <w:rStyle w:val="VerbatimChar"/>
        </w:rPr>
        <w:t xml:space="preserve">IfcElementQuantity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BaseQuantities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Normalização de unidades</w:t>
      </w:r>
      <w:r>
        <w:t xml:space="preserve">: comprimentos mm→m, áreas mm²→m², volumes mm³→m³,</w:t>
      </w:r>
      <w:r>
        <w:t xml:space="preserve"> </w:t>
      </w:r>
      <w:r>
        <w:t xml:space="preserve">com heurística por magnitude do valor.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Deduplicação</w:t>
      </w:r>
      <w:r>
        <w:t xml:space="preserve"> </w:t>
      </w:r>
      <w:r>
        <w:t xml:space="preserve">de quantidades repetidas pelo exportador (mantém o valor</w:t>
      </w:r>
      <w:r>
        <w:t xml:space="preserve"> </w:t>
      </w:r>
      <w:r>
        <w:t xml:space="preserve">líquido / mínimo coerente).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 geométrico</w:t>
      </w:r>
      <w:r>
        <w:t xml:space="preserve">: quando um elemento não tem</w:t>
      </w:r>
      <w:r>
        <w:t xml:space="preserve"> </w:t>
      </w:r>
      <w:r>
        <w:rPr>
          <w:rStyle w:val="VerbatimChar"/>
        </w:rPr>
        <w:t xml:space="preserve">BaseQuantities</w:t>
      </w:r>
      <w:r>
        <w:t xml:space="preserve">, tenta</w:t>
      </w:r>
      <w:r>
        <w:t xml:space="preserve"> </w:t>
      </w:r>
      <w:r>
        <w:t xml:space="preserve">derivar a quantidade a partir da geometria (ex.:</w:t>
      </w:r>
      <w:r>
        <w:t xml:space="preserve"> </w:t>
      </w:r>
      <w:r>
        <w:rPr>
          <w:rStyle w:val="VerbatimChar"/>
        </w:rPr>
        <w:t xml:space="preserve">IfcExtrudedAreaSolid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IfcRectangleProfileDef</w:t>
      </w:r>
      <w:r>
        <w:t xml:space="preserve">).</w:t>
      </w:r>
    </w:p>
    <w:bookmarkEnd w:id="15"/>
    <w:bookmarkStart w:id="16" w:name="regras-de-orçamento-libbudget.ts"/>
    <w:p>
      <w:pPr>
        <w:pStyle w:val="Heading2"/>
      </w:pPr>
      <w:r>
        <w:t xml:space="preserve">7. Regras de orçamento (</w:t>
      </w:r>
      <w:r>
        <w:rPr>
          <w:rStyle w:val="VerbatimChar"/>
        </w:rPr>
        <w:t xml:space="preserve">lib/budget.ts</w:t>
      </w:r>
      <w:r>
        <w:t xml:space="preserve">)</w:t>
      </w:r>
    </w:p>
    <w:p>
      <w:pPr>
        <w:pStyle w:val="FirstParagraph"/>
      </w:pPr>
      <w:r>
        <w:t xml:space="preserve">Os elementos IFC são convertidos em itens agrupados por etapa. Resumo: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Itens (exemplos)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Serviços preliminares</w:t>
            </w:r>
          </w:p>
        </w:tc>
        <w:tc>
          <w:tcPr/>
          <w:p>
            <w:pPr>
              <w:pStyle w:val="Compact"/>
            </w:pPr>
            <w:r>
              <w:t xml:space="preserve">Limpeza do terreno, locação da obra</w:t>
            </w:r>
          </w:p>
        </w:tc>
        <w:tc>
          <w:tcPr/>
          <w:p>
            <w:pPr>
              <w:pStyle w:val="Compact"/>
            </w:pPr>
            <w:r>
              <w:t xml:space="preserve">m²,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Fundações</w:t>
            </w:r>
          </w:p>
        </w:tc>
        <w:tc>
          <w:tcPr/>
          <w:p>
            <w:pPr>
              <w:pStyle w:val="Compact"/>
            </w:pPr>
            <w:r>
              <w:t xml:space="preserve">Concreto, fôrmas, armadura</w:t>
            </w:r>
          </w:p>
        </w:tc>
        <w:tc>
          <w:tcPr/>
          <w:p>
            <w:pPr>
              <w:pStyle w:val="Compact"/>
            </w:pPr>
            <w:r>
              <w:t xml:space="preserve">m³, m², kg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Superestrutura</w:t>
            </w:r>
          </w:p>
        </w:tc>
        <w:tc>
          <w:tcPr/>
          <w:p>
            <w:pPr>
              <w:pStyle w:val="Compact"/>
            </w:pPr>
            <w:r>
              <w:t xml:space="preserve">Concreto em pilares/vigas/lajes, fôrmas, armadura</w:t>
            </w:r>
          </w:p>
        </w:tc>
        <w:tc>
          <w:tcPr/>
          <w:p>
            <w:pPr>
              <w:pStyle w:val="Compact"/>
            </w:pPr>
            <w:r>
              <w:t xml:space="preserve">m³, m², kg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Alvenaria/Vedações</w:t>
            </w:r>
          </w:p>
        </w:tc>
        <w:tc>
          <w:tcPr/>
          <w:p>
            <w:pPr>
              <w:pStyle w:val="Compact"/>
            </w:pPr>
            <w:r>
              <w:t xml:space="preserve">Paredes externas e internas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Cobertura</w:t>
            </w:r>
          </w:p>
        </w:tc>
        <w:tc>
          <w:tcPr/>
          <w:p>
            <w:pPr>
              <w:pStyle w:val="Compact"/>
            </w:pPr>
            <w:r>
              <w:t xml:space="preserve">Telhamento (inclui estrutura)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Esquadrias</w:t>
            </w:r>
          </w:p>
        </w:tc>
        <w:tc>
          <w:tcPr/>
          <w:p>
            <w:pPr>
              <w:pStyle w:val="Compact"/>
            </w:pPr>
            <w:r>
              <w:t xml:space="preserve">Portas, janelas e seus vãos</w:t>
            </w:r>
          </w:p>
        </w:tc>
        <w:tc>
          <w:tcPr/>
          <w:p>
            <w:pPr>
              <w:pStyle w:val="Compact"/>
            </w:pPr>
            <w:r>
              <w:t xml:space="preserve">un,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Revestimentos</w:t>
            </w:r>
          </w:p>
        </w:tc>
        <w:tc>
          <w:tcPr/>
          <w:p>
            <w:pPr>
              <w:pStyle w:val="Compact"/>
            </w:pPr>
            <w:r>
              <w:t xml:space="preserve">Chapisco, emboço, reboco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Pisos</w:t>
            </w:r>
          </w:p>
        </w:tc>
        <w:tc>
          <w:tcPr/>
          <w:p>
            <w:pPr>
              <w:pStyle w:val="Compact"/>
            </w:pPr>
            <w:r>
              <w:t xml:space="preserve">Contrapiso, revestimento de piso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Pintura</w:t>
            </w:r>
          </w:p>
        </w:tc>
        <w:tc>
          <w:tcPr/>
          <w:p>
            <w:pPr>
              <w:pStyle w:val="Compact"/>
            </w:pPr>
            <w:r>
              <w:t xml:space="preserve">Paredes e teto/forro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</w:tbl>
    <w:p>
      <w:pPr>
        <w:pStyle w:val="BodyText"/>
      </w:pPr>
      <w:r>
        <w:t xml:space="preserve">Critérios de engenharia adotados: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Paredes</w:t>
      </w:r>
      <w:r>
        <w:t xml:space="preserve"> </w:t>
      </w:r>
      <w:r>
        <w:t xml:space="preserve">classificadas em externa/interna por palavra-chave do nome; área de</w:t>
      </w:r>
      <w:r>
        <w:t xml:space="preserve"> </w:t>
      </w:r>
      <w:r>
        <w:t xml:space="preserve">revestimento considera 1 face para externas e 2 faces para internas.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Cobertura</w:t>
      </w:r>
      <w:r>
        <w:t xml:space="preserve"> </w:t>
      </w:r>
      <w:r>
        <w:t xml:space="preserve">usa a</w:t>
      </w:r>
      <w:r>
        <w:t xml:space="preserve"> </w:t>
      </w:r>
      <w:r>
        <w:rPr>
          <w:b/>
          <w:bCs/>
        </w:rPr>
        <w:t xml:space="preserve">face inferior</w:t>
      </w:r>
      <w:r>
        <w:t xml:space="preserve"> </w:t>
      </w:r>
      <w:r>
        <w:t xml:space="preserve">das lajes de telhado (forro) — não a</w:t>
      </w:r>
      <w:r>
        <w:t xml:space="preserve"> </w:t>
      </w:r>
      <w:r>
        <w:t xml:space="preserve">superfície total da laje (que somaria faces e bordas).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Pintura de teto</w:t>
      </w:r>
      <w:r>
        <w:t xml:space="preserve"> </w:t>
      </w:r>
      <w:r>
        <w:t xml:space="preserve">só aparece quando existe laje de teto no modelo.</w:t>
      </w:r>
    </w:p>
    <w:p>
      <w:pPr>
        <w:pStyle w:val="Compact"/>
        <w:numPr>
          <w:ilvl w:val="0"/>
          <w:numId w:val="1004"/>
        </w:numPr>
      </w:pPr>
      <w:r>
        <w:t xml:space="preserve">Itens marcados como</w:t>
      </w:r>
      <w:r>
        <w:t xml:space="preserve"> </w:t>
      </w:r>
      <w:r>
        <w:rPr>
          <w:b/>
          <w:bCs/>
        </w:rPr>
        <w:t xml:space="preserve">(estimado)</w:t>
      </w:r>
      <w:r>
        <w:t xml:space="preserve"> </w:t>
      </w:r>
      <w:r>
        <w:t xml:space="preserve">derivam de premissas paramétricas (ex.:</w:t>
      </w:r>
      <w:r>
        <w:t xml:space="preserve"> </w:t>
      </w:r>
      <w:r>
        <w:t xml:space="preserve">~10 m² de fôrma por m³ de concreto, ~100 kg/m³ de armadura).</w:t>
      </w:r>
    </w:p>
    <w:bookmarkEnd w:id="16"/>
    <w:bookmarkStart w:id="17" w:name="precificação-sinapi-libsinapi.ts"/>
    <w:p>
      <w:pPr>
        <w:pStyle w:val="Heading2"/>
      </w:pPr>
      <w:r>
        <w:t xml:space="preserve">8. Precificação SINAPI (</w:t>
      </w:r>
      <w:r>
        <w:rPr>
          <w:rStyle w:val="VerbatimChar"/>
        </w:rPr>
        <w:t xml:space="preserve">lib/sinapi.ts</w:t>
      </w:r>
      <w:r>
        <w:t xml:space="preserve">)</w:t>
      </w:r>
    </w:p>
    <w:p>
      <w:pPr>
        <w:pStyle w:val="FirstParagraph"/>
      </w:pPr>
      <w:r>
        <w:t xml:space="preserve">O app oferece uma</w:t>
      </w:r>
      <w:r>
        <w:t xml:space="preserve"> </w:t>
      </w:r>
      <w:r>
        <w:rPr>
          <w:b/>
          <w:bCs/>
        </w:rPr>
        <w:t xml:space="preserve">Fonte de Custos</w:t>
      </w:r>
      <w:r>
        <w:t xml:space="preserve"> </w:t>
      </w:r>
      <w:r>
        <w:t xml:space="preserve">selecionável no topo: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SINAPI (padrão)</w:t>
      </w:r>
      <w:r>
        <w:t xml:space="preserve"> </w:t>
      </w:r>
      <w:r>
        <w:t xml:space="preserve">— preços de referência (estado de</w:t>
      </w:r>
      <w:r>
        <w:t xml:space="preserve"> </w:t>
      </w:r>
      <w:r>
        <w:rPr>
          <w:b/>
          <w:bCs/>
        </w:rPr>
        <w:t xml:space="preserve">SP</w:t>
      </w:r>
      <w:r>
        <w:t xml:space="preserve">, regime</w:t>
      </w:r>
      <w: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desonerado</w:t>
      </w:r>
      <w:r>
        <w:t xml:space="preserve">) alimentam a coluna de preço unitário. Cada item do orçamento é</w:t>
      </w:r>
      <w:r>
        <w:t xml:space="preserve"> </w:t>
      </w:r>
      <w:r>
        <w:t xml:space="preserve">mapeado para a composição SINAPI mais próxima, garantindo</w:t>
      </w:r>
      <w:r>
        <w:t xml:space="preserve"> </w:t>
      </w:r>
      <w:r>
        <w:rPr>
          <w:b/>
          <w:bCs/>
        </w:rPr>
        <w:t xml:space="preserve">unidade</w:t>
      </w:r>
      <w:r>
        <w:rPr>
          <w:b/>
          <w:bCs/>
        </w:rPr>
        <w:t xml:space="preserve"> </w:t>
      </w:r>
      <w:r>
        <w:rPr>
          <w:b/>
          <w:bCs/>
        </w:rPr>
        <w:t xml:space="preserve">compatível</w:t>
      </w:r>
      <w:r>
        <w:t xml:space="preserve">. A interface exibe o código/descrição da composição usada.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Inserido pelo Usuário</w:t>
      </w:r>
      <w:r>
        <w:t xml:space="preserve"> </w:t>
      </w:r>
      <w:r>
        <w:t xml:space="preserve">— todos os preços são digitados manualmente.</w:t>
      </w:r>
    </w:p>
    <w:p>
      <w:pPr>
        <w:pStyle w:val="FirstParagraph"/>
      </w:pPr>
      <w:r>
        <w:t xml:space="preserve">No modo SINAPI, o usuário ainda pode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o preço de um item específico</w:t>
      </w:r>
      <w:r>
        <w:t xml:space="preserve"> </w:t>
      </w:r>
      <w:r>
        <w:t xml:space="preserve">(que então deixa de mostrar o código SINAPI); o botão</w:t>
      </w:r>
      <w:r>
        <w:t xml:space="preserve"> </w:t>
      </w:r>
      <w:r>
        <w:rPr>
          <w:b/>
          <w:bCs/>
        </w:rPr>
        <w:t xml:space="preserve">↺ SINAPI</w:t>
      </w:r>
      <w:r>
        <w:t xml:space="preserve"> </w:t>
      </w:r>
      <w:r>
        <w:t xml:space="preserve">devolve aquele</w:t>
      </w:r>
      <w:r>
        <w:t xml:space="preserve"> </w:t>
      </w:r>
      <w:r>
        <w:t xml:space="preserve">item ao valor de referência.</w:t>
      </w:r>
    </w:p>
    <w:p>
      <w:pPr>
        <w:pStyle w:val="BlockText"/>
      </w:pPr>
      <w:r>
        <w:t xml:space="preserve">Os valores SINAPI embutidos são</w:t>
      </w:r>
      <w:r>
        <w:t xml:space="preserve"> </w:t>
      </w:r>
      <w:r>
        <w:rPr>
          <w:b/>
          <w:bCs/>
        </w:rPr>
        <w:t xml:space="preserve">referências aproximadas</w:t>
      </w:r>
      <w:r>
        <w:t xml:space="preserve">. O SINAPI oficial é</w:t>
      </w:r>
      <w:r>
        <w:t xml:space="preserve"> </w:t>
      </w:r>
      <w:r>
        <w:t xml:space="preserve">publicado mensalmente pela Caixa por UF; recomenda-se revisar os números de</w:t>
      </w:r>
      <w:r>
        <w:t xml:space="preserve"> </w:t>
      </w:r>
      <w:r>
        <w:rPr>
          <w:rStyle w:val="VerbatimChar"/>
        </w:rPr>
        <w:t xml:space="preserve">lib/sinapi.ts</w:t>
      </w:r>
      <w:r>
        <w:t xml:space="preserve"> </w:t>
      </w:r>
      <w:r>
        <w:t xml:space="preserve">conforme o mês/estado do orçamento.</w:t>
      </w:r>
      <w:r>
        <w:t xml:space="preserve"> </w:t>
      </w:r>
      <w:r>
        <w:t xml:space="preserve">https://www.caixa.gov.br/site/Paginas/downloads.aspx</w:t>
      </w:r>
    </w:p>
    <w:bookmarkEnd w:id="17"/>
    <w:bookmarkStart w:id="18" w:name="exportação-excel-libifcxlsx.ts"/>
    <w:p>
      <w:pPr>
        <w:pStyle w:val="Heading2"/>
      </w:pPr>
      <w:r>
        <w:t xml:space="preserve">9. Exportação Excel (</w:t>
      </w:r>
      <w:r>
        <w:rPr>
          <w:rStyle w:val="VerbatimChar"/>
        </w:rPr>
        <w:t xml:space="preserve">lib/ifcXlsx.ts</w:t>
      </w:r>
      <w:r>
        <w:t xml:space="preserve">)</w:t>
      </w:r>
    </w:p>
    <w:p>
      <w:pPr>
        <w:pStyle w:val="FirstParagraph"/>
      </w:pPr>
      <w:r>
        <w:t xml:space="preserve">A planilha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é montada com</w:t>
      </w:r>
      <w:r>
        <w:t xml:space="preserve"> </w:t>
      </w:r>
      <w:r>
        <w:rPr>
          <w:b/>
          <w:bCs/>
        </w:rPr>
        <w:t xml:space="preserve">exceljs</w:t>
      </w:r>
      <w:r>
        <w:t xml:space="preserve"> </w:t>
      </w:r>
      <w:r>
        <w:t xml:space="preserve">e contém: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Orçamento</w:t>
      </w:r>
      <w:r>
        <w:t xml:space="preserve"> </w:t>
      </w:r>
      <w:r>
        <w:t xml:space="preserve">— código, etapa, serviço, unidade, quantidade, preço unitário,</w:t>
      </w:r>
      <w:r>
        <w:t xml:space="preserve"> </w:t>
      </w:r>
      <w:r>
        <w:t xml:space="preserve">total e critério/observação, com linha de total geral.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Detalhe</w:t>
      </w:r>
      <w:r>
        <w:t xml:space="preserve"> </w:t>
      </w:r>
      <w:r>
        <w:t xml:space="preserve">— lista por elemento (tipo, nome, GUID, área, comprimento, volume).</w:t>
      </w:r>
    </w:p>
    <w:bookmarkEnd w:id="18"/>
    <w:bookmarkStart w:id="19" w:name="visualizador-3d"/>
    <w:p>
      <w:pPr>
        <w:pStyle w:val="Heading2"/>
      </w:pPr>
      <w:r>
        <w:t xml:space="preserve">10. Visualizador 3D</w:t>
      </w:r>
    </w:p>
    <w:p>
      <w:pPr>
        <w:pStyle w:val="FirstParagraph"/>
      </w:pPr>
      <w:r>
        <w:t xml:space="preserve">O modelo IFC é renderizado com</w:t>
      </w:r>
      <w:r>
        <w:t xml:space="preserve"> </w:t>
      </w:r>
      <w:r>
        <w:rPr>
          <w:b/>
          <w:bCs/>
        </w:rPr>
        <w:t xml:space="preserve">web-ifc</w:t>
      </w:r>
      <w:r>
        <w:t xml:space="preserve">. Cada item do orçamento pode</w:t>
      </w:r>
      <w:r>
        <w:t xml:space="preserve"> </w:t>
      </w:r>
      <w:r>
        <w:rPr>
          <w:b/>
          <w:bCs/>
        </w:rPr>
        <w:t xml:space="preserve">destacar</w:t>
      </w:r>
      <w:r>
        <w:t xml:space="preserve"> </w:t>
      </w:r>
      <w:r>
        <w:t xml:space="preserve">no modelo os objetos paramétricos que originaram sua quantidade,</w:t>
      </w:r>
      <w:r>
        <w:t xml:space="preserve"> </w:t>
      </w:r>
      <w:r>
        <w:t xml:space="preserve">facilitando a conferência visual do takeoff.</w:t>
      </w:r>
    </w:p>
    <w:bookmarkEnd w:id="19"/>
    <w:bookmarkStart w:id="21" w:name="como-executar"/>
    <w:p>
      <w:pPr>
        <w:pStyle w:val="Heading2"/>
      </w:pPr>
      <w:r>
        <w:t xml:space="preserve">11. Como executar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        # http://localhost:3000</w:t>
      </w:r>
      <w:r>
        <w:br/>
      </w:r>
      <w:r>
        <w:rPr>
          <w:rStyle w:val="VerbatimChar"/>
        </w:rPr>
        <w:t xml:space="preserve">npm run build</w:t>
      </w:r>
      <w:r>
        <w:br/>
      </w:r>
      <w:r>
        <w:rPr>
          <w:rStyle w:val="VerbatimChar"/>
        </w:rPr>
        <w:t xml:space="preserve">npm run typecheck</w:t>
      </w:r>
    </w:p>
    <w:p>
      <w:pPr>
        <w:pStyle w:val="FirstParagraph"/>
      </w:pPr>
      <w:r>
        <w:t xml:space="preserve">Requer Node.js 18+ (testado com Node 24).</w:t>
      </w:r>
    </w:p>
    <w:bookmarkStart w:id="20" w:name="uso"/>
    <w:p>
      <w:pPr>
        <w:pStyle w:val="Heading3"/>
      </w:pPr>
      <w:r>
        <w:t xml:space="preserve">Uso</w:t>
      </w:r>
    </w:p>
    <w:p>
      <w:pPr>
        <w:pStyle w:val="Compact"/>
        <w:numPr>
          <w:ilvl w:val="0"/>
          <w:numId w:val="1007"/>
        </w:numPr>
      </w:pPr>
      <w:r>
        <w:t xml:space="preserve">Abra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Abrir IFC</w:t>
      </w:r>
      <w:r>
        <w:t xml:space="preserve"> </w:t>
      </w:r>
      <w:r>
        <w:t xml:space="preserve">e selecione um arquivo</w:t>
      </w:r>
      <w:r>
        <w:t xml:space="preserve"> </w:t>
      </w:r>
      <w:r>
        <w:rPr>
          <w:rStyle w:val="VerbatimChar"/>
        </w:rPr>
        <w:t xml:space="preserve">.ifc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Confira o modelo 3D e a planilha; ajuste a</w:t>
      </w:r>
      <w:r>
        <w:t xml:space="preserve"> </w:t>
      </w:r>
      <w:r>
        <w:rPr>
          <w:b/>
          <w:bCs/>
        </w:rPr>
        <w:t xml:space="preserve">Fonte de Custos</w:t>
      </w:r>
      <w:r>
        <w:t xml:space="preserve"> </w:t>
      </w:r>
      <w:r>
        <w:t xml:space="preserve">e os preços.</w:t>
      </w:r>
    </w:p>
    <w:p>
      <w:pPr>
        <w:pStyle w:val="Compact"/>
        <w:numPr>
          <w:ilvl w:val="0"/>
          <w:numId w:val="1007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Exportar Excel</w:t>
      </w:r>
      <w:r>
        <w:t xml:space="preserve">.</w:t>
      </w:r>
    </w:p>
    <w:bookmarkEnd w:id="20"/>
    <w:bookmarkEnd w:id="21"/>
    <w:bookmarkStart w:id="22" w:name="validação"/>
    <w:p>
      <w:pPr>
        <w:pStyle w:val="Heading2"/>
      </w:pPr>
      <w:r>
        <w:t xml:space="preserve">12. Validação</w:t>
      </w:r>
    </w:p>
    <w:p>
      <w:pPr>
        <w:pStyle w:val="FirstParagraph"/>
      </w:pPr>
      <w:r>
        <w:t xml:space="preserve">Testado com o modelo</w:t>
      </w:r>
      <w:r>
        <w:t xml:space="preserve"> </w:t>
      </w:r>
      <w:r>
        <w:rPr>
          <w:b/>
          <w:bCs/>
        </w:rPr>
        <w:t xml:space="preserve">BasicHouse.ifc</w:t>
      </w:r>
      <w:r>
        <w:t xml:space="preserve"> </w:t>
      </w:r>
      <w:r>
        <w:t xml:space="preserve">(IFC2X3 exportado do Revit). As</w:t>
      </w:r>
      <w:r>
        <w:t xml:space="preserve"> </w:t>
      </w:r>
      <w:r>
        <w:t xml:space="preserve">quantidades e os preços foram conferidos item a item, validando a compatibilidade</w:t>
      </w:r>
      <w:r>
        <w:t xml:space="preserve"> </w:t>
      </w:r>
      <w:r>
        <w:t xml:space="preserve">de unidades entre o app e a referência SINAPI.</w:t>
      </w:r>
    </w:p>
    <w:bookmarkEnd w:id="22"/>
    <w:bookmarkStart w:id="23" w:name="limitações-e-próximos-passos"/>
    <w:p>
      <w:pPr>
        <w:pStyle w:val="Heading2"/>
      </w:pPr>
      <w:r>
        <w:t xml:space="preserve">13. Limitações e próximos passos</w:t>
      </w:r>
    </w:p>
    <w:p>
      <w:pPr>
        <w:pStyle w:val="Compact"/>
        <w:numPr>
          <w:ilvl w:val="0"/>
          <w:numId w:val="1008"/>
        </w:numPr>
      </w:pPr>
      <w:r>
        <w:t xml:space="preserve">Quantificação</w:t>
      </w:r>
      <w:r>
        <w:t xml:space="preserve"> </w:t>
      </w:r>
      <w:r>
        <w:rPr>
          <w:b/>
          <w:bCs/>
        </w:rPr>
        <w:t xml:space="preserve">por elemento</w:t>
      </w:r>
      <w:r>
        <w:t xml:space="preserve">, não por ambiente (o IFC de teste não traz</w:t>
      </w:r>
      <w:r>
        <w:t xml:space="preserve"> </w:t>
      </w:r>
      <w:r>
        <w:rPr>
          <w:rStyle w:val="VerbatimChar"/>
        </w:rPr>
        <w:t xml:space="preserve">IfcSpace</w:t>
      </w:r>
      <w:r>
        <w:t xml:space="preserve">). Suporte a área por cômodo pode ser adicionado quando houver</w:t>
      </w:r>
      <w:r>
        <w:t xml:space="preserve"> </w:t>
      </w:r>
      <w:r>
        <w:t xml:space="preserve">espaços no modelo.</w:t>
      </w:r>
    </w:p>
    <w:p>
      <w:pPr>
        <w:pStyle w:val="Compact"/>
        <w:numPr>
          <w:ilvl w:val="0"/>
          <w:numId w:val="1008"/>
        </w:numPr>
      </w:pPr>
      <w:r>
        <w:t xml:space="preserve">Classificação externa/interna de paredes por</w:t>
      </w:r>
      <w:r>
        <w:t xml:space="preserve"> </w:t>
      </w:r>
      <w:r>
        <w:rPr>
          <w:b/>
          <w:bCs/>
        </w:rPr>
        <w:t xml:space="preserve">palavra-chave</w:t>
      </w:r>
      <w:r>
        <w:t xml:space="preserve"> </w:t>
      </w:r>
      <w:r>
        <w:t xml:space="preserve">do nome.</w:t>
      </w:r>
    </w:p>
    <w:p>
      <w:pPr>
        <w:pStyle w:val="Compact"/>
        <w:numPr>
          <w:ilvl w:val="0"/>
          <w:numId w:val="1008"/>
        </w:numPr>
      </w:pPr>
      <w:r>
        <w:t xml:space="preserve">Referência SINAPI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e regional (SP) — evoluir para múltiplas UFs e</w:t>
      </w:r>
      <w:r>
        <w:t xml:space="preserve"> </w:t>
      </w:r>
      <w:r>
        <w:t xml:space="preserve">seleção do mês de referência.</w:t>
      </w:r>
    </w:p>
    <w:p>
      <w:pPr>
        <w:pStyle w:val="Compact"/>
        <w:numPr>
          <w:ilvl w:val="0"/>
          <w:numId w:val="1008"/>
        </w:numPr>
      </w:pPr>
      <w:r>
        <w:t xml:space="preserve">Possível adicionar BDI, encargos e composição detalhada de preços.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2026-05-31T14:26:09Z</dcterms:created>
  <dcterms:modified xsi:type="dcterms:W3CDTF">2026-05-31T14:26:09Z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